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default" w:ascii="Times New Roman" w:hAnsi="Times New Roman" w:eastAsia="宋体" w:cs="Times New Roman"/>
          <w:b/>
          <w:bCs w:val="0"/>
          <w:sz w:val="72"/>
          <w:szCs w:val="72"/>
        </w:rPr>
      </w:pPr>
      <w:r>
        <w:rPr>
          <w:rFonts w:hint="default" w:ascii="Times New Roman" w:hAnsi="Times New Roman" w:eastAsia="宋体" w:cs="Times New Roman"/>
          <w:b/>
          <w:bCs w:val="0"/>
          <w:sz w:val="72"/>
          <w:szCs w:val="72"/>
        </w:rPr>
        <w:t>建设项目环境影响报告表</w:t>
      </w:r>
    </w:p>
    <w:p>
      <w:pPr>
        <w:adjustRightInd w:val="0"/>
        <w:snapToGrid w:val="0"/>
        <w:spacing w:before="192" w:beforeLines="80"/>
        <w:jc w:val="center"/>
        <w:rPr>
          <w:rFonts w:hint="default" w:ascii="Times New Roman" w:hAnsi="Times New Roman" w:eastAsia="宋体" w:cs="Times New Roman"/>
          <w:bCs/>
          <w:sz w:val="32"/>
          <w:szCs w:val="32"/>
        </w:rPr>
      </w:pPr>
      <w:r>
        <w:rPr>
          <w:rFonts w:hint="default" w:ascii="Times New Roman" w:hAnsi="Times New Roman" w:eastAsia="宋体" w:cs="Times New Roman"/>
          <w:bCs/>
          <w:sz w:val="32"/>
          <w:szCs w:val="32"/>
        </w:rPr>
        <w:t>（污染影响类）</w:t>
      </w:r>
    </w:p>
    <w:p>
      <w:pPr>
        <w:pStyle w:val="11"/>
        <w:jc w:val="center"/>
        <w:rPr>
          <w:rFonts w:hint="eastAsia" w:eastAsia="宋体"/>
          <w:lang w:val="en-US" w:eastAsia="zh-CN"/>
        </w:rPr>
      </w:pPr>
      <w:r>
        <w:rPr>
          <w:rFonts w:hint="eastAsia" w:ascii="Times New Roman" w:hAnsi="Times New Roman" w:eastAsia="宋体" w:cs="Times New Roman"/>
          <w:bCs/>
          <w:sz w:val="32"/>
          <w:szCs w:val="32"/>
          <w:lang w:eastAsia="zh-CN"/>
        </w:rPr>
        <w:t>（公示版）</w:t>
      </w:r>
      <w:bookmarkStart w:id="6" w:name="_GoBack"/>
      <w:bookmarkEnd w:id="6"/>
    </w:p>
    <w:p>
      <w:pPr>
        <w:ind w:firstLine="1040"/>
        <w:rPr>
          <w:rFonts w:hint="default" w:ascii="Times New Roman" w:hAnsi="Times New Roman" w:eastAsia="仿宋" w:cs="Times New Roman"/>
          <w:sz w:val="44"/>
          <w:szCs w:val="44"/>
        </w:rPr>
      </w:pPr>
    </w:p>
    <w:p>
      <w:pPr>
        <w:pStyle w:val="11"/>
        <w:rPr>
          <w:rFonts w:hint="default"/>
        </w:rPr>
      </w:pPr>
    </w:p>
    <w:p>
      <w:pPr>
        <w:pStyle w:val="15"/>
        <w:widowControl w:val="0"/>
        <w:numPr>
          <w:ilvl w:val="0"/>
          <w:numId w:val="0"/>
        </w:numPr>
        <w:jc w:val="both"/>
        <w:rPr>
          <w:rFonts w:hint="default"/>
        </w:rPr>
      </w:pPr>
    </w:p>
    <w:p>
      <w:pPr>
        <w:pStyle w:val="15"/>
        <w:widowControl w:val="0"/>
        <w:numPr>
          <w:ilvl w:val="0"/>
          <w:numId w:val="0"/>
        </w:numPr>
        <w:jc w:val="both"/>
        <w:rPr>
          <w:rFonts w:hint="default"/>
        </w:rPr>
      </w:pPr>
    </w:p>
    <w:p>
      <w:pPr>
        <w:pStyle w:val="15"/>
        <w:widowControl w:val="0"/>
        <w:numPr>
          <w:ilvl w:val="0"/>
          <w:numId w:val="0"/>
        </w:numPr>
        <w:jc w:val="both"/>
        <w:rPr>
          <w:rFonts w:hint="default"/>
        </w:rPr>
      </w:pPr>
    </w:p>
    <w:p>
      <w:pPr>
        <w:pStyle w:val="15"/>
        <w:widowControl w:val="0"/>
        <w:numPr>
          <w:ilvl w:val="0"/>
          <w:numId w:val="0"/>
        </w:numPr>
        <w:jc w:val="both"/>
        <w:rPr>
          <w:rFonts w:hint="default"/>
        </w:rPr>
      </w:pPr>
    </w:p>
    <w:p>
      <w:pPr>
        <w:pStyle w:val="15"/>
        <w:numPr>
          <w:ilvl w:val="0"/>
          <w:numId w:val="0"/>
        </w:numPr>
        <w:ind w:left="1680" w:leftChars="0"/>
        <w:rPr>
          <w:rFonts w:hint="default"/>
        </w:rPr>
      </w:pPr>
    </w:p>
    <w:p>
      <w:pPr>
        <w:pStyle w:val="15"/>
        <w:numPr>
          <w:ilvl w:val="0"/>
          <w:numId w:val="0"/>
        </w:numPr>
        <w:ind w:left="1680" w:leftChars="0"/>
        <w:rPr>
          <w:rFonts w:hint="default"/>
        </w:rPr>
      </w:pPr>
    </w:p>
    <w:p>
      <w:pPr>
        <w:pStyle w:val="15"/>
        <w:numPr>
          <w:ilvl w:val="0"/>
          <w:numId w:val="0"/>
        </w:numPr>
        <w:ind w:left="1680" w:leftChars="0"/>
        <w:rPr>
          <w:rFonts w:hint="default"/>
        </w:rPr>
      </w:pPr>
    </w:p>
    <w:p>
      <w:pPr>
        <w:pStyle w:val="38"/>
        <w:spacing w:line="360" w:lineRule="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after="0" w:line="360" w:lineRule="auto"/>
        <w:ind w:left="220" w:leftChars="100" w:firstLine="321" w:firstLineChars="100"/>
        <w:jc w:val="both"/>
        <w:textAlignment w:val="auto"/>
        <w:rPr>
          <w:rFonts w:hint="default" w:ascii="Times New Roman" w:hAnsi="Times New Roman" w:eastAsia="宋体" w:cs="Times New Roman"/>
          <w:b/>
          <w:bCs/>
          <w:kern w:val="2"/>
          <w:sz w:val="32"/>
          <w:szCs w:val="32"/>
          <w:lang w:val="en-US" w:eastAsia="zh-CN"/>
        </w:rPr>
      </w:pPr>
      <w:r>
        <w:rPr>
          <w:rFonts w:hint="default" w:ascii="Times New Roman" w:hAnsi="Times New Roman" w:eastAsia="宋体" w:cs="Times New Roman"/>
          <w:b/>
          <w:bCs/>
          <w:kern w:val="2"/>
          <w:sz w:val="32"/>
          <w:szCs w:val="32"/>
        </w:rPr>
        <w:t>项目名称：</w:t>
      </w:r>
      <w:r>
        <w:rPr>
          <w:rFonts w:hint="eastAsia" w:ascii="Times New Roman" w:hAnsi="Times New Roman" w:eastAsia="宋体" w:cs="Times New Roman"/>
          <w:b/>
          <w:bCs/>
          <w:kern w:val="2"/>
          <w:sz w:val="32"/>
          <w:szCs w:val="32"/>
          <w:u w:val="single"/>
          <w:lang w:val="en-US" w:eastAsia="zh-CN"/>
        </w:rPr>
        <w:t xml:space="preserve">博盟年产200万台套新能源汽车配件项目一期      </w:t>
      </w:r>
      <w:r>
        <w:rPr>
          <w:rFonts w:hint="eastAsia" w:ascii="Times New Roman" w:hAnsi="Times New Roman" w:eastAsia="宋体" w:cs="Times New Roman"/>
          <w:b/>
          <w:bCs/>
          <w:kern w:val="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0" w:line="360" w:lineRule="auto"/>
        <w:ind w:left="220" w:leftChars="100" w:firstLine="321" w:firstLineChars="100"/>
        <w:jc w:val="both"/>
        <w:textAlignment w:val="auto"/>
        <w:rPr>
          <w:rFonts w:hint="default" w:ascii="Times New Roman" w:hAnsi="Times New Roman" w:eastAsia="宋体" w:cs="Times New Roman"/>
          <w:b/>
          <w:bCs/>
          <w:kern w:val="2"/>
          <w:sz w:val="32"/>
          <w:szCs w:val="32"/>
        </w:rPr>
      </w:pPr>
      <w:r>
        <w:rPr>
          <w:rFonts w:hint="default" w:ascii="Times New Roman" w:hAnsi="Times New Roman" w:eastAsia="宋体" w:cs="Times New Roman"/>
          <w:b/>
          <w:bCs/>
          <w:kern w:val="2"/>
          <w:sz w:val="32"/>
          <w:szCs w:val="32"/>
        </w:rPr>
        <w:t>建设单位</w:t>
      </w:r>
      <w:r>
        <w:rPr>
          <w:rFonts w:hint="default" w:ascii="Times New Roman" w:hAnsi="Times New Roman" w:eastAsia="宋体" w:cs="Times New Roman"/>
          <w:b/>
          <w:bCs/>
          <w:kern w:val="2"/>
          <w:sz w:val="32"/>
          <w:szCs w:val="32"/>
          <w:lang w:val="en-US" w:eastAsia="zh-CN"/>
        </w:rPr>
        <w:t>(</w:t>
      </w:r>
      <w:r>
        <w:rPr>
          <w:rFonts w:hint="default" w:ascii="Times New Roman" w:hAnsi="Times New Roman" w:eastAsia="宋体" w:cs="Times New Roman"/>
          <w:b/>
          <w:bCs/>
          <w:kern w:val="2"/>
          <w:sz w:val="32"/>
          <w:szCs w:val="32"/>
        </w:rPr>
        <w:t>盖章</w:t>
      </w:r>
      <w:r>
        <w:rPr>
          <w:rFonts w:hint="default" w:ascii="Times New Roman" w:hAnsi="Times New Roman" w:eastAsia="宋体" w:cs="Times New Roman"/>
          <w:b/>
          <w:bCs/>
          <w:kern w:val="2"/>
          <w:sz w:val="32"/>
          <w:szCs w:val="32"/>
          <w:lang w:val="en-US" w:eastAsia="zh-CN"/>
        </w:rPr>
        <w:t>)</w:t>
      </w:r>
      <w:r>
        <w:rPr>
          <w:rFonts w:hint="default" w:ascii="Times New Roman" w:hAnsi="Times New Roman" w:eastAsia="宋体" w:cs="Times New Roman"/>
          <w:b/>
          <w:bCs/>
          <w:kern w:val="2"/>
          <w:sz w:val="32"/>
          <w:szCs w:val="32"/>
        </w:rPr>
        <w:t>：</w:t>
      </w:r>
      <w:r>
        <w:rPr>
          <w:rFonts w:hint="eastAsia" w:ascii="Times New Roman" w:hAnsi="Times New Roman" w:eastAsia="宋体" w:cs="Times New Roman"/>
          <w:b/>
          <w:bCs/>
          <w:kern w:val="2"/>
          <w:sz w:val="32"/>
          <w:szCs w:val="32"/>
          <w:u w:val="single"/>
          <w:lang w:val="en-US" w:eastAsia="zh-CN"/>
        </w:rPr>
        <w:t xml:space="preserve">    博盟汽车科技（重庆）有限公司   </w:t>
      </w:r>
      <w:r>
        <w:rPr>
          <w:rFonts w:hint="eastAsia" w:ascii="Times New Roman" w:hAnsi="Times New Roman" w:eastAsia="宋体" w:cs="Times New Roman"/>
          <w:b/>
          <w:bCs/>
          <w:kern w:val="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0" w:line="360" w:lineRule="auto"/>
        <w:ind w:left="220" w:leftChars="100" w:firstLine="321" w:firstLineChars="100"/>
        <w:jc w:val="both"/>
        <w:textAlignment w:val="auto"/>
        <w:rPr>
          <w:rFonts w:hint="default" w:ascii="Times New Roman" w:hAnsi="Times New Roman" w:eastAsia="宋体" w:cs="Times New Roman"/>
          <w:b/>
          <w:bCs/>
          <w:kern w:val="2"/>
          <w:sz w:val="32"/>
          <w:szCs w:val="32"/>
          <w:u w:val="single"/>
        </w:rPr>
      </w:pPr>
      <w:r>
        <w:rPr>
          <w:rFonts w:hint="default" w:ascii="Times New Roman" w:hAnsi="Times New Roman" w:eastAsia="宋体" w:cs="Times New Roman"/>
          <w:b/>
          <w:bCs/>
          <w:kern w:val="2"/>
          <w:sz w:val="32"/>
          <w:szCs w:val="32"/>
        </w:rPr>
        <w:t>编制日期：</w:t>
      </w:r>
      <w:r>
        <w:rPr>
          <w:rFonts w:hint="default" w:ascii="Times New Roman" w:hAnsi="Times New Roman" w:eastAsia="宋体" w:cs="Times New Roman"/>
          <w:b/>
          <w:bCs/>
          <w:kern w:val="2"/>
          <w:sz w:val="32"/>
          <w:szCs w:val="32"/>
          <w:u w:val="single"/>
          <w:lang w:val="en-US" w:eastAsia="zh-CN"/>
        </w:rPr>
        <w:t xml:space="preserve">   </w:t>
      </w:r>
      <w:r>
        <w:rPr>
          <w:rFonts w:hint="eastAsia" w:ascii="Times New Roman" w:hAnsi="Times New Roman" w:eastAsia="宋体" w:cs="Times New Roman"/>
          <w:b/>
          <w:bCs/>
          <w:kern w:val="2"/>
          <w:sz w:val="32"/>
          <w:szCs w:val="32"/>
          <w:u w:val="single"/>
          <w:lang w:val="en-US" w:eastAsia="zh-CN"/>
        </w:rPr>
        <w:t xml:space="preserve">  </w:t>
      </w:r>
      <w:r>
        <w:rPr>
          <w:rFonts w:hint="default" w:ascii="Times New Roman" w:hAnsi="Times New Roman" w:eastAsia="宋体" w:cs="Times New Roman"/>
          <w:b/>
          <w:bCs/>
          <w:kern w:val="2"/>
          <w:sz w:val="32"/>
          <w:szCs w:val="32"/>
          <w:u w:val="single"/>
          <w:lang w:val="en-US" w:eastAsia="zh-CN"/>
        </w:rPr>
        <w:t xml:space="preserve"> </w:t>
      </w:r>
      <w:r>
        <w:rPr>
          <w:rFonts w:hint="eastAsia" w:ascii="Times New Roman" w:hAnsi="Times New Roman" w:eastAsia="宋体" w:cs="Times New Roman"/>
          <w:b/>
          <w:bCs/>
          <w:kern w:val="2"/>
          <w:sz w:val="32"/>
          <w:szCs w:val="32"/>
          <w:u w:val="single"/>
          <w:lang w:val="en-US" w:eastAsia="zh-CN"/>
        </w:rPr>
        <w:t xml:space="preserve">        </w:t>
      </w:r>
      <w:r>
        <w:rPr>
          <w:rFonts w:hint="default" w:ascii="Times New Roman" w:hAnsi="Times New Roman" w:eastAsia="宋体" w:cs="Times New Roman"/>
          <w:b/>
          <w:bCs/>
          <w:kern w:val="2"/>
          <w:sz w:val="32"/>
          <w:szCs w:val="32"/>
          <w:u w:val="single"/>
        </w:rPr>
        <w:t>二〇二</w:t>
      </w:r>
      <w:r>
        <w:rPr>
          <w:rFonts w:hint="eastAsia" w:ascii="Times New Roman" w:hAnsi="Times New Roman" w:eastAsia="宋体" w:cs="Times New Roman"/>
          <w:b/>
          <w:bCs/>
          <w:kern w:val="2"/>
          <w:sz w:val="32"/>
          <w:szCs w:val="32"/>
          <w:u w:val="single"/>
          <w:lang w:eastAsia="zh-CN"/>
        </w:rPr>
        <w:t>四</w:t>
      </w:r>
      <w:r>
        <w:rPr>
          <w:rFonts w:hint="default" w:ascii="Times New Roman" w:hAnsi="Times New Roman" w:eastAsia="宋体" w:cs="Times New Roman"/>
          <w:b/>
          <w:bCs/>
          <w:kern w:val="2"/>
          <w:sz w:val="32"/>
          <w:szCs w:val="32"/>
          <w:u w:val="single"/>
        </w:rPr>
        <w:t>年</w:t>
      </w:r>
      <w:r>
        <w:rPr>
          <w:rFonts w:hint="eastAsia" w:ascii="Times New Roman" w:hAnsi="Times New Roman" w:eastAsia="宋体" w:cs="Times New Roman"/>
          <w:b/>
          <w:bCs/>
          <w:kern w:val="2"/>
          <w:sz w:val="32"/>
          <w:szCs w:val="32"/>
          <w:u w:val="single"/>
          <w:lang w:eastAsia="zh-CN"/>
        </w:rPr>
        <w:t>七</w:t>
      </w:r>
      <w:r>
        <w:rPr>
          <w:rFonts w:hint="default" w:ascii="Times New Roman" w:hAnsi="Times New Roman" w:eastAsia="宋体" w:cs="Times New Roman"/>
          <w:b/>
          <w:bCs/>
          <w:kern w:val="2"/>
          <w:sz w:val="32"/>
          <w:szCs w:val="32"/>
          <w:u w:val="single"/>
        </w:rPr>
        <w:t>月</w:t>
      </w:r>
      <w:r>
        <w:rPr>
          <w:rFonts w:hint="eastAsia" w:ascii="Times New Roman" w:hAnsi="Times New Roman" w:eastAsia="宋体" w:cs="Times New Roman"/>
          <w:b/>
          <w:bCs/>
          <w:kern w:val="2"/>
          <w:sz w:val="32"/>
          <w:szCs w:val="32"/>
          <w:u w:val="single"/>
          <w:lang w:val="en-US" w:eastAsia="zh-CN"/>
        </w:rPr>
        <w:t xml:space="preserve">                               </w:t>
      </w:r>
      <w:r>
        <w:rPr>
          <w:rFonts w:hint="default" w:ascii="Times New Roman" w:hAnsi="Times New Roman" w:eastAsia="宋体" w:cs="Times New Roman"/>
          <w:b/>
          <w:bCs/>
          <w:kern w:val="2"/>
          <w:sz w:val="32"/>
          <w:szCs w:val="32"/>
          <w:u w:val="single"/>
          <w:lang w:val="en-US" w:eastAsia="zh-CN"/>
        </w:rPr>
        <w:t xml:space="preserve">   </w:t>
      </w:r>
      <w:r>
        <w:rPr>
          <w:rFonts w:hint="eastAsia" w:ascii="Times New Roman" w:hAnsi="Times New Roman" w:eastAsia="宋体" w:cs="Times New Roman"/>
          <w:b/>
          <w:bCs/>
          <w:kern w:val="2"/>
          <w:sz w:val="32"/>
          <w:szCs w:val="32"/>
          <w:u w:val="single"/>
          <w:lang w:val="en-US" w:eastAsia="zh-CN"/>
        </w:rPr>
        <w:t xml:space="preserve">           </w:t>
      </w:r>
      <w:bookmarkStart w:id="0" w:name="_Hlk57884087"/>
    </w:p>
    <w:p>
      <w:pPr>
        <w:pStyle w:val="38"/>
        <w:rPr>
          <w:rFonts w:hint="default" w:ascii="Times New Roman" w:hAnsi="Times New Roman" w:eastAsia="仿宋_GB2312" w:cs="Times New Roman"/>
          <w:sz w:val="36"/>
          <w:szCs w:val="36"/>
        </w:rPr>
      </w:pPr>
    </w:p>
    <w:p>
      <w:pPr>
        <w:pStyle w:val="38"/>
        <w:rPr>
          <w:rFonts w:hint="default" w:ascii="Times New Roman" w:hAnsi="Times New Roman" w:eastAsia="仿宋_GB2312" w:cs="Times New Roman"/>
          <w:sz w:val="36"/>
          <w:szCs w:val="36"/>
        </w:rPr>
      </w:pPr>
    </w:p>
    <w:bookmarkEnd w:id="0"/>
    <w:p>
      <w:pPr>
        <w:adjustRightInd w:val="0"/>
        <w:snapToGrid w:val="0"/>
        <w:spacing w:line="288" w:lineRule="auto"/>
        <w:jc w:val="both"/>
        <w:rPr>
          <w:rFonts w:hint="default" w:ascii="Times New Roman" w:hAnsi="Times New Roman" w:eastAsia="楷体_GB2312" w:cs="Times New Roman"/>
          <w:sz w:val="36"/>
          <w:szCs w:val="36"/>
        </w:rPr>
      </w:pPr>
    </w:p>
    <w:p>
      <w:pPr>
        <w:adjustRightInd w:val="0"/>
        <w:snapToGrid w:val="0"/>
        <w:spacing w:line="288" w:lineRule="auto"/>
        <w:jc w:val="center"/>
        <w:rPr>
          <w:rFonts w:hint="eastAsia" w:eastAsia="楷体_GB2312"/>
          <w:lang w:val="en-US" w:eastAsia="zh-CN"/>
        </w:rPr>
        <w:sectPr>
          <w:footerReference r:id="rId3" w:type="default"/>
          <w:pgSz w:w="11906" w:h="16838"/>
          <w:pgMar w:top="1417" w:right="1361" w:bottom="1417" w:left="1417" w:header="851" w:footer="992" w:gutter="0"/>
          <w:cols w:space="425" w:num="1"/>
          <w:docGrid w:type="lines" w:linePitch="312" w:charSpace="0"/>
        </w:sectPr>
      </w:pPr>
      <w:r>
        <w:rPr>
          <w:rFonts w:hint="default" w:ascii="Times New Roman" w:hAnsi="Times New Roman" w:eastAsia="楷体_GB2312" w:cs="Times New Roman"/>
          <w:sz w:val="36"/>
          <w:szCs w:val="36"/>
        </w:rPr>
        <w:t>中华人民共和国生态环境</w:t>
      </w:r>
      <w:r>
        <w:rPr>
          <w:rFonts w:hint="eastAsia" w:ascii="Times New Roman" w:hAnsi="Times New Roman" w:eastAsia="楷体_GB2312" w:cs="Times New Roman"/>
          <w:sz w:val="36"/>
          <w:szCs w:val="36"/>
          <w:lang w:eastAsia="zh-CN"/>
        </w:rPr>
        <w:t>部制</w:t>
      </w:r>
    </w:p>
    <w:p>
      <w:pPr>
        <w:pStyle w:val="2"/>
        <w:keepNext/>
        <w:keepLines/>
        <w:pageBreakBefore w:val="0"/>
        <w:widowControl/>
        <w:tabs>
          <w:tab w:val="left" w:pos="3080"/>
        </w:tabs>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sz w:val="28"/>
          <w:szCs w:val="28"/>
        </w:rPr>
      </w:pPr>
      <w:r>
        <w:drawing>
          <wp:inline distT="0" distB="0" distL="114300" distR="114300">
            <wp:extent cx="6191250" cy="7386955"/>
            <wp:effectExtent l="0" t="0" r="0" b="4445"/>
            <wp:docPr id="2"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true"/>
                    </pic:cNvPicPr>
                  </pic:nvPicPr>
                  <pic:blipFill>
                    <a:blip r:embed="rId6"/>
                    <a:stretch>
                      <a:fillRect/>
                    </a:stretch>
                  </pic:blipFill>
                  <pic:spPr>
                    <a:xfrm>
                      <a:off x="0" y="0"/>
                      <a:ext cx="6191250" cy="7386955"/>
                    </a:xfrm>
                    <a:prstGeom prst="rect">
                      <a:avLst/>
                    </a:prstGeom>
                    <a:noFill/>
                    <a:ln>
                      <a:noFill/>
                    </a:ln>
                  </pic:spPr>
                </pic:pic>
              </a:graphicData>
            </a:graphic>
          </wp:inline>
        </w:drawing>
      </w:r>
    </w:p>
    <w:p>
      <w:pPr>
        <w:pStyle w:val="2"/>
        <w:tabs>
          <w:tab w:val="left" w:pos="3080"/>
        </w:tabs>
        <w:spacing w:before="0" w:after="0" w:line="240" w:lineRule="auto"/>
        <w:jc w:val="center"/>
        <w:rPr>
          <w:rFonts w:hint="default" w:ascii="Times New Roman" w:hAnsi="Times New Roman" w:eastAsia="宋体" w:cs="Times New Roman"/>
          <w:sz w:val="28"/>
          <w:szCs w:val="28"/>
        </w:rPr>
      </w:pPr>
      <w:r>
        <w:drawing>
          <wp:inline distT="0" distB="0" distL="114300" distR="114300">
            <wp:extent cx="5534025" cy="7715250"/>
            <wp:effectExtent l="0" t="0" r="9525" b="0"/>
            <wp:docPr id="3"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true"/>
                    </pic:cNvPicPr>
                  </pic:nvPicPr>
                  <pic:blipFill>
                    <a:blip r:embed="rId7"/>
                    <a:stretch>
                      <a:fillRect/>
                    </a:stretch>
                  </pic:blipFill>
                  <pic:spPr>
                    <a:xfrm>
                      <a:off x="0" y="0"/>
                      <a:ext cx="5534025" cy="7715250"/>
                    </a:xfrm>
                    <a:prstGeom prst="rect">
                      <a:avLst/>
                    </a:prstGeom>
                    <a:noFill/>
                    <a:ln>
                      <a:noFill/>
                    </a:ln>
                  </pic:spPr>
                </pic:pic>
              </a:graphicData>
            </a:graphic>
          </wp:inline>
        </w:drawing>
      </w:r>
    </w:p>
    <w:p>
      <w:pPr>
        <w:pStyle w:val="2"/>
        <w:tabs>
          <w:tab w:val="left" w:pos="3080"/>
        </w:tabs>
        <w:spacing w:before="0" w:after="0" w:line="240" w:lineRule="auto"/>
        <w:jc w:val="center"/>
        <w:rPr>
          <w:rFonts w:hint="default" w:ascii="Times New Roman" w:hAnsi="Times New Roman" w:eastAsia="宋体" w:cs="Times New Roman"/>
          <w:sz w:val="28"/>
          <w:szCs w:val="28"/>
        </w:rPr>
      </w:pPr>
    </w:p>
    <w:p>
      <w:pPr>
        <w:pStyle w:val="2"/>
        <w:tabs>
          <w:tab w:val="left" w:pos="3080"/>
        </w:tabs>
        <w:spacing w:before="0" w:after="0" w:line="240" w:lineRule="auto"/>
        <w:jc w:val="center"/>
        <w:rPr>
          <w:rFonts w:hint="default" w:ascii="Times New Roman" w:hAnsi="Times New Roman" w:eastAsia="宋体" w:cs="Times New Roman"/>
          <w:sz w:val="28"/>
          <w:szCs w:val="28"/>
        </w:rPr>
      </w:pPr>
    </w:p>
    <w:p>
      <w:pPr>
        <w:pStyle w:val="2"/>
        <w:tabs>
          <w:tab w:val="left" w:pos="3080"/>
        </w:tabs>
        <w:spacing w:before="0" w:after="0" w:line="240" w:lineRule="auto"/>
        <w:jc w:val="center"/>
        <w:rPr>
          <w:rFonts w:hint="default" w:ascii="Times New Roman" w:hAnsi="Times New Roman" w:eastAsia="宋体" w:cs="Times New Roman"/>
          <w:sz w:val="28"/>
          <w:szCs w:val="28"/>
        </w:rPr>
      </w:pPr>
    </w:p>
    <w:p>
      <w:pPr>
        <w:pStyle w:val="2"/>
        <w:tabs>
          <w:tab w:val="left" w:pos="3080"/>
        </w:tabs>
        <w:spacing w:before="0" w:after="0" w:line="240" w:lineRule="auto"/>
        <w:jc w:val="center"/>
        <w:rPr>
          <w:rFonts w:hint="default" w:ascii="Times New Roman" w:hAnsi="Times New Roman" w:eastAsia="宋体" w:cs="Times New Roman"/>
          <w:sz w:val="28"/>
          <w:szCs w:val="28"/>
        </w:rPr>
      </w:pPr>
    </w:p>
    <w:p>
      <w:pPr>
        <w:pStyle w:val="2"/>
        <w:tabs>
          <w:tab w:val="left" w:pos="3080"/>
        </w:tabs>
        <w:spacing w:before="0" w:after="0" w:line="240" w:lineRule="auto"/>
        <w:jc w:val="center"/>
        <w:rPr>
          <w:rFonts w:hint="default" w:ascii="Times New Roman" w:hAnsi="Times New Roman" w:eastAsia="宋体" w:cs="Times New Roman"/>
          <w:sz w:val="28"/>
          <w:szCs w:val="28"/>
        </w:rPr>
      </w:pPr>
    </w:p>
    <w:p>
      <w:pPr>
        <w:pStyle w:val="2"/>
        <w:tabs>
          <w:tab w:val="left" w:pos="3080"/>
        </w:tabs>
        <w:spacing w:before="0" w:after="0" w:line="24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一、建设项目基本情况</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67"/>
        <w:gridCol w:w="2337"/>
        <w:gridCol w:w="2073"/>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68" w:type="dxa"/>
            <w:tcBorders>
              <w:tl2br w:val="nil"/>
              <w:tr2bl w:val="nil"/>
            </w:tcBorders>
            <w:vAlign w:val="center"/>
          </w:tcPr>
          <w:p>
            <w:pPr>
              <w:spacing w:after="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建设项目</w:t>
            </w:r>
          </w:p>
          <w:p>
            <w:pPr>
              <w:spacing w:after="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名称</w:t>
            </w:r>
          </w:p>
        </w:tc>
        <w:tc>
          <w:tcPr>
            <w:tcW w:w="7617" w:type="dxa"/>
            <w:gridSpan w:val="3"/>
            <w:tcBorders>
              <w:tl2br w:val="nil"/>
              <w:tr2bl w:val="nil"/>
            </w:tcBorders>
            <w:vAlign w:val="center"/>
          </w:tcPr>
          <w:p>
            <w:pPr>
              <w:spacing w:after="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博盟年产200万台套新能源汽车配件项目一期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68" w:type="dxa"/>
            <w:tcBorders>
              <w:tl2br w:val="nil"/>
              <w:tr2bl w:val="nil"/>
            </w:tcBorders>
            <w:vAlign w:val="center"/>
          </w:tcPr>
          <w:p>
            <w:pPr>
              <w:spacing w:after="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项目代码</w:t>
            </w:r>
          </w:p>
        </w:tc>
        <w:tc>
          <w:tcPr>
            <w:tcW w:w="7617" w:type="dxa"/>
            <w:gridSpan w:val="3"/>
            <w:tcBorders>
              <w:tl2br w:val="nil"/>
              <w:tr2bl w:val="nil"/>
            </w:tcBorders>
            <w:vAlign w:val="center"/>
          </w:tcPr>
          <w:p>
            <w:pPr>
              <w:spacing w:after="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2310-500117-04-05-887560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68"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建设单位</w:t>
            </w:r>
          </w:p>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联系人</w:t>
            </w:r>
          </w:p>
        </w:tc>
        <w:tc>
          <w:tcPr>
            <w:tcW w:w="2337" w:type="dxa"/>
            <w:tcBorders>
              <w:tl2br w:val="nil"/>
              <w:tr2bl w:val="nil"/>
            </w:tcBorders>
            <w:vAlign w:val="center"/>
          </w:tcPr>
          <w:p>
            <w:pPr>
              <w:spacing w:after="0" w:line="420" w:lineRule="exact"/>
              <w:jc w:val="center"/>
              <w:rPr>
                <w:rFonts w:hint="default" w:ascii="Times New Roman" w:hAnsi="Times New Roman" w:eastAsia="宋体" w:cs="Times New Roman"/>
                <w:kern w:val="2"/>
                <w:sz w:val="24"/>
                <w:szCs w:val="24"/>
              </w:rPr>
            </w:pPr>
          </w:p>
        </w:tc>
        <w:tc>
          <w:tcPr>
            <w:tcW w:w="2073" w:type="dxa"/>
            <w:tcBorders>
              <w:tl2br w:val="nil"/>
              <w:tr2bl w:val="nil"/>
            </w:tcBorders>
            <w:vAlign w:val="center"/>
          </w:tcPr>
          <w:p>
            <w:pPr>
              <w:spacing w:after="0" w:line="42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联系方式</w:t>
            </w:r>
          </w:p>
        </w:tc>
        <w:tc>
          <w:tcPr>
            <w:tcW w:w="3207" w:type="dxa"/>
            <w:tcBorders>
              <w:tl2br w:val="nil"/>
              <w:tr2bl w:val="nil"/>
            </w:tcBorders>
            <w:vAlign w:val="center"/>
          </w:tcPr>
          <w:p>
            <w:pPr>
              <w:spacing w:after="0" w:line="420" w:lineRule="exact"/>
              <w:jc w:val="center"/>
              <w:rPr>
                <w:rFonts w:hint="default" w:ascii="Times New Roman" w:hAnsi="Times New Roman" w:eastAsia="宋体" w:cs="Times New Roman"/>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568" w:type="dxa"/>
            <w:tcBorders>
              <w:tl2br w:val="nil"/>
              <w:tr2bl w:val="nil"/>
            </w:tcBorders>
            <w:vAlign w:val="center"/>
          </w:tcPr>
          <w:p>
            <w:pPr>
              <w:spacing w:after="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建设地点</w:t>
            </w:r>
          </w:p>
        </w:tc>
        <w:tc>
          <w:tcPr>
            <w:tcW w:w="7617" w:type="dxa"/>
            <w:gridSpan w:val="3"/>
            <w:tcBorders>
              <w:tl2br w:val="nil"/>
              <w:tr2bl w:val="nil"/>
            </w:tcBorders>
            <w:vAlign w:val="center"/>
          </w:tcPr>
          <w:p>
            <w:pPr>
              <w:spacing w:after="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重庆市合川区草街街道农创路</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HC23-111-3号地块</w:t>
            </w:r>
            <w:r>
              <w:rPr>
                <w:rFonts w:hint="eastAsia" w:ascii="Times New Roman" w:hAnsi="Times New Roman" w:eastAsia="宋体" w:cs="Times New Roman"/>
                <w:kern w:val="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568" w:type="dxa"/>
            <w:tcBorders>
              <w:tl2br w:val="nil"/>
              <w:tr2bl w:val="nil"/>
            </w:tcBorders>
            <w:vAlign w:val="center"/>
          </w:tcPr>
          <w:p>
            <w:pPr>
              <w:spacing w:after="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地理坐标</w:t>
            </w:r>
          </w:p>
        </w:tc>
        <w:tc>
          <w:tcPr>
            <w:tcW w:w="7617" w:type="dxa"/>
            <w:gridSpan w:val="3"/>
            <w:tcBorders>
              <w:tl2br w:val="nil"/>
              <w:tr2bl w:val="nil"/>
            </w:tcBorders>
            <w:vAlign w:val="center"/>
          </w:tcPr>
          <w:p>
            <w:pPr>
              <w:spacing w:after="0"/>
              <w:jc w:val="center"/>
              <w:rPr>
                <w:rFonts w:hint="default" w:ascii="Times New Roman" w:hAnsi="Times New Roman" w:eastAsia="宋体" w:cs="Times New Roman"/>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4" w:hRule="atLeast"/>
          <w:jc w:val="center"/>
        </w:trPr>
        <w:tc>
          <w:tcPr>
            <w:tcW w:w="1568"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国民经济</w:t>
            </w:r>
          </w:p>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行业类别</w:t>
            </w:r>
          </w:p>
        </w:tc>
        <w:tc>
          <w:tcPr>
            <w:tcW w:w="2337" w:type="dxa"/>
            <w:tcBorders>
              <w:tl2br w:val="nil"/>
              <w:tr2bl w:val="nil"/>
            </w:tcBorders>
            <w:vAlign w:val="center"/>
          </w:tcPr>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C3670 汽车零部件及配件制造</w:t>
            </w:r>
          </w:p>
        </w:tc>
        <w:tc>
          <w:tcPr>
            <w:tcW w:w="2073"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建设项目行业类别</w:t>
            </w:r>
          </w:p>
        </w:tc>
        <w:tc>
          <w:tcPr>
            <w:tcW w:w="3207" w:type="dxa"/>
            <w:tcBorders>
              <w:tl2br w:val="nil"/>
              <w:tr2bl w:val="nil"/>
            </w:tcBorders>
            <w:vAlign w:val="center"/>
          </w:tcPr>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三十三、汽车制造业36（71汽车零部件及配件制造367）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04" w:hRule="atLeast"/>
          <w:jc w:val="center"/>
        </w:trPr>
        <w:tc>
          <w:tcPr>
            <w:tcW w:w="1568"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建设性质</w:t>
            </w:r>
          </w:p>
        </w:tc>
        <w:tc>
          <w:tcPr>
            <w:tcW w:w="2337" w:type="dxa"/>
            <w:tcBorders>
              <w:tl2br w:val="nil"/>
              <w:tr2bl w:val="nil"/>
            </w:tcBorders>
            <w:vAlign w:val="center"/>
          </w:tcPr>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52"/>
            </w:r>
            <w:r>
              <w:rPr>
                <w:rFonts w:hint="default" w:ascii="Times New Roman" w:hAnsi="Times New Roman" w:eastAsia="宋体" w:cs="Times New Roman"/>
                <w:kern w:val="2"/>
                <w:sz w:val="24"/>
                <w:szCs w:val="24"/>
              </w:rPr>
              <w:t>新建（迁建）</w:t>
            </w:r>
          </w:p>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A3"/>
            </w:r>
            <w:r>
              <w:rPr>
                <w:rFonts w:hint="default" w:ascii="Times New Roman" w:hAnsi="Times New Roman" w:eastAsia="宋体" w:cs="Times New Roman"/>
                <w:kern w:val="2"/>
                <w:sz w:val="24"/>
                <w:szCs w:val="24"/>
              </w:rPr>
              <w:t>改建</w:t>
            </w:r>
          </w:p>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A3"/>
            </w:r>
            <w:r>
              <w:rPr>
                <w:rFonts w:hint="default" w:ascii="Times New Roman" w:hAnsi="Times New Roman" w:eastAsia="宋体" w:cs="Times New Roman"/>
                <w:kern w:val="2"/>
                <w:sz w:val="24"/>
                <w:szCs w:val="24"/>
              </w:rPr>
              <w:t>扩建</w:t>
            </w:r>
          </w:p>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A3"/>
            </w:r>
            <w:r>
              <w:rPr>
                <w:rFonts w:hint="default" w:ascii="Times New Roman" w:hAnsi="Times New Roman" w:eastAsia="宋体" w:cs="Times New Roman"/>
                <w:kern w:val="2"/>
                <w:sz w:val="24"/>
                <w:szCs w:val="24"/>
              </w:rPr>
              <w:t>技术改造</w:t>
            </w:r>
          </w:p>
        </w:tc>
        <w:tc>
          <w:tcPr>
            <w:tcW w:w="2073"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建设项目申报情形</w:t>
            </w:r>
          </w:p>
        </w:tc>
        <w:tc>
          <w:tcPr>
            <w:tcW w:w="3207" w:type="dxa"/>
            <w:tcBorders>
              <w:tl2br w:val="nil"/>
              <w:tr2bl w:val="nil"/>
            </w:tcBorders>
            <w:vAlign w:val="center"/>
          </w:tcPr>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52"/>
            </w:r>
            <w:r>
              <w:rPr>
                <w:rFonts w:hint="default" w:ascii="Times New Roman" w:hAnsi="Times New Roman" w:eastAsia="宋体" w:cs="Times New Roman"/>
                <w:kern w:val="2"/>
                <w:sz w:val="24"/>
                <w:szCs w:val="24"/>
              </w:rPr>
              <w:t>首次申报项目</w:t>
            </w:r>
          </w:p>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A3"/>
            </w:r>
            <w:r>
              <w:rPr>
                <w:rFonts w:hint="default" w:ascii="Times New Roman" w:hAnsi="Times New Roman" w:eastAsia="宋体" w:cs="Times New Roman"/>
                <w:kern w:val="2"/>
                <w:sz w:val="24"/>
                <w:szCs w:val="24"/>
              </w:rPr>
              <w:t>不予批准后再次申报项目</w:t>
            </w:r>
          </w:p>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A3"/>
            </w:r>
            <w:r>
              <w:rPr>
                <w:rFonts w:hint="default" w:ascii="Times New Roman" w:hAnsi="Times New Roman" w:eastAsia="宋体" w:cs="Times New Roman"/>
                <w:kern w:val="2"/>
                <w:sz w:val="24"/>
                <w:szCs w:val="24"/>
              </w:rPr>
              <w:t>超五年重新审核项目</w:t>
            </w:r>
          </w:p>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A3"/>
            </w:r>
            <w:r>
              <w:rPr>
                <w:rFonts w:hint="default" w:ascii="Times New Roman" w:hAnsi="Times New Roman" w:eastAsia="宋体" w:cs="Times New Roman"/>
                <w:kern w:val="2"/>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568"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项目审批（核准/备案）部门（选填）</w:t>
            </w:r>
          </w:p>
        </w:tc>
        <w:tc>
          <w:tcPr>
            <w:tcW w:w="2337"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重庆市合川区经济和信息化委员会</w:t>
            </w:r>
          </w:p>
        </w:tc>
        <w:tc>
          <w:tcPr>
            <w:tcW w:w="2073"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项目审批</w:t>
            </w:r>
          </w:p>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（核准/备案）</w:t>
            </w:r>
          </w:p>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文号（选填）</w:t>
            </w:r>
          </w:p>
        </w:tc>
        <w:tc>
          <w:tcPr>
            <w:tcW w:w="3207"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2310-500117-04-05-887560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1568"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总投资</w:t>
            </w:r>
          </w:p>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（万元）</w:t>
            </w:r>
          </w:p>
        </w:tc>
        <w:tc>
          <w:tcPr>
            <w:tcW w:w="2337"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20000</w:t>
            </w:r>
          </w:p>
        </w:tc>
        <w:tc>
          <w:tcPr>
            <w:tcW w:w="2073"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环保投资（万元）</w:t>
            </w:r>
          </w:p>
        </w:tc>
        <w:tc>
          <w:tcPr>
            <w:tcW w:w="3207"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1568" w:type="dxa"/>
            <w:tcBorders>
              <w:tl2br w:val="nil"/>
              <w:tr2bl w:val="nil"/>
            </w:tcBorders>
            <w:vAlign w:val="center"/>
          </w:tcPr>
          <w:p>
            <w:pPr>
              <w:spacing w:after="0" w:line="360" w:lineRule="exact"/>
              <w:jc w:val="center"/>
              <w:rPr>
                <w:rFonts w:hint="default" w:ascii="Times New Roman" w:hAnsi="Times New Roman" w:eastAsia="宋体" w:cs="Times New Roman"/>
                <w:spacing w:val="-6"/>
                <w:kern w:val="2"/>
                <w:sz w:val="24"/>
                <w:szCs w:val="24"/>
              </w:rPr>
            </w:pPr>
            <w:r>
              <w:rPr>
                <w:rFonts w:hint="default" w:ascii="Times New Roman" w:hAnsi="Times New Roman" w:eastAsia="宋体" w:cs="Times New Roman"/>
                <w:spacing w:val="-6"/>
                <w:kern w:val="2"/>
                <w:sz w:val="24"/>
                <w:szCs w:val="24"/>
              </w:rPr>
              <w:t>环保投资</w:t>
            </w:r>
          </w:p>
          <w:p>
            <w:pPr>
              <w:spacing w:after="0" w:line="360" w:lineRule="exact"/>
              <w:jc w:val="center"/>
              <w:rPr>
                <w:rFonts w:hint="default" w:ascii="Times New Roman" w:hAnsi="Times New Roman" w:eastAsia="宋体" w:cs="Times New Roman"/>
                <w:spacing w:val="-6"/>
                <w:kern w:val="2"/>
                <w:sz w:val="24"/>
                <w:szCs w:val="24"/>
              </w:rPr>
            </w:pPr>
            <w:r>
              <w:rPr>
                <w:rFonts w:hint="default" w:ascii="Times New Roman" w:hAnsi="Times New Roman" w:eastAsia="宋体" w:cs="Times New Roman"/>
                <w:spacing w:val="-6"/>
                <w:kern w:val="2"/>
                <w:sz w:val="24"/>
                <w:szCs w:val="24"/>
              </w:rPr>
              <w:t>占比（%）</w:t>
            </w:r>
          </w:p>
        </w:tc>
        <w:tc>
          <w:tcPr>
            <w:tcW w:w="2337"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sz w:val="24"/>
              </w:rPr>
              <w:t>0.75</w:t>
            </w:r>
          </w:p>
        </w:tc>
        <w:tc>
          <w:tcPr>
            <w:tcW w:w="2073"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施工工期</w:t>
            </w:r>
          </w:p>
        </w:tc>
        <w:tc>
          <w:tcPr>
            <w:tcW w:w="3207"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1568"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是否开工</w:t>
            </w:r>
          </w:p>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建设</w:t>
            </w:r>
          </w:p>
        </w:tc>
        <w:tc>
          <w:tcPr>
            <w:tcW w:w="2337" w:type="dxa"/>
            <w:tcBorders>
              <w:tl2br w:val="nil"/>
              <w:tr2bl w:val="nil"/>
            </w:tcBorders>
            <w:vAlign w:val="center"/>
          </w:tcPr>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52"/>
            </w:r>
            <w:r>
              <w:rPr>
                <w:rFonts w:hint="default" w:ascii="Times New Roman" w:hAnsi="Times New Roman" w:eastAsia="宋体" w:cs="Times New Roman"/>
                <w:kern w:val="2"/>
                <w:sz w:val="24"/>
                <w:szCs w:val="24"/>
              </w:rPr>
              <w:t>否</w:t>
            </w:r>
          </w:p>
          <w:p>
            <w:pPr>
              <w:spacing w:after="0" w:line="36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sym w:font="Wingdings 2" w:char="00A3"/>
            </w:r>
            <w:r>
              <w:rPr>
                <w:rFonts w:hint="default" w:ascii="Times New Roman" w:hAnsi="Times New Roman" w:eastAsia="宋体" w:cs="Times New Roman"/>
                <w:kern w:val="2"/>
                <w:sz w:val="24"/>
                <w:szCs w:val="24"/>
              </w:rPr>
              <w:t>是</w:t>
            </w:r>
          </w:p>
        </w:tc>
        <w:tc>
          <w:tcPr>
            <w:tcW w:w="2073"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用地（用海）面积（㎡）</w:t>
            </w:r>
          </w:p>
        </w:tc>
        <w:tc>
          <w:tcPr>
            <w:tcW w:w="3207" w:type="dxa"/>
            <w:tcBorders>
              <w:tl2br w:val="nil"/>
              <w:tr2bl w:val="nil"/>
            </w:tcBorders>
            <w:vAlign w:val="center"/>
          </w:tcPr>
          <w:p>
            <w:pPr>
              <w:spacing w:after="0" w:line="36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20095.00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185" w:type="dxa"/>
            <w:gridSpan w:val="4"/>
            <w:tcBorders>
              <w:tl2br w:val="nil"/>
              <w:tr2bl w:val="nil"/>
            </w:tcBorders>
            <w:vAlign w:val="center"/>
          </w:tcPr>
          <w:p>
            <w:pPr>
              <w:spacing w:after="0" w:line="360" w:lineRule="exact"/>
              <w:jc w:val="both"/>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8"/>
                <w:szCs w:val="28"/>
              </w:rPr>
              <w:t>1.1专项评价设置情况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82" w:hRule="atLeast"/>
          <w:jc w:val="center"/>
        </w:trPr>
        <w:tc>
          <w:tcPr>
            <w:tcW w:w="9185" w:type="dxa"/>
            <w:gridSpan w:val="4"/>
            <w:tcBorders>
              <w:tl2br w:val="nil"/>
              <w:tr2bl w:val="nil"/>
            </w:tcBorders>
          </w:tcPr>
          <w:p>
            <w:pPr>
              <w:spacing w:after="0" w:line="420" w:lineRule="exact"/>
              <w:jc w:val="both"/>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1.1.1专项评价</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依据《建设项目环境影响报告表编制技术指南（污染影响类）》（试行），土壤、声环境不开展专项评价；地下水原则上不开展专项评价，涉及集中式饮用水水源和热水、矿泉水、温泉等特殊地下水资源保护区的开展地下水专项评价工作。博盟年产200万台套新能源汽车配件项目一期（以下简称“本项目”）位于合川工业园南溪组团B区，不涉及集中式饮用水水源和热水、矿泉水、温泉等特殊地下水资源保护区，故不开展地下水专项评价。</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大气、地表水、环境风险、生态和海洋专项评价设置分析见表1.1-1。</w:t>
            </w:r>
          </w:p>
        </w:tc>
      </w:tr>
    </w:tbl>
    <w:p>
      <w:pPr>
        <w:spacing w:after="0"/>
        <w:rPr>
          <w:rFonts w:hint="default" w:ascii="Times New Roman" w:hAnsi="Times New Roman" w:eastAsia="宋体" w:cs="Times New Roman"/>
          <w:sz w:val="24"/>
          <w:szCs w:val="24"/>
        </w:rPr>
        <w:sectPr>
          <w:footerReference r:id="rId4" w:type="default"/>
          <w:pgSz w:w="11906" w:h="16838"/>
          <w:pgMar w:top="1417" w:right="1417" w:bottom="1417" w:left="1417" w:header="1134" w:footer="1021" w:gutter="0"/>
          <w:cols w:space="708" w:num="1"/>
          <w:docGrid w:linePitch="360" w:charSpace="0"/>
        </w:sect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966" w:hRule="atLeast"/>
          <w:jc w:val="center"/>
        </w:trPr>
        <w:tc>
          <w:tcPr>
            <w:tcW w:w="9186" w:type="dxa"/>
            <w:tcBorders>
              <w:tl2br w:val="nil"/>
              <w:tr2bl w:val="nil"/>
            </w:tcBorders>
          </w:tcPr>
          <w:p>
            <w:pPr>
              <w:spacing w:after="0" w:line="44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表1.1-1  专项评价设置分析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95"/>
              <w:gridCol w:w="3994"/>
              <w:gridCol w:w="3283"/>
              <w:gridCol w:w="10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2" w:type="dxa"/>
                  <w:tcBorders>
                    <w:tl2br w:val="nil"/>
                    <w:tr2bl w:val="nil"/>
                  </w:tcBorders>
                  <w:vAlign w:val="center"/>
                </w:tcPr>
                <w:p>
                  <w:pPr>
                    <w:spacing w:after="0" w:line="30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类别</w:t>
                  </w:r>
                </w:p>
              </w:tc>
              <w:tc>
                <w:tcPr>
                  <w:tcW w:w="4032" w:type="dxa"/>
                  <w:tcBorders>
                    <w:tl2br w:val="nil"/>
                    <w:tr2bl w:val="nil"/>
                  </w:tcBorders>
                  <w:vAlign w:val="center"/>
                </w:tcPr>
                <w:p>
                  <w:pPr>
                    <w:spacing w:after="0" w:line="30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设置原则</w:t>
                  </w:r>
                </w:p>
              </w:tc>
              <w:tc>
                <w:tcPr>
                  <w:tcW w:w="3306" w:type="dxa"/>
                  <w:tcBorders>
                    <w:tl2br w:val="nil"/>
                    <w:tr2bl w:val="nil"/>
                  </w:tcBorders>
                  <w:vAlign w:val="center"/>
                </w:tcPr>
                <w:p>
                  <w:pPr>
                    <w:spacing w:after="0" w:line="30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本项目情况</w:t>
                  </w:r>
                </w:p>
              </w:tc>
              <w:tc>
                <w:tcPr>
                  <w:tcW w:w="972" w:type="dxa"/>
                  <w:tcBorders>
                    <w:tl2br w:val="nil"/>
                    <w:tr2bl w:val="nil"/>
                  </w:tcBorders>
                  <w:vAlign w:val="center"/>
                </w:tcPr>
                <w:p>
                  <w:pPr>
                    <w:spacing w:after="0" w:line="44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是否设置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2" w:type="dxa"/>
                  <w:tcBorders>
                    <w:tl2br w:val="nil"/>
                    <w:tr2bl w:val="nil"/>
                  </w:tcBorders>
                  <w:vAlign w:val="center"/>
                </w:tcPr>
                <w:p>
                  <w:pPr>
                    <w:spacing w:after="0" w:line="30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大气</w:t>
                  </w:r>
                </w:p>
              </w:tc>
              <w:tc>
                <w:tcPr>
                  <w:tcW w:w="4032"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排放废气含有毒有害污染物</w:t>
                  </w:r>
                  <w:r>
                    <w:rPr>
                      <w:rFonts w:hint="default" w:ascii="Times New Roman" w:hAnsi="Times New Roman" w:eastAsia="宋体" w:cs="Times New Roman"/>
                      <w:kern w:val="2"/>
                      <w:sz w:val="21"/>
                      <w:szCs w:val="21"/>
                      <w:vertAlign w:val="superscript"/>
                    </w:rPr>
                    <w:t>⑴</w:t>
                  </w:r>
                  <w:r>
                    <w:rPr>
                      <w:rFonts w:hint="default" w:ascii="Times New Roman" w:hAnsi="Times New Roman" w:eastAsia="宋体" w:cs="Times New Roman"/>
                      <w:kern w:val="2"/>
                      <w:sz w:val="21"/>
                      <w:szCs w:val="21"/>
                    </w:rPr>
                    <w:t>、二噁英、苯并[a]芘、氰化物、氯气且厂界外500m范围内有环境空气保护目标</w:t>
                  </w:r>
                  <w:r>
                    <w:rPr>
                      <w:rFonts w:hint="default" w:ascii="Times New Roman" w:hAnsi="Times New Roman" w:eastAsia="宋体" w:cs="Times New Roman"/>
                      <w:kern w:val="2"/>
                      <w:sz w:val="21"/>
                      <w:szCs w:val="21"/>
                      <w:vertAlign w:val="superscript"/>
                    </w:rPr>
                    <w:t>⑵</w:t>
                  </w:r>
                  <w:r>
                    <w:rPr>
                      <w:rFonts w:hint="default" w:ascii="Times New Roman" w:hAnsi="Times New Roman" w:eastAsia="宋体" w:cs="Times New Roman"/>
                      <w:kern w:val="2"/>
                      <w:sz w:val="21"/>
                      <w:szCs w:val="21"/>
                    </w:rPr>
                    <w:t>的建设项目。</w:t>
                  </w:r>
                </w:p>
              </w:tc>
              <w:tc>
                <w:tcPr>
                  <w:tcW w:w="3306"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本项目排放废气不涉及含有毒有害污染物、二噁英、苯并[a]芘、氰化物、氯气的排放。</w:t>
                  </w:r>
                </w:p>
              </w:tc>
              <w:tc>
                <w:tcPr>
                  <w:tcW w:w="972" w:type="dxa"/>
                  <w:tcBorders>
                    <w:tl2br w:val="nil"/>
                    <w:tr2bl w:val="nil"/>
                  </w:tcBorders>
                  <w:vAlign w:val="center"/>
                </w:tcPr>
                <w:p>
                  <w:pPr>
                    <w:spacing w:after="0" w:line="44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2" w:type="dxa"/>
                  <w:tcBorders>
                    <w:tl2br w:val="nil"/>
                    <w:tr2bl w:val="nil"/>
                  </w:tcBorders>
                  <w:vAlign w:val="center"/>
                </w:tcPr>
                <w:p>
                  <w:pPr>
                    <w:spacing w:after="0" w:line="30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地表水</w:t>
                  </w:r>
                </w:p>
              </w:tc>
              <w:tc>
                <w:tcPr>
                  <w:tcW w:w="4032"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新增工业废水直排建设项目（槽罐车外送污水处理厂的除外）；新增废水直排的污水集中处理厂。</w:t>
                  </w:r>
                </w:p>
              </w:tc>
              <w:tc>
                <w:tcPr>
                  <w:tcW w:w="3306"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本项目废水系间接排放，经农创园污水处理厂处理达标后排入嘉陵江。</w:t>
                  </w:r>
                </w:p>
              </w:tc>
              <w:tc>
                <w:tcPr>
                  <w:tcW w:w="972" w:type="dxa"/>
                  <w:tcBorders>
                    <w:tl2br w:val="nil"/>
                    <w:tr2bl w:val="nil"/>
                  </w:tcBorders>
                  <w:vAlign w:val="center"/>
                </w:tcPr>
                <w:p>
                  <w:pPr>
                    <w:spacing w:after="0" w:line="44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2" w:type="dxa"/>
                  <w:tcBorders>
                    <w:tl2br w:val="nil"/>
                    <w:tr2bl w:val="nil"/>
                  </w:tcBorders>
                  <w:vAlign w:val="center"/>
                </w:tcPr>
                <w:p>
                  <w:pPr>
                    <w:spacing w:after="0" w:line="30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环境</w:t>
                  </w:r>
                </w:p>
                <w:p>
                  <w:pPr>
                    <w:spacing w:after="0" w:line="30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风险</w:t>
                  </w:r>
                </w:p>
              </w:tc>
              <w:tc>
                <w:tcPr>
                  <w:tcW w:w="4032"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有毒有害和易燃易爆危险物质存储量超过临界量</w:t>
                  </w:r>
                  <w:r>
                    <w:rPr>
                      <w:rFonts w:hint="default" w:ascii="Times New Roman" w:hAnsi="Times New Roman" w:eastAsia="宋体" w:cs="Times New Roman"/>
                      <w:kern w:val="2"/>
                      <w:sz w:val="21"/>
                      <w:szCs w:val="21"/>
                      <w:vertAlign w:val="superscript"/>
                    </w:rPr>
                    <w:t>⑶</w:t>
                  </w:r>
                  <w:r>
                    <w:rPr>
                      <w:rFonts w:hint="default" w:ascii="Times New Roman" w:hAnsi="Times New Roman" w:eastAsia="宋体" w:cs="Times New Roman"/>
                      <w:kern w:val="2"/>
                      <w:sz w:val="21"/>
                      <w:szCs w:val="21"/>
                    </w:rPr>
                    <w:t>的建设项目。</w:t>
                  </w:r>
                </w:p>
              </w:tc>
              <w:tc>
                <w:tcPr>
                  <w:tcW w:w="3306"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依据HJ169-2018《建设项目环境风险评价技术导则》，本项目涉及危险物质，但未超过其临界量。</w:t>
                  </w:r>
                </w:p>
              </w:tc>
              <w:tc>
                <w:tcPr>
                  <w:tcW w:w="972" w:type="dxa"/>
                  <w:tcBorders>
                    <w:tl2br w:val="nil"/>
                    <w:tr2bl w:val="nil"/>
                  </w:tcBorders>
                  <w:vAlign w:val="center"/>
                </w:tcPr>
                <w:p>
                  <w:pPr>
                    <w:spacing w:after="0" w:line="44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2" w:type="dxa"/>
                  <w:tcBorders>
                    <w:tl2br w:val="nil"/>
                    <w:tr2bl w:val="nil"/>
                  </w:tcBorders>
                  <w:vAlign w:val="center"/>
                </w:tcPr>
                <w:p>
                  <w:pPr>
                    <w:spacing w:after="0" w:line="30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生态</w:t>
                  </w:r>
                </w:p>
              </w:tc>
              <w:tc>
                <w:tcPr>
                  <w:tcW w:w="4032"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取水口下游500m范围内有重要水生生物的自然产卵场、索饵场、越冬场、洄游通道的新增河道取水的污染类建设项目。</w:t>
                  </w:r>
                </w:p>
              </w:tc>
              <w:tc>
                <w:tcPr>
                  <w:tcW w:w="3306"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本项目不涉及取水口，废水系间接排放，经农创园污水处理厂处理达标后排入嘉陵江。</w:t>
                  </w:r>
                </w:p>
              </w:tc>
              <w:tc>
                <w:tcPr>
                  <w:tcW w:w="972" w:type="dxa"/>
                  <w:tcBorders>
                    <w:tl2br w:val="nil"/>
                    <w:tr2bl w:val="nil"/>
                  </w:tcBorders>
                  <w:vAlign w:val="center"/>
                </w:tcPr>
                <w:p>
                  <w:pPr>
                    <w:spacing w:after="0" w:line="44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62" w:type="dxa"/>
                  <w:tcBorders>
                    <w:tl2br w:val="nil"/>
                    <w:tr2bl w:val="nil"/>
                  </w:tcBorders>
                  <w:vAlign w:val="center"/>
                </w:tcPr>
                <w:p>
                  <w:pPr>
                    <w:spacing w:after="0" w:line="30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海洋</w:t>
                  </w:r>
                </w:p>
              </w:tc>
              <w:tc>
                <w:tcPr>
                  <w:tcW w:w="4032"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直接向海排放污染物的海洋工程建设项目。</w:t>
                  </w:r>
                </w:p>
              </w:tc>
              <w:tc>
                <w:tcPr>
                  <w:tcW w:w="3306" w:type="dxa"/>
                  <w:tcBorders>
                    <w:tl2br w:val="nil"/>
                    <w:tr2bl w:val="nil"/>
                  </w:tcBorders>
                  <w:vAlign w:val="center"/>
                </w:tcPr>
                <w:p>
                  <w:pPr>
                    <w:spacing w:after="0" w:line="300" w:lineRule="exac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本项目位于内陆地区，不属于直接向海排放污染物的海洋工程项目。</w:t>
                  </w:r>
                </w:p>
              </w:tc>
              <w:tc>
                <w:tcPr>
                  <w:tcW w:w="972" w:type="dxa"/>
                  <w:tcBorders>
                    <w:tl2br w:val="nil"/>
                    <w:tr2bl w:val="nil"/>
                  </w:tcBorders>
                  <w:vAlign w:val="center"/>
                </w:tcPr>
                <w:p>
                  <w:pPr>
                    <w:spacing w:after="0" w:line="44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072" w:type="dxa"/>
                  <w:gridSpan w:val="4"/>
                  <w:tcBorders>
                    <w:tl2br w:val="nil"/>
                    <w:tr2bl w:val="nil"/>
                  </w:tcBorders>
                  <w:vAlign w:val="center"/>
                </w:tcPr>
                <w:p>
                  <w:pPr>
                    <w:spacing w:after="0" w:line="300" w:lineRule="atLeast"/>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注：⑴废气中有毒有害污染物指纳入《有毒有害大气污染物名录》的污染物（不包括无排放标准的污染物），即：二氯甲烷、三氯甲烷、三氯乙烯、四氯乙烯、甲醛、乙醛、镉及其化合物、铬及其化合物、汞及其化合物、铅及其化合物、砷及其化合物</w:t>
                  </w:r>
                </w:p>
                <w:p>
                  <w:pPr>
                    <w:spacing w:after="0" w:line="300" w:lineRule="atLeast"/>
                    <w:ind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⑵环境空气保护目标指自然保护区、风景名胜区、居住区、文化区和农村地区中人群较集中的区域</w:t>
                  </w:r>
                </w:p>
                <w:p>
                  <w:pPr>
                    <w:spacing w:after="0" w:line="300" w:lineRule="atLeast"/>
                    <w:ind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⑶临界量及其计算方法可参考《建设项目环境风险评价技术导则》（HJ169）附录B、附录C</w:t>
                  </w:r>
                </w:p>
              </w:tc>
            </w:tr>
          </w:tbl>
          <w:p>
            <w:pPr>
              <w:spacing w:after="0" w:line="36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由表1.1-1可知，本项目不需设置大气、地表水、环境风险、生态和海洋专项评价；且本项目不涉及集中式饮用水水源和热水、矿泉水、温泉等特殊地下水资源保护区，故不开展地下水专项评价。</w:t>
            </w:r>
          </w:p>
          <w:p>
            <w:pPr>
              <w:spacing w:after="0" w:line="360" w:lineRule="exact"/>
              <w:jc w:val="both"/>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1.1.2碳排放环境影响评价</w:t>
            </w:r>
          </w:p>
          <w:p>
            <w:pPr>
              <w:spacing w:after="0" w:line="36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行业类别系C3670汽车零部件及配件制造。根据《重点行业建设项目碳排放环境影响评价试点技术指南（试行）》和《重庆市建设项目环境影响评价技术指南—碳排放评价（试行）》，C3670汽车零部件及配件制造未列入碳排放评价。故本项目不开展碳排放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61" w:hRule="atLeast"/>
          <w:jc w:val="center"/>
        </w:trPr>
        <w:tc>
          <w:tcPr>
            <w:tcW w:w="9186" w:type="dxa"/>
            <w:tcBorders>
              <w:tl2br w:val="nil"/>
              <w:tr2bl w:val="nil"/>
            </w:tcBorders>
            <w:vAlign w:val="center"/>
          </w:tcPr>
          <w:p>
            <w:pPr>
              <w:spacing w:after="0"/>
              <w:rPr>
                <w:rFonts w:hint="default" w:ascii="Times New Roman" w:hAnsi="Times New Roman" w:eastAsia="宋体" w:cs="Times New Roman"/>
                <w:b/>
                <w:kern w:val="2"/>
                <w:sz w:val="28"/>
                <w:szCs w:val="28"/>
              </w:rPr>
            </w:pPr>
            <w:r>
              <w:rPr>
                <w:rFonts w:hint="default" w:ascii="Times New Roman" w:hAnsi="Times New Roman" w:eastAsia="宋体" w:cs="Times New Roman"/>
                <w:b/>
                <w:kern w:val="2"/>
                <w:sz w:val="28"/>
                <w:szCs w:val="28"/>
              </w:rPr>
              <w:t>1.2规划情况</w:t>
            </w:r>
          </w:p>
          <w:p>
            <w:pPr>
              <w:spacing w:after="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规划名称：《重庆市合川工业园区南溪组团南溪片区控制性详细规划(修改)》（</w:t>
            </w:r>
            <w:r>
              <w:rPr>
                <w:rFonts w:hint="default" w:ascii="Times New Roman" w:hAnsi="Times New Roman" w:eastAsia="宋体" w:cs="Times New Roman"/>
              </w:rPr>
              <w:t>合川府[2016]61号</w:t>
            </w:r>
            <w:r>
              <w:rPr>
                <w:rFonts w:hint="default" w:ascii="Times New Roman" w:hAnsi="Times New Roman" w:eastAsia="宋体" w:cs="Times New Roman"/>
                <w:kern w:val="2"/>
                <w:sz w:val="24"/>
                <w:szCs w:val="24"/>
              </w:rPr>
              <w:t>）</w:t>
            </w:r>
          </w:p>
          <w:p>
            <w:pPr>
              <w:spacing w:after="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审批机关：合川区人民政府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186" w:type="dxa"/>
            <w:tcBorders>
              <w:tl2br w:val="nil"/>
              <w:tr2bl w:val="nil"/>
            </w:tcBorders>
            <w:vAlign w:val="center"/>
          </w:tcPr>
          <w:p>
            <w:pPr>
              <w:spacing w:after="0" w:line="400" w:lineRule="exact"/>
              <w:rPr>
                <w:rFonts w:hint="default" w:ascii="Times New Roman" w:hAnsi="Times New Roman" w:eastAsia="宋体" w:cs="Times New Roman"/>
                <w:b/>
                <w:kern w:val="2"/>
                <w:sz w:val="28"/>
                <w:szCs w:val="28"/>
              </w:rPr>
            </w:pPr>
            <w:r>
              <w:rPr>
                <w:rFonts w:hint="default" w:ascii="Times New Roman" w:hAnsi="Times New Roman" w:eastAsia="宋体" w:cs="Times New Roman"/>
                <w:b/>
                <w:kern w:val="2"/>
                <w:sz w:val="28"/>
                <w:szCs w:val="28"/>
              </w:rPr>
              <w:t>1.3规划环境影响评价情况</w:t>
            </w:r>
          </w:p>
          <w:p>
            <w:pPr>
              <w:spacing w:after="0" w:line="400" w:lineRule="exact"/>
              <w:rPr>
                <w:rFonts w:hint="default" w:ascii="Times New Roman" w:hAnsi="Times New Roman" w:eastAsia="宋体" w:cs="Times New Roman"/>
                <w:kern w:val="2"/>
                <w:sz w:val="24"/>
                <w:szCs w:val="24"/>
              </w:rPr>
            </w:pPr>
            <w:r>
              <w:rPr>
                <w:rFonts w:hint="default" w:ascii="Times New Roman" w:hAnsi="Times New Roman" w:eastAsia="宋体" w:cs="Times New Roman"/>
                <w:spacing w:val="-6"/>
                <w:kern w:val="2"/>
                <w:sz w:val="24"/>
                <w:szCs w:val="24"/>
              </w:rPr>
              <w:t>规划环评文件名称：《合川工业园区南溪组团、渭沱组团B区规划环境影响报告书》</w:t>
            </w:r>
          </w:p>
          <w:p>
            <w:pPr>
              <w:spacing w:after="0" w:line="40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审批机关：重庆市生态环境局</w:t>
            </w:r>
          </w:p>
          <w:p>
            <w:pPr>
              <w:spacing w:after="0" w:line="40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审查文件名称：《重庆市生态环境局关于合川工业园区南溪组团、渭沱组团B区规划环境影响报告书审查意见的函》</w:t>
            </w:r>
          </w:p>
          <w:p>
            <w:pPr>
              <w:spacing w:after="0" w:line="40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审查文号及时间：渝环</w:t>
            </w:r>
            <w:r>
              <w:rPr>
                <w:rFonts w:hint="eastAsia" w:ascii="Times New Roman" w:hAnsi="Times New Roman" w:eastAsia="宋体" w:cs="Times New Roman"/>
                <w:kern w:val="2"/>
                <w:sz w:val="24"/>
                <w:szCs w:val="24"/>
                <w:lang w:eastAsia="zh-CN"/>
              </w:rPr>
              <w:t>函〔2019〕1169号</w:t>
            </w:r>
            <w:r>
              <w:rPr>
                <w:rFonts w:hint="default" w:ascii="Times New Roman" w:hAnsi="Times New Roman" w:eastAsia="宋体" w:cs="Times New Roman"/>
                <w:kern w:val="2"/>
                <w:sz w:val="24"/>
                <w:szCs w:val="24"/>
              </w:rPr>
              <w:t>，2019年10月17日</w:t>
            </w:r>
          </w:p>
        </w:tc>
      </w:tr>
    </w:tbl>
    <w:p>
      <w:pPr>
        <w:spacing w:after="0"/>
        <w:rPr>
          <w:rFonts w:hint="default" w:ascii="Times New Roman" w:hAnsi="Times New Roman" w:eastAsia="宋体" w:cs="Times New Roman"/>
          <w:sz w:val="24"/>
          <w:szCs w:val="24"/>
        </w:rPr>
        <w:sectPr>
          <w:pgSz w:w="11906" w:h="16838"/>
          <w:pgMar w:top="1417" w:right="1417" w:bottom="1417" w:left="1417" w:header="1134" w:footer="1021" w:gutter="0"/>
          <w:cols w:space="708" w:num="1"/>
          <w:docGrid w:linePitch="360" w:charSpace="0"/>
        </w:sect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186" w:type="dxa"/>
            <w:tcBorders>
              <w:tl2br w:val="nil"/>
              <w:tr2bl w:val="nil"/>
            </w:tcBorders>
            <w:vAlign w:val="center"/>
          </w:tcPr>
          <w:p>
            <w:pPr>
              <w:spacing w:after="0" w:line="400" w:lineRule="exact"/>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8"/>
                <w:szCs w:val="28"/>
              </w:rPr>
              <w:t>1.4规划及规划环境影响评价符合性分析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99" w:hRule="atLeast"/>
          <w:jc w:val="center"/>
        </w:trPr>
        <w:tc>
          <w:tcPr>
            <w:tcW w:w="9186" w:type="dxa"/>
            <w:tcBorders>
              <w:tl2br w:val="nil"/>
              <w:tr2bl w:val="nil"/>
            </w:tcBorders>
          </w:tcPr>
          <w:p>
            <w:pPr>
              <w:spacing w:after="0" w:line="420" w:lineRule="exact"/>
              <w:jc w:val="both"/>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1.4.1与重庆市合川工业园区南溪组团南溪片区控制性详细规划(修改)》符合性分析</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根据《重庆市合川工业园区南溪组团南溪片区控制性详细规划(修改)》，功能定位：以发展电子信息、装备制造、医药、食品为主，居住商业配套为辅的科技领先、经济繁荣、环境优美的工业园。</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规划布局：规划确定的三个生态休闲区、一个火车站片区，适当增大南溪商住区(即核心配套居住区)几大板块，工业片区根据现已落户企业划定电子、机械、医药、食品四个片区。</w:t>
            </w:r>
          </w:p>
          <w:p>
            <w:pPr>
              <w:spacing w:after="0" w:line="420" w:lineRule="exact"/>
              <w:ind w:firstLine="481"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u w:val="single"/>
              </w:rPr>
              <w:t>符合性分析</w:t>
            </w:r>
            <w:r>
              <w:rPr>
                <w:rFonts w:hint="default" w:ascii="Times New Roman" w:hAnsi="Times New Roman" w:eastAsia="宋体" w:cs="Times New Roman"/>
                <w:kern w:val="2"/>
                <w:sz w:val="24"/>
                <w:szCs w:val="24"/>
              </w:rPr>
              <w:t>：本项目为汽车零部件及配件制造项目，属于机械行业，项目位于合川区草街街道农创路，属于合川工业园南溪组团B区，符合园区总体规划产业定位及用地布局要求。</w:t>
            </w:r>
          </w:p>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1.4.2与《合川工业园区南溪组团、渭沱组团B区规划环境影响报告书》及其审查意见渝环</w:t>
            </w:r>
            <w:r>
              <w:rPr>
                <w:rFonts w:hint="eastAsia" w:ascii="Times New Roman" w:hAnsi="Times New Roman" w:eastAsia="宋体" w:cs="Times New Roman"/>
                <w:b/>
                <w:kern w:val="2"/>
                <w:sz w:val="24"/>
                <w:szCs w:val="24"/>
                <w:lang w:eastAsia="zh-CN"/>
              </w:rPr>
              <w:t>函〔2019〕1169号</w:t>
            </w:r>
            <w:r>
              <w:rPr>
                <w:rFonts w:hint="default" w:ascii="Times New Roman" w:hAnsi="Times New Roman" w:eastAsia="宋体" w:cs="Times New Roman"/>
                <w:b/>
                <w:kern w:val="2"/>
                <w:sz w:val="24"/>
                <w:szCs w:val="24"/>
              </w:rPr>
              <w:t>符合性分析</w:t>
            </w:r>
          </w:p>
          <w:p>
            <w:pPr>
              <w:spacing w:after="0" w:line="420" w:lineRule="exac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1.4.2.1规划环评符合性分析</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根据《合川工业园区南溪组团、渭沱组团B区规划环境影响报告书》：重庆市合川工业园区由南溪组团和渭沱组团B区组成，其中南溪组团包括A、B、C三个区。</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南溪组团B区主导产业由通用机械及汽摩零部件调整为信息安全产业，重点研发、设计及生产包括物联网芯片、控制芯片、电池芯片、终端芯片、存储芯片、组合芯片、集成电路芯片、5G核心芯片等为主的自主安全可控芯片。</w:t>
            </w:r>
          </w:p>
          <w:p>
            <w:pPr>
              <w:spacing w:after="0" w:line="40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本项目与南溪组团B区生态环境准入清单符合性分析见表1.4-1。</w:t>
            </w:r>
          </w:p>
          <w:p>
            <w:pPr>
              <w:spacing w:after="0" w:line="42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表1.4-1  本项目与园区生态环境准入清单的符合性分析</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47"/>
              <w:gridCol w:w="4961"/>
              <w:gridCol w:w="2498"/>
              <w:gridCol w:w="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4" w:hRule="atLeast"/>
                <w:jc w:val="center"/>
              </w:trPr>
              <w:tc>
                <w:tcPr>
                  <w:tcW w:w="847"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分类</w:t>
                  </w:r>
                </w:p>
              </w:tc>
              <w:tc>
                <w:tcPr>
                  <w:tcW w:w="49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环境准入要求</w:t>
                  </w:r>
                </w:p>
              </w:tc>
              <w:tc>
                <w:tcPr>
                  <w:tcW w:w="2498"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本项目情况</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空间布局约束</w:t>
                  </w:r>
                </w:p>
              </w:tc>
              <w:tc>
                <w:tcPr>
                  <w:tcW w:w="4961" w:type="dxa"/>
                  <w:tcBorders>
                    <w:tl2br w:val="nil"/>
                    <w:tr2bl w:val="nil"/>
                  </w:tcBorders>
                  <w:vAlign w:val="center"/>
                </w:tcPr>
                <w:p>
                  <w:pPr>
                    <w:pStyle w:val="72"/>
                    <w:widowControl/>
                    <w:adjustRightInd w:val="0"/>
                    <w:snapToGrid w:val="0"/>
                    <w:spacing w:line="240" w:lineRule="auto"/>
                    <w:ind w:firstLine="0" w:firstLineChars="0"/>
                    <w:jc w:val="left"/>
                    <w:rPr>
                      <w:rFonts w:hint="default" w:ascii="Times New Roman" w:hAnsi="Times New Roman" w:cs="Times New Roman"/>
                      <w:sz w:val="21"/>
                      <w:szCs w:val="21"/>
                      <w:lang w:bidi="ar"/>
                    </w:rPr>
                  </w:pPr>
                  <w:r>
                    <w:rPr>
                      <w:rFonts w:hint="default" w:ascii="Times New Roman" w:hAnsi="Times New Roman" w:cs="Times New Roman"/>
                      <w:sz w:val="21"/>
                      <w:szCs w:val="21"/>
                      <w:lang w:bidi="ar"/>
                    </w:rPr>
                    <w:t>规划区内企业入驻时应优化环境防护距离设置，以防范产业园区涉生态环境“邻避”问题为出发点，将环境防护距离优化控制在园区边界或用地红线以内</w:t>
                  </w:r>
                </w:p>
              </w:tc>
              <w:tc>
                <w:tcPr>
                  <w:tcW w:w="2498" w:type="dxa"/>
                  <w:tcBorders>
                    <w:tl2br w:val="nil"/>
                    <w:tr2bl w:val="nil"/>
                  </w:tcBorders>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本项目无须设置环境防护距离。</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污染物排放</w:t>
                  </w:r>
                </w:p>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管控</w:t>
                  </w:r>
                </w:p>
              </w:tc>
              <w:tc>
                <w:tcPr>
                  <w:tcW w:w="4961" w:type="dxa"/>
                  <w:tcBorders>
                    <w:tl2br w:val="nil"/>
                    <w:tr2bl w:val="nil"/>
                  </w:tcBorders>
                  <w:vAlign w:val="center"/>
                </w:tcPr>
                <w:p>
                  <w:pPr>
                    <w:pStyle w:val="72"/>
                    <w:widowControl/>
                    <w:adjustRightInd w:val="0"/>
                    <w:snapToGrid w:val="0"/>
                    <w:spacing w:line="240" w:lineRule="auto"/>
                    <w:ind w:firstLine="0" w:firstLineChars="0"/>
                    <w:jc w:val="left"/>
                    <w:rPr>
                      <w:rFonts w:hint="default" w:ascii="Times New Roman" w:hAnsi="Times New Roman" w:cs="Times New Roman"/>
                      <w:sz w:val="21"/>
                      <w:szCs w:val="21"/>
                      <w:lang w:bidi="ar"/>
                    </w:rPr>
                  </w:pPr>
                  <w:r>
                    <w:rPr>
                      <w:rFonts w:hint="default" w:ascii="Times New Roman" w:hAnsi="Times New Roman" w:cs="Times New Roman"/>
                      <w:sz w:val="21"/>
                      <w:szCs w:val="21"/>
                      <w:lang w:bidi="ar"/>
                    </w:rPr>
                    <w:t>禁止引入《重庆市发展和改革委员会关于印发重庆市产业投资准入工作手册的通知》中不予准入的产业</w:t>
                  </w:r>
                </w:p>
              </w:tc>
              <w:tc>
                <w:tcPr>
                  <w:tcW w:w="2498" w:type="dxa"/>
                  <w:tcBorders>
                    <w:tl2br w:val="nil"/>
                    <w:tr2bl w:val="nil"/>
                  </w:tcBorders>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本项目不属于《</w:t>
                  </w:r>
                  <w:r>
                    <w:rPr>
                      <w:rFonts w:hint="default" w:ascii="Times New Roman" w:hAnsi="Times New Roman" w:eastAsia="宋体" w:cs="Times New Roman"/>
                      <w:kern w:val="2"/>
                      <w:sz w:val="21"/>
                      <w:szCs w:val="21"/>
                      <w:lang w:bidi="ar"/>
                    </w:rPr>
                    <w:t>重庆市产业投资准入工作手册</w:t>
                  </w:r>
                  <w:r>
                    <w:rPr>
                      <w:rFonts w:hint="default" w:ascii="Times New Roman" w:hAnsi="Times New Roman" w:eastAsia="宋体" w:cs="Times New Roman"/>
                      <w:kern w:val="2"/>
                      <w:sz w:val="21"/>
                      <w:szCs w:val="21"/>
                    </w:rPr>
                    <w:t>》</w:t>
                  </w:r>
                  <w:r>
                    <w:rPr>
                      <w:rFonts w:hint="default" w:ascii="Times New Roman" w:hAnsi="Times New Roman" w:eastAsia="宋体" w:cs="Times New Roman"/>
                      <w:kern w:val="2"/>
                      <w:sz w:val="21"/>
                      <w:szCs w:val="21"/>
                      <w:lang w:bidi="ar"/>
                    </w:rPr>
                    <w:t>不予准入和限制准入的产业</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环境风险防控</w:t>
                  </w:r>
                </w:p>
              </w:tc>
              <w:tc>
                <w:tcPr>
                  <w:tcW w:w="4961"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规划区建设三级（车间、厂区、规划区）环境风险防控体系；督促规划区内各企业加强环境风险防控，建设防止环境风险物质泄漏扩散的封堵、围栏、喷淋、吸收、收集、处理等应急设施</w:t>
                  </w:r>
                </w:p>
              </w:tc>
              <w:tc>
                <w:tcPr>
                  <w:tcW w:w="2498"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本评价对本项目提出了风险防范措施，并要求企业制定相应的管理制度和应急预案。</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vMerge w:val="restart"/>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资源开发利用要求</w:t>
                  </w:r>
                </w:p>
              </w:tc>
              <w:tc>
                <w:tcPr>
                  <w:tcW w:w="4961"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新建和改造的工业项目清洁生产水平不得低于国家清洁生产标准的国内基本水平。新建高耗能项目单位产品（产值）能耗要达到国际先进水平。</w:t>
                  </w:r>
                </w:p>
              </w:tc>
              <w:tc>
                <w:tcPr>
                  <w:tcW w:w="2498"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本项目清洁生产水平达到国内先进水平且不属于高耗能项目。</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vMerge w:val="continue"/>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4961"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万元工业增加值用水量（m³/万元）&lt;36.9</w:t>
                  </w:r>
                </w:p>
              </w:tc>
              <w:tc>
                <w:tcPr>
                  <w:tcW w:w="2498"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本项目万元工业增加值用水量仅12.64m³/万元。</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bl>
          <w:p>
            <w:pPr>
              <w:rPr>
                <w:rFonts w:hint="default" w:ascii="Times New Roman" w:hAnsi="Times New Roman" w:cs="Times New Roman"/>
              </w:rPr>
            </w:pP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47"/>
              <w:gridCol w:w="4634"/>
              <w:gridCol w:w="2825"/>
              <w:gridCol w:w="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vMerge w:val="restart"/>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4634"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禁止《市场准入负面清单》、《关于发布长江经济带发展负面清单（指南）的通知》、《重庆市长江经济带发展负面清单实施细则（试行）》、《重庆市产业投资准入工作手册》（渝发改投[2018]541号）、《重庆市关于严格工业布局和准入的通知》（渝发改投[2018]781号）中提出的负面清单以及不予准入类项目；禁止引入资源环境绩效水平超过《重庆市工业项目环境准入规定》限值以及不符合生态建设和环境保护规划区域布局规定的工业项目</w:t>
                  </w:r>
                </w:p>
              </w:tc>
              <w:tc>
                <w:tcPr>
                  <w:tcW w:w="2825"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不属于负面清单及不予准入类项目，符合《长江经济带发展负面清单指南(试行，2022年版)》(长江办[2022]7号文件)、《四川省、重庆市长江经济带发展负面清单实施细则(试行，2022年版)》、《重庆市产业投资准入工作手册》(渝发改投[2022]1436号)、《重庆市关于严格工业布局和准入的通知》(渝发改投[2018]781号)的相关规定。</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vMerge w:val="continue"/>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4634"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禁止引入涉及重金属等有毒有害物质排放的电子专用材料制造项目（砷化镓外延工序除外）</w:t>
                  </w:r>
                </w:p>
              </w:tc>
              <w:tc>
                <w:tcPr>
                  <w:tcW w:w="2825"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本项目为汽车零部件及配件制造项目，不属于涉及重金属等有毒有害物质排放的电子专用材料制造项目(砷化镓外延工序除外)。</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vMerge w:val="continue"/>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4634"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嘉陵江及其一级支流沿岸地区（江河50年一遇洪水位向陆域一侧1公里范围内）禁止新建、扩建排放重金属（铬、镉、汞、砷、铅等五类重金属）、剧毒物质和持久性有机污染物的工业项目</w:t>
                  </w:r>
                </w:p>
              </w:tc>
              <w:tc>
                <w:tcPr>
                  <w:tcW w:w="2825"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本项目不属于新建、扩建排放重金属（铬、镉、汞、砷、铅等五类重金属）、剧毒物质和持久性有机污染物的工业项目。</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vMerge w:val="continue"/>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4634"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禁止新建、扩建化工项目（为园区主导产业配套必需的、对环境影响小、风险可控的化工项目除外）</w:t>
                  </w:r>
                </w:p>
              </w:tc>
              <w:tc>
                <w:tcPr>
                  <w:tcW w:w="2825"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本项目为汽车零部件及配件制造项目，不属于新建、扩建化工项目。</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vMerge w:val="continue"/>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4634"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禁止新建、扩建造纸、印染、化学原料药、铅酸电池、危险废物利用和处置以及存在严重环境安全风险的工业项目</w:t>
                  </w:r>
                </w:p>
              </w:tc>
              <w:tc>
                <w:tcPr>
                  <w:tcW w:w="2825"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本项目为汽车零部件及配件制造项目，不属于上述项目及存在严重环境安全风险的工业项目。</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vMerge w:val="continue"/>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4634"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禁止电镀（经论证确需在集中加工区外布局，投资额大于3000万，且不排放重金属的除外）</w:t>
                  </w:r>
                </w:p>
              </w:tc>
              <w:tc>
                <w:tcPr>
                  <w:tcW w:w="2825"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本项目为汽车零部件及配件制造项目，不属于电镀项目</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vMerge w:val="continue"/>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p>
              </w:tc>
              <w:tc>
                <w:tcPr>
                  <w:tcW w:w="4634"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含重金属（铬、镉、汞、铅、砷）废水禁止排放</w:t>
                  </w:r>
                </w:p>
              </w:tc>
              <w:tc>
                <w:tcPr>
                  <w:tcW w:w="2825"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本项目无含重金属（铬、镉、汞、铅、砷）废水</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 w:type="dxa"/>
                  <w:tcBorders>
                    <w:tl2br w:val="nil"/>
                    <w:tr2bl w:val="nil"/>
                  </w:tcBorders>
                  <w:vAlign w:val="center"/>
                </w:tcPr>
                <w:p>
                  <w:pPr>
                    <w:pStyle w:val="72"/>
                    <w:widowControl/>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限制准入产业</w:t>
                  </w:r>
                </w:p>
              </w:tc>
              <w:tc>
                <w:tcPr>
                  <w:tcW w:w="4634"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在合川区、江津区、长寿区、璧山等地区严格限制新建、扩建可能对主城区大气产生影响的燃煤、重油等高污染物工业项目</w:t>
                  </w:r>
                </w:p>
              </w:tc>
              <w:tc>
                <w:tcPr>
                  <w:tcW w:w="2825"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本项目不属于新建、扩建可能对主城区大气产生影响的燃煤、重油等高污染工业项目。</w:t>
                  </w:r>
                </w:p>
              </w:tc>
              <w:tc>
                <w:tcPr>
                  <w:tcW w:w="76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bl>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由表1.4-1可知，本项目建设符合园区生态环境准入清单要求。</w:t>
            </w:r>
          </w:p>
          <w:p>
            <w:pPr>
              <w:spacing w:after="0" w:line="420" w:lineRule="exact"/>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1.4.2.2审查意见符合性分析</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根据《重庆市生态环境局关于&lt;合川工业园区南溪组团、渭沱组团B区规划环境影响报告书&gt;审查意见的函》(渝环</w:t>
            </w:r>
            <w:r>
              <w:rPr>
                <w:rFonts w:hint="eastAsia" w:ascii="Times New Roman" w:hAnsi="Times New Roman" w:eastAsia="宋体" w:cs="Times New Roman"/>
                <w:kern w:val="2"/>
                <w:sz w:val="24"/>
                <w:szCs w:val="24"/>
                <w:lang w:eastAsia="zh-CN"/>
              </w:rPr>
              <w:t>函〔2019〕1169号</w:t>
            </w:r>
            <w:r>
              <w:rPr>
                <w:rFonts w:hint="default" w:ascii="Times New Roman" w:hAnsi="Times New Roman" w:eastAsia="宋体" w:cs="Times New Roman"/>
                <w:kern w:val="2"/>
                <w:sz w:val="24"/>
                <w:szCs w:val="24"/>
              </w:rPr>
              <w:t>)，本项目与其符合性分析见</w:t>
            </w:r>
            <w:r>
              <w:rPr>
                <w:rFonts w:hint="default" w:ascii="Times New Roman" w:hAnsi="Times New Roman" w:eastAsia="宋体" w:cs="Times New Roman"/>
                <w:kern w:val="2"/>
                <w:sz w:val="24"/>
                <w:szCs w:val="24"/>
              </w:rPr>
              <w:fldChar w:fldCharType="begin"/>
            </w:r>
            <w:r>
              <w:rPr>
                <w:rFonts w:hint="default" w:ascii="Times New Roman" w:hAnsi="Times New Roman" w:eastAsia="宋体" w:cs="Times New Roman"/>
                <w:kern w:val="2"/>
                <w:sz w:val="24"/>
                <w:szCs w:val="24"/>
              </w:rPr>
              <w:instrText xml:space="preserve"> REF _Ref97219084 \h  \* MERGEFORMAT </w:instrText>
            </w:r>
            <w:r>
              <w:rPr>
                <w:rFonts w:hint="default" w:ascii="Times New Roman" w:hAnsi="Times New Roman" w:eastAsia="宋体" w:cs="Times New Roman"/>
                <w:kern w:val="2"/>
                <w:sz w:val="24"/>
                <w:szCs w:val="24"/>
              </w:rPr>
              <w:fldChar w:fldCharType="separate"/>
            </w:r>
            <w:r>
              <w:rPr>
                <w:rFonts w:hint="default" w:ascii="Times New Roman" w:hAnsi="Times New Roman" w:eastAsia="宋体" w:cs="Times New Roman"/>
                <w:kern w:val="2"/>
                <w:sz w:val="24"/>
                <w:szCs w:val="24"/>
              </w:rPr>
              <w:t>表1.4</w:t>
            </w:r>
            <w:r>
              <w:rPr>
                <w:rFonts w:hint="default" w:ascii="Times New Roman" w:hAnsi="Times New Roman" w:eastAsia="宋体" w:cs="Times New Roman"/>
                <w:kern w:val="2"/>
                <w:sz w:val="24"/>
                <w:szCs w:val="24"/>
              </w:rPr>
              <w:noBreakHyphen/>
            </w:r>
            <w:r>
              <w:rPr>
                <w:rFonts w:hint="default" w:ascii="Times New Roman" w:hAnsi="Times New Roman" w:eastAsia="宋体" w:cs="Times New Roman"/>
                <w:kern w:val="2"/>
                <w:sz w:val="24"/>
                <w:szCs w:val="24"/>
              </w:rPr>
              <w:fldChar w:fldCharType="end"/>
            </w:r>
            <w:r>
              <w:rPr>
                <w:rFonts w:hint="default" w:ascii="Times New Roman" w:hAnsi="Times New Roman" w:eastAsia="宋体" w:cs="Times New Roman"/>
                <w:kern w:val="2"/>
                <w:sz w:val="24"/>
                <w:szCs w:val="24"/>
              </w:rPr>
              <w:t>2。</w:t>
            </w:r>
          </w:p>
          <w:p>
            <w:pPr>
              <w:spacing w:after="0" w:line="40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表1.4-2  本项目与规划环评及审查意见函的符合性分析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02"/>
              <w:gridCol w:w="5839"/>
              <w:gridCol w:w="1869"/>
              <w:gridCol w:w="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441" w:type="dxa"/>
                  <w:gridSpan w:val="2"/>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cs="Times New Roman" w:eastAsiaTheme="minorEastAsia"/>
                      <w:kern w:val="2"/>
                      <w:sz w:val="21"/>
                      <w:szCs w:val="21"/>
                    </w:rPr>
                    <w:t>规划环评及其审查意见函的环保要求</w:t>
                  </w:r>
                </w:p>
              </w:tc>
              <w:tc>
                <w:tcPr>
                  <w:tcW w:w="1869"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本项目情况</w:t>
                  </w:r>
                </w:p>
              </w:tc>
              <w:tc>
                <w:tcPr>
                  <w:tcW w:w="7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2" w:type="dxa"/>
                  <w:tcBorders>
                    <w:tl2br w:val="nil"/>
                    <w:tr2bl w:val="nil"/>
                  </w:tcBorders>
                  <w:vAlign w:val="center"/>
                </w:tcPr>
                <w:p>
                  <w:pPr>
                    <w:spacing w:after="0"/>
                    <w:ind w:firstLine="210" w:firstLineChars="1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583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(一)加强空间管制。规划区后续开发建设时应在嘉陵江沿岸布置不少于50米的绿化缓冲带。嘉陵江及其一级支流汇入口上游20公里、集中式饮用水水源取水口上游20 公里范围内的沿岸地区(江河50 年一遇洪水位向陆域一侧1公里范围内)，禁止新建、扩建排放重金属(铬、镉、汞、砷、铅)、剧毒物质和持久性有机污染物的工业项目。</w:t>
                  </w:r>
                </w:p>
              </w:tc>
              <w:tc>
                <w:tcPr>
                  <w:tcW w:w="186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本项目不排放重金属(铬、镉、汞、砷、铅)、剧毒物质和持久性有机污染物。</w:t>
                  </w:r>
                </w:p>
              </w:tc>
              <w:tc>
                <w:tcPr>
                  <w:tcW w:w="7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2" w:type="dxa"/>
                  <w:tcBorders>
                    <w:tl2br w:val="nil"/>
                    <w:tr2bl w:val="nil"/>
                  </w:tcBorders>
                  <w:vAlign w:val="center"/>
                </w:tcPr>
                <w:p>
                  <w:pPr>
                    <w:spacing w:after="0"/>
                    <w:ind w:firstLine="210" w:firstLineChars="1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5839" w:type="dxa"/>
                  <w:tcBorders>
                    <w:tl2br w:val="nil"/>
                    <w:tr2bl w:val="nil"/>
                  </w:tcBorders>
                  <w:vAlign w:val="center"/>
                </w:tcPr>
                <w:p>
                  <w:pPr>
                    <w:spacing w:after="0"/>
                    <w:jc w:val="both"/>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rPr>
                    <w:t>(二)严格环境准入。强化规划环评与合川区“三线一单”(生态保护红线、环境质量底线、资源利用上线，生态环境准入清单)的联动，主要管控措施应符合合川区“三线一单”要求。规划区应优化产业发展方向，落实生态环境准入清单，严格建设项目环境准入。坚持源头防控，倡导循环经济，提高清洁生产水平，从源头控制和减少污染物的产排量，按照清洁生产的要求，不断提升现有工业企业清洁生产水平，新建、改扩建项目清洁生产水平不得低于国内先进水平。</w:t>
                  </w:r>
                </w:p>
              </w:tc>
              <w:tc>
                <w:tcPr>
                  <w:tcW w:w="186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项目满足“三线一单”要求，清洁生产达到国内先进水平。</w:t>
                  </w:r>
                </w:p>
              </w:tc>
              <w:tc>
                <w:tcPr>
                  <w:tcW w:w="7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2" w:type="dxa"/>
                  <w:tcBorders>
                    <w:tl2br w:val="nil"/>
                    <w:tr2bl w:val="nil"/>
                  </w:tcBorders>
                  <w:vAlign w:val="center"/>
                </w:tcPr>
                <w:p>
                  <w:pPr>
                    <w:spacing w:after="0"/>
                    <w:ind w:firstLine="210" w:firstLineChars="100"/>
                    <w:jc w:val="both"/>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rPr>
                    <w:t>3</w:t>
                  </w:r>
                </w:p>
              </w:tc>
              <w:tc>
                <w:tcPr>
                  <w:tcW w:w="5839" w:type="dxa"/>
                  <w:tcBorders>
                    <w:tl2br w:val="nil"/>
                    <w:tr2bl w:val="nil"/>
                  </w:tcBorders>
                  <w:vAlign w:val="center"/>
                </w:tcPr>
                <w:p>
                  <w:pPr>
                    <w:spacing w:after="0"/>
                    <w:jc w:val="both"/>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rPr>
                    <w:t>(三)加强大气污染防治。加强现有企业大气污染治理和监管，确保各类大气污染物持续稳定达标排放。通过工艺改进、清洁生产、完善措施等手段减少废气无组织排放。鼓励规划区内企业以天然气、电等为能源，除现有的水泥厂、合川盐化外禁止燃煤；规划区内水泥生产等企业应当按照市政府及有关部门关于错峰生产的调度要求，限产停产；排放挥发性有机物的企业其废气收集和处理必须满足国家及重庆市“十三五”挥发性有机物污染防治工作方案的相关要求。南溪组团B区应控制砷化嫁芯片外延工序生产规模，采取严格的废气收集及处理措施，最大程度减少重金属废气排放对周边环境的影响。</w:t>
                  </w:r>
                </w:p>
              </w:tc>
              <w:tc>
                <w:tcPr>
                  <w:tcW w:w="186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项目以电为能源、项目废气经集气装置收集后引入“二级活性炭”处理达标后排放。</w:t>
                  </w:r>
                </w:p>
              </w:tc>
              <w:tc>
                <w:tcPr>
                  <w:tcW w:w="7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2" w:type="dxa"/>
                  <w:tcBorders>
                    <w:tl2br w:val="nil"/>
                    <w:tr2bl w:val="nil"/>
                  </w:tcBorders>
                  <w:vAlign w:val="center"/>
                </w:tcPr>
                <w:p>
                  <w:pPr>
                    <w:spacing w:after="0"/>
                    <w:ind w:firstLine="210" w:firstLineChars="100"/>
                    <w:jc w:val="both"/>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rPr>
                    <w:t>4</w:t>
                  </w:r>
                </w:p>
              </w:tc>
              <w:tc>
                <w:tcPr>
                  <w:tcW w:w="5839" w:type="dxa"/>
                  <w:tcBorders>
                    <w:tl2br w:val="nil"/>
                    <w:tr2bl w:val="nil"/>
                  </w:tcBorders>
                  <w:vAlign w:val="center"/>
                </w:tcPr>
                <w:p>
                  <w:pPr>
                    <w:spacing w:after="0"/>
                    <w:jc w:val="both"/>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rPr>
                    <w:t>(四)加强水环境保护。提高废水回用率，减少废水污染物排放。加强现有企业废水排放监管，确保规划区废水经污水处理厂处理达标后排放。规划区禁止含重金属(汞、铬、镉、铅、砷)废水排放。南溪组团B区污水处理厂应尽快进行提标改造，增设电子工业特征水污染物处理工艺。渭沱组团污水处理厂加快建设进度，确保洞组团B区生产废水、生活污水能进入污水处理厂集中处理达标后外排。</w:t>
                  </w:r>
                </w:p>
              </w:tc>
              <w:tc>
                <w:tcPr>
                  <w:tcW w:w="186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项目无重金属废水排放。项目废水经生化池处理达标后排入农创园污水处理厂。</w:t>
                  </w:r>
                </w:p>
              </w:tc>
              <w:tc>
                <w:tcPr>
                  <w:tcW w:w="7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2" w:type="dxa"/>
                  <w:tcBorders>
                    <w:tl2br w:val="nil"/>
                    <w:tr2bl w:val="nil"/>
                  </w:tcBorders>
                  <w:vAlign w:val="center"/>
                </w:tcPr>
                <w:p>
                  <w:pPr>
                    <w:spacing w:after="0"/>
                    <w:ind w:firstLine="210" w:firstLineChars="100"/>
                    <w:jc w:val="both"/>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rPr>
                    <w:t>5</w:t>
                  </w:r>
                </w:p>
              </w:tc>
              <w:tc>
                <w:tcPr>
                  <w:tcW w:w="5839" w:type="dxa"/>
                  <w:tcBorders>
                    <w:tl2br w:val="nil"/>
                    <w:tr2bl w:val="nil"/>
                  </w:tcBorders>
                  <w:vAlign w:val="center"/>
                </w:tcPr>
                <w:p>
                  <w:pPr>
                    <w:spacing w:after="0"/>
                    <w:jc w:val="both"/>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rPr>
                    <w:t>(五)重视地下水污染防控。采取源头控制为主的原则，落实分区、分级防渗措施，防止规划实施对区域地下水环境的污染。按监测计划，应定期开展地下水跟踪监测工作，根据监测结果，督促相关企业完善相应的地下水污染防控措施。</w:t>
                  </w:r>
                </w:p>
              </w:tc>
              <w:tc>
                <w:tcPr>
                  <w:tcW w:w="186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项目危废贮存点、辅料室做好“六防”措施，从源头控制地下水污染途径。</w:t>
                  </w:r>
                </w:p>
              </w:tc>
              <w:tc>
                <w:tcPr>
                  <w:tcW w:w="7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2" w:type="dxa"/>
                  <w:tcBorders>
                    <w:tl2br w:val="nil"/>
                    <w:tr2bl w:val="nil"/>
                  </w:tcBorders>
                  <w:vAlign w:val="center"/>
                </w:tcPr>
                <w:p>
                  <w:pPr>
                    <w:spacing w:after="0"/>
                    <w:ind w:firstLine="210" w:firstLineChars="100"/>
                    <w:jc w:val="both"/>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rPr>
                    <w:t>6</w:t>
                  </w:r>
                </w:p>
              </w:tc>
              <w:tc>
                <w:tcPr>
                  <w:tcW w:w="5839" w:type="dxa"/>
                  <w:tcBorders>
                    <w:tl2br w:val="nil"/>
                    <w:tr2bl w:val="nil"/>
                  </w:tcBorders>
                  <w:vAlign w:val="center"/>
                </w:tcPr>
                <w:p>
                  <w:pPr>
                    <w:spacing w:after="0"/>
                    <w:jc w:val="both"/>
                    <w:rPr>
                      <w:rFonts w:hint="default" w:ascii="Times New Roman" w:hAnsi="Times New Roman" w:eastAsia="宋体" w:cs="Times New Roman"/>
                      <w:kern w:val="2"/>
                      <w:sz w:val="21"/>
                      <w:szCs w:val="21"/>
                      <w:lang w:val="zh-CN"/>
                    </w:rPr>
                  </w:pPr>
                  <w:r>
                    <w:rPr>
                      <w:rFonts w:hint="default" w:ascii="Times New Roman" w:hAnsi="Times New Roman" w:eastAsia="宋体" w:cs="Times New Roman"/>
                      <w:kern w:val="2"/>
                      <w:sz w:val="21"/>
                      <w:szCs w:val="21"/>
                    </w:rPr>
                    <w:t>(六)强化噪声污染防控。合理布局噪声源，高噪声源应尽量远离居住区布置。加强规划区现有企业噪声治理，采用低噪声设备，采取消声、隔声、减震等措施，确保厂界噪声达标，尽量减少对周边居民的影响。</w:t>
                  </w:r>
                </w:p>
              </w:tc>
              <w:tc>
                <w:tcPr>
                  <w:tcW w:w="186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项目购买低噪声设备，采取隔声、减震等措施。</w:t>
                  </w:r>
                </w:p>
              </w:tc>
              <w:tc>
                <w:tcPr>
                  <w:tcW w:w="7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2" w:type="dxa"/>
                  <w:tcBorders>
                    <w:tl2br w:val="nil"/>
                    <w:tr2bl w:val="nil"/>
                  </w:tcBorders>
                  <w:vAlign w:val="center"/>
                </w:tcPr>
                <w:p>
                  <w:pPr>
                    <w:spacing w:after="0"/>
                    <w:ind w:firstLine="210" w:firstLineChars="1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583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七)加强土壤和固体废物污染防治。按照《重庆市贯彻落实土壤污染防治行动计划工作方案》和土壤污染防治目标责任书相关要求，有效防控土壤环境风险，防范建设用地新增污染。加强工业固体废物综合利用和处置，统筹解决好一般工业固体废物处置配套不足的问题，结合工业园区各组团发展需求，科学论证，加紧规划设置一般工业固体废物处置场或工业固体废物综合利用和处置设施。规划区内土地利用性质调整，应按相关规定要求开展土壤调查和风险评估，经评估确定为污染地块的，应当在土地转让前开展治理修复。</w:t>
                  </w:r>
                </w:p>
              </w:tc>
              <w:tc>
                <w:tcPr>
                  <w:tcW w:w="186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项目危废贮存点、辅料室做好“六防”措施，从源头控制土壤污染途径。</w:t>
                  </w:r>
                </w:p>
              </w:tc>
              <w:tc>
                <w:tcPr>
                  <w:tcW w:w="7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2" w:type="dxa"/>
                  <w:tcBorders>
                    <w:tl2br w:val="nil"/>
                    <w:tr2bl w:val="nil"/>
                  </w:tcBorders>
                  <w:vAlign w:val="center"/>
                </w:tcPr>
                <w:p>
                  <w:pPr>
                    <w:spacing w:after="0"/>
                    <w:ind w:firstLine="210" w:firstLineChars="1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w:t>
                  </w:r>
                </w:p>
              </w:tc>
              <w:tc>
                <w:tcPr>
                  <w:tcW w:w="583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八)强化环境风险防范。进一步完善环境风险防范体系建设，相关企业尤其是涉及危化品的企业应严格落实各项环境风险防范措施，防范突发性环境风险事故。建立健全园区级风险防控体系，完善环境风险应急预案，加强对企业环境风险源的监督管理。强化事故废水应急收集及处理措施，完善园区“三级”环境风险防控体系，确保事故废水不对大口鲶县级自然保护区造成影响。应加快实施盐井水厂、方溪水厂搬迁关闭进度，确保居民饮用水安全。</w:t>
                  </w:r>
                </w:p>
              </w:tc>
              <w:tc>
                <w:tcPr>
                  <w:tcW w:w="1869"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项目采取了风险防范，并制定了相应的管理制度和应急预案。</w:t>
                  </w:r>
                </w:p>
              </w:tc>
              <w:tc>
                <w:tcPr>
                  <w:tcW w:w="7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bl>
          <w:p>
            <w:pPr>
              <w:spacing w:after="0" w:line="400" w:lineRule="exact"/>
              <w:ind w:firstLine="472" w:firstLineChars="200"/>
              <w:jc w:val="both"/>
              <w:rPr>
                <w:rFonts w:hint="default" w:ascii="Times New Roman" w:hAnsi="Times New Roman" w:cs="Times New Roman"/>
              </w:rPr>
            </w:pPr>
            <w:r>
              <w:rPr>
                <w:rFonts w:hint="default" w:ascii="Times New Roman" w:hAnsi="Times New Roman" w:eastAsia="宋体" w:cs="Times New Roman"/>
                <w:spacing w:val="-2"/>
                <w:kern w:val="2"/>
                <w:sz w:val="24"/>
                <w:szCs w:val="24"/>
              </w:rPr>
              <w:t>由表1.4-2可知，本项目符合园区规划环评及其审查意见函的要求。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4" w:hRule="atLeast"/>
          <w:jc w:val="center"/>
        </w:trPr>
        <w:tc>
          <w:tcPr>
            <w:tcW w:w="9186" w:type="dxa"/>
            <w:tcBorders>
              <w:tl2br w:val="nil"/>
              <w:tr2bl w:val="nil"/>
            </w:tcBorders>
          </w:tcPr>
          <w:p>
            <w:pPr>
              <w:spacing w:after="0" w:line="420" w:lineRule="exact"/>
              <w:jc w:val="both"/>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8"/>
                <w:szCs w:val="28"/>
              </w:rPr>
              <w:t>1.5其他符合性分析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210" w:hRule="atLeast"/>
          <w:jc w:val="center"/>
        </w:trPr>
        <w:tc>
          <w:tcPr>
            <w:tcW w:w="9186" w:type="dxa"/>
            <w:tcBorders>
              <w:tl2br w:val="nil"/>
              <w:tr2bl w:val="nil"/>
            </w:tcBorders>
          </w:tcPr>
          <w:p>
            <w:pPr>
              <w:spacing w:after="0" w:line="420" w:lineRule="exact"/>
              <w:jc w:val="both"/>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1.5.1与产业政策符合性分析</w:t>
            </w:r>
          </w:p>
          <w:p>
            <w:pPr>
              <w:spacing w:after="0" w:line="420" w:lineRule="exact"/>
              <w:ind w:firstLine="480" w:firstLineChars="200"/>
              <w:jc w:val="both"/>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本项目为C3670汽车零部件及配件制造，根据国家发展和改革委员会令第29号《产业结构调整指导目录（2019年本）》以及</w:t>
            </w:r>
            <w:r>
              <w:rPr>
                <w:rFonts w:hint="default" w:ascii="Times New Roman" w:hAnsi="Times New Roman" w:eastAsia="宋体" w:cs="Times New Roman"/>
                <w:sz w:val="24"/>
                <w:szCs w:val="24"/>
                <w:shd w:val="clear" w:color="auto" w:fill="FFFFFF"/>
              </w:rPr>
              <w:t>2023年12月27日</w:t>
            </w:r>
            <w:r>
              <w:rPr>
                <w:rFonts w:hint="default" w:ascii="Times New Roman" w:hAnsi="Times New Roman" w:eastAsia="宋体" w:cs="Times New Roman"/>
                <w:kern w:val="2"/>
                <w:sz w:val="24"/>
                <w:szCs w:val="24"/>
                <w:lang w:bidi="ar"/>
              </w:rPr>
              <w:t>国家发展和改革委员会</w:t>
            </w:r>
            <w:r>
              <w:rPr>
                <w:rFonts w:hint="default" w:ascii="Times New Roman" w:hAnsi="Times New Roman" w:eastAsia="宋体" w:cs="Times New Roman"/>
                <w:sz w:val="24"/>
                <w:szCs w:val="24"/>
                <w:shd w:val="clear" w:color="auto" w:fill="FFFFFF"/>
              </w:rPr>
              <w:t>令第7号公布</w:t>
            </w:r>
            <w:r>
              <w:rPr>
                <w:rFonts w:hint="default" w:ascii="Times New Roman" w:hAnsi="Times New Roman" w:eastAsia="宋体" w:cs="Times New Roman"/>
                <w:sz w:val="27"/>
                <w:szCs w:val="27"/>
                <w:shd w:val="clear" w:color="auto" w:fill="FFFFFF"/>
              </w:rPr>
              <w:t>，</w:t>
            </w:r>
            <w:r>
              <w:rPr>
                <w:rFonts w:hint="default" w:ascii="Times New Roman" w:hAnsi="Times New Roman" w:eastAsia="宋体" w:cs="Times New Roman"/>
                <w:kern w:val="2"/>
                <w:sz w:val="24"/>
                <w:szCs w:val="24"/>
                <w:lang w:bidi="ar"/>
              </w:rPr>
              <w:t>将于2024年2月1日施行的《产业结构调整指导目录(2024年本)》中的规定，本项目不属于鼓励类、限制类、淘汰类，视为允许类项目；不属于《市场准入负面清单（2019年版）》（发改体改[2019]01685号）中所列行业，且重庆市合川区发展和改革委员会对本项目予以投资备案（项目代码：22310-500117-04-05-887560）。因此，本项目符合国家产业政策和市场准入规定。</w:t>
            </w:r>
          </w:p>
          <w:p>
            <w:pPr>
              <w:spacing w:after="0" w:line="420" w:lineRule="exact"/>
              <w:jc w:val="both"/>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1.5.2与“三线一单”符合性分析</w:t>
            </w:r>
          </w:p>
          <w:p>
            <w:pPr>
              <w:spacing w:after="0" w:line="420" w:lineRule="exact"/>
              <w:ind w:firstLine="480" w:firstLineChars="200"/>
              <w:jc w:val="both"/>
              <w:rPr>
                <w:rFonts w:hint="default" w:ascii="Times New Roman" w:hAnsi="Times New Roman" w:eastAsia="宋体" w:cs="Times New Roman"/>
                <w:kern w:val="2"/>
                <w:sz w:val="24"/>
                <w:szCs w:val="24"/>
                <w:u w:val="single"/>
              </w:rPr>
            </w:pPr>
            <w:r>
              <w:rPr>
                <w:rFonts w:hint="default" w:ascii="Times New Roman" w:hAnsi="Times New Roman" w:eastAsia="宋体" w:cs="Times New Roman"/>
                <w:color w:val="auto"/>
                <w:kern w:val="2"/>
                <w:sz w:val="24"/>
                <w:szCs w:val="24"/>
              </w:rPr>
              <w:t>根据</w:t>
            </w:r>
            <w:r>
              <w:rPr>
                <w:rFonts w:hint="default" w:ascii="Times New Roman" w:hAnsi="Times New Roman" w:eastAsia="宋体" w:cs="Times New Roman"/>
                <w:color w:val="auto"/>
                <w:sz w:val="24"/>
                <w:szCs w:val="24"/>
                <w:lang w:val="en-US" w:eastAsia="zh-CN"/>
              </w:rPr>
              <w:t>《重庆市合川区人民政府关于落实生态保护红线、环境质量底线、资源利用上线制定生态环境准入清单实施生态环境分区管控的实施意见》（合川府发〔2020〕16号）和</w:t>
            </w:r>
            <w:r>
              <w:rPr>
                <w:rFonts w:hint="default" w:ascii="Times New Roman" w:hAnsi="Times New Roman" w:eastAsia="宋体" w:cs="Times New Roman"/>
                <w:color w:val="auto"/>
                <w:sz w:val="24"/>
                <w:szCs w:val="24"/>
                <w:lang w:eastAsia="zh-CN"/>
              </w:rPr>
              <w:t>关于印发《重庆市“三线一单”生态环境分区管控调整方案（2023年）》的通知（渝环规〔2024〕2号）</w:t>
            </w:r>
            <w:r>
              <w:rPr>
                <w:rFonts w:hint="default" w:ascii="Times New Roman" w:hAnsi="Times New Roman" w:eastAsia="宋体" w:cs="Times New Roman"/>
                <w:color w:val="auto"/>
                <w:kern w:val="2"/>
                <w:sz w:val="24"/>
                <w:szCs w:val="24"/>
              </w:rPr>
              <w:t>，同时通过“重庆市‘三线一单’智检服务”查询，本项目位于合川工业园南溪组团B区内，从事汽车零部件及配件制造，本项目所在地不涉及生态保护红线和一般生态空间，属于ZH50011720001合川区重点管</w:t>
            </w:r>
            <w:r>
              <w:rPr>
                <w:rFonts w:hint="default" w:ascii="Times New Roman" w:hAnsi="Times New Roman" w:eastAsia="宋体" w:cs="Times New Roman"/>
                <w:kern w:val="2"/>
                <w:sz w:val="24"/>
                <w:szCs w:val="24"/>
              </w:rPr>
              <w:t>控单元-嘉陵江北温泉合川段，系重点管控单元1。</w:t>
            </w:r>
          </w:p>
          <w:p>
            <w:pPr>
              <w:spacing w:after="0" w:line="420" w:lineRule="exact"/>
              <w:jc w:val="both"/>
              <w:rPr>
                <w:rFonts w:hint="default" w:ascii="Times New Roman" w:hAnsi="Times New Roman" w:eastAsia="宋体" w:cs="Times New Roman"/>
                <w:b/>
                <w:kern w:val="2"/>
                <w:sz w:val="28"/>
                <w:szCs w:val="28"/>
              </w:rPr>
            </w:pPr>
            <w:r>
              <w:rPr>
                <w:rFonts w:hint="default" w:ascii="Times New Roman" w:hAnsi="Times New Roman" w:eastAsia="宋体" w:cs="Times New Roman"/>
                <w:kern w:val="2"/>
                <w:sz w:val="24"/>
                <w:szCs w:val="24"/>
              </w:rPr>
              <w:t>本项目与“三线一单”管控要求的符合性分析见表1.5-1</w:t>
            </w:r>
          </w:p>
        </w:tc>
      </w:tr>
    </w:tbl>
    <w:p>
      <w:pPr>
        <w:spacing w:after="0"/>
        <w:rPr>
          <w:rFonts w:hint="default" w:ascii="Times New Roman" w:hAnsi="Times New Roman" w:eastAsia="宋体" w:cs="Times New Roman"/>
          <w:sz w:val="24"/>
          <w:szCs w:val="24"/>
        </w:rPr>
        <w:sectPr>
          <w:pgSz w:w="11906" w:h="16838"/>
          <w:pgMar w:top="1417" w:right="1417" w:bottom="1417" w:left="1417" w:header="1134" w:footer="1021" w:gutter="0"/>
          <w:cols w:space="708" w:num="1"/>
          <w:docGrid w:linePitch="360" w:charSpace="0"/>
        </w:sectPr>
      </w:pPr>
    </w:p>
    <w:p>
      <w:pPr>
        <w:spacing w:after="0" w:line="420" w:lineRule="exact"/>
        <w:jc w:val="center"/>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表1.5-1  本项目与“三线一单”管控要求的符合性分析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100"/>
        <w:gridCol w:w="8333"/>
        <w:gridCol w:w="2917"/>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41" w:type="dxa"/>
            <w:gridSpan w:val="2"/>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环境管控单元编码</w:t>
            </w:r>
          </w:p>
        </w:tc>
        <w:tc>
          <w:tcPr>
            <w:tcW w:w="8333" w:type="dxa"/>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环境管控单元名称</w:t>
            </w:r>
          </w:p>
        </w:tc>
        <w:tc>
          <w:tcPr>
            <w:tcW w:w="3846" w:type="dxa"/>
            <w:gridSpan w:val="2"/>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环境管控单元类别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41" w:type="dxa"/>
            <w:gridSpan w:val="2"/>
            <w:vAlign w:val="center"/>
          </w:tcPr>
          <w:p>
            <w:pPr>
              <w:spacing w:after="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rPr>
              <w:t>ZH50011720001</w:t>
            </w:r>
          </w:p>
        </w:tc>
        <w:tc>
          <w:tcPr>
            <w:tcW w:w="8333" w:type="dxa"/>
            <w:vAlign w:val="center"/>
          </w:tcPr>
          <w:p>
            <w:pPr>
              <w:spacing w:after="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rPr>
              <w:t>合川区重点管控单元-嘉陵江北温泉合川段</w:t>
            </w:r>
          </w:p>
        </w:tc>
        <w:tc>
          <w:tcPr>
            <w:tcW w:w="3846" w:type="dxa"/>
            <w:gridSpan w:val="2"/>
            <w:vAlign w:val="center"/>
          </w:tcPr>
          <w:p>
            <w:pPr>
              <w:spacing w:after="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rPr>
              <w:t>重点管控单元1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1" w:type="dxa"/>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管控要求层级</w:t>
            </w:r>
          </w:p>
        </w:tc>
        <w:tc>
          <w:tcPr>
            <w:tcW w:w="1100" w:type="dxa"/>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管控类型</w:t>
            </w:r>
          </w:p>
        </w:tc>
        <w:tc>
          <w:tcPr>
            <w:tcW w:w="8333" w:type="dxa"/>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管控要求</w:t>
            </w:r>
          </w:p>
        </w:tc>
        <w:tc>
          <w:tcPr>
            <w:tcW w:w="2917" w:type="dxa"/>
            <w:vAlign w:val="center"/>
          </w:tcPr>
          <w:p>
            <w:pPr>
              <w:pStyle w:val="45"/>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建设项目情况</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41" w:type="dxa"/>
            <w:vMerge w:val="restart"/>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重庆市级总体管控要求</w:t>
            </w:r>
          </w:p>
        </w:tc>
        <w:tc>
          <w:tcPr>
            <w:tcW w:w="1100" w:type="dxa"/>
            <w:vMerge w:val="restart"/>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空间布局约束</w:t>
            </w: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第一条 深入贯彻习近平生态文明思想，筑牢长江上游重要生态屏障，推动优势区域重点发展、生态功能区重点保护城乡融合发展，优化重点区域、流域、产业的空间布局。</w:t>
            </w:r>
          </w:p>
        </w:tc>
        <w:tc>
          <w:tcPr>
            <w:tcW w:w="2917" w:type="dxa"/>
            <w:vAlign w:val="center"/>
          </w:tcPr>
          <w:p>
            <w:pPr>
              <w:pStyle w:val="45"/>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本项目符合园区规划和产业政策等要求。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cs="Times New Roman"/>
                <w:color w:val="auto"/>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cs="Times New Roman"/>
                <w:color w:val="auto"/>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第三条 禁止在合规园区外新建、扩建钢铁、石化、化工、焦化、建材、有色、制浆造纸等高污染项目</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高污染项目严格按照《环境保护综合名录》“高污染”产品名录执行</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本项目位于重庆市合川工业园南溪组团B区，所在地块属于规划工业用地，符合园区规划和准入要求。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本项目不属于高耗能、高排放和低排放项目，项目选址位于</w:t>
            </w:r>
            <w:r>
              <w:rPr>
                <w:rFonts w:hint="default" w:ascii="Times New Roman" w:hAnsi="Times New Roman" w:eastAsia="宋体" w:cs="Times New Roman"/>
                <w:color w:val="auto"/>
                <w:sz w:val="21"/>
                <w:szCs w:val="21"/>
                <w:lang w:bidi="ar"/>
              </w:rPr>
              <w:t>合川工业园南溪组团B区</w:t>
            </w:r>
            <w:r>
              <w:rPr>
                <w:rFonts w:hint="default" w:ascii="Times New Roman" w:hAnsi="Times New Roman" w:cs="Times New Roman"/>
                <w:color w:val="auto"/>
                <w:kern w:val="2"/>
                <w:sz w:val="21"/>
                <w:szCs w:val="21"/>
                <w:lang w:val="en-US" w:eastAsia="zh-CN" w:bidi="ar-SA"/>
              </w:rPr>
              <w:t>，且项目所在地块为工业用地，项目符合园区的准入要求。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第六条 涉及环境防护距离的工业企业或项目应通过选址或调整布局原则上将环境防护距离控制在园区边界或用地红线内，提前合理规划项目地块布置、预防环境风险</w:t>
            </w:r>
            <w:r>
              <w:rPr>
                <w:rFonts w:hint="default" w:ascii="Times New Roman" w:hAnsi="Times New Roman" w:cs="Times New Roman"/>
                <w:color w:val="auto"/>
                <w:kern w:val="2"/>
                <w:sz w:val="21"/>
                <w:szCs w:val="21"/>
                <w:lang w:val="en-US" w:eastAsia="zh-CN" w:bidi="ar-SA"/>
              </w:rPr>
              <w:t>。</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第七条 有效规范空间开发秩序，合理控制空间开发强度，切实将各类开发活动限制在资源环境承载能力之内，为构建高效协调可持续的国土空间开发格局奠定坚实基础。</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项目建设符合园区准入要求，符合产业政策。</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1100" w:type="dxa"/>
            <w:vMerge w:val="restart"/>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污染物排放管控</w:t>
            </w: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第八条 新建石化、煤化工、燃煤发电</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含热电</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2917" w:type="dxa"/>
            <w:vAlign w:val="center"/>
          </w:tcPr>
          <w:p>
            <w:pPr>
              <w:pStyle w:val="45"/>
              <w:keepNext w:val="0"/>
              <w:keepLines w:val="0"/>
              <w:pageBreakBefore w:val="0"/>
              <w:widowControl w:val="0"/>
              <w:kinsoku/>
              <w:wordWrap/>
              <w:overflowPunct/>
              <w:topLinePunct w:val="0"/>
              <w:autoSpaceDE/>
              <w:autoSpaceDN/>
              <w:bidi w:val="0"/>
              <w:snapToGrid/>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本项目不属于所列污染项目，不属于“两高”项目。</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cs="Times New Roman"/>
                <w:color w:val="auto"/>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cs="Times New Roman"/>
                <w:color w:val="auto"/>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本项目各废气污染物采取各项废气治理措施后达标排放，对大气环境影响较小。</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第十条 在重点行业</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石化、化工、工业涂装、包装印刷、油品储运销等</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bidi="ar"/>
              </w:rPr>
              <w:t>项目涉及VOCs排放，在生产过程中使用的是低VOCs含量的辅料，且在各产污节点均采取了废气收集措施，废气收集后经治理装置处理达标后排放。</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bidi="ar"/>
              </w:rPr>
              <w:t>本项目无生产废水，生活废水经生化池处理后排入农创园污水处理厂。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第十二条 推进乡镇生活污水处理设施达标改造。新建城市生活污水处理厂全部按照一级A标及以上排放标准设计、施工、验收，建制乡镇生活污水处理设施出水水质不得低于</w:t>
            </w:r>
            <w:r>
              <w:rPr>
                <w:rFonts w:hint="default" w:ascii="Times New Roman" w:hAnsi="Times New Roman" w:cs="Times New Roman"/>
                <w:color w:val="auto"/>
                <w:kern w:val="2"/>
                <w:sz w:val="21"/>
                <w:szCs w:val="21"/>
                <w:lang w:val="en-US" w:eastAsia="zh-CN" w:bidi="ar-SA"/>
              </w:rPr>
              <w:t>，一</w:t>
            </w:r>
            <w:r>
              <w:rPr>
                <w:rFonts w:hint="default" w:ascii="Times New Roman" w:hAnsi="Times New Roman" w:eastAsia="宋体" w:cs="Times New Roman"/>
                <w:color w:val="auto"/>
                <w:kern w:val="2"/>
                <w:sz w:val="21"/>
                <w:szCs w:val="21"/>
                <w:lang w:val="en-US" w:eastAsia="zh-CN" w:bidi="ar-SA"/>
              </w:rPr>
              <w:t>级B标排放标准</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对现有截留制排水管网实施雨污分流改造，针对无法彻底雨污分流的老城区，尊重现实合理保留截留制区域，提高截留倍数</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对新建的排水管网，全部按照雨污分流模式实施建设。</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第十三条 新、改、扩建重点行业</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重有色金属矿采选业</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铜、铅锌、镍钴、锡、锑和汞矿采选</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、重有色金属冶炼业</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铜、铅锌、镍钴、锡、锑和汞冶炼</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、铅蓄电池制造业、皮革鞣制加工业、化学原料及化学制品制造业</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电石法聚氯乙制造、铬盐制造、以工业固废为原料的锌无机化合物工业等</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、电镀行业</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重点重金属污染物排放执行“等量替代</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原则。</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本项目一般工业固体废物暂存于一般工业固体废物暂存间，分类收集；项目危险废物分类收集暂存于危险废物贮存设施，定期交由具有资质的单位处置。</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第十五条 建设分类投放、分类收集、分类运输、分类处理的生活垃圾处理系统。合理布局生活垃圾分类收集站点，完善分类运输系统，加快补齐分类收集转运设施能力短板。强化</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无废城市</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制度、技术、市场、监管、全民行动“五大体系”建设，推进城市固体废物精细化管理。</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生活垃圾交由环卫部门处置。</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1100" w:type="dxa"/>
            <w:vMerge w:val="restart"/>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环境风险管控</w:t>
            </w: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917" w:type="dxa"/>
            <w:vAlign w:val="center"/>
          </w:tcPr>
          <w:p>
            <w:pPr>
              <w:pStyle w:val="45"/>
              <w:keepNext w:val="0"/>
              <w:keepLines w:val="0"/>
              <w:pageBreakBefore w:val="0"/>
              <w:widowControl w:val="0"/>
              <w:kinsoku/>
              <w:wordWrap/>
              <w:overflowPunct/>
              <w:topLinePunct w:val="0"/>
              <w:autoSpaceDE/>
              <w:autoSpaceDN/>
              <w:bidi w:val="0"/>
              <w:snapToGrid/>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本项目建成后严格落实风险评估和应急预案，严格落实各项环境风险防范措施。</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left"/>
              <w:textAlignment w:val="auto"/>
              <w:rPr>
                <w:rFonts w:hint="default" w:ascii="Times New Roman" w:hAnsi="Times New Roman" w:cs="Times New Roman"/>
                <w:color w:val="auto"/>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left"/>
              <w:textAlignment w:val="auto"/>
              <w:rPr>
                <w:rFonts w:hint="default" w:ascii="Times New Roman" w:hAnsi="Times New Roman" w:cs="Times New Roman"/>
                <w:color w:val="auto"/>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第十七条 强化化工园区涉水突发环境事件四级环境风险防范体系建设。持续推进重点化工园区</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化工集中区</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建设有毒有害气体监测预警体系和水质生物毒性预警体系</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1100" w:type="dxa"/>
            <w:vMerge w:val="restart"/>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资源开发效率要求</w:t>
            </w: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2917" w:type="dxa"/>
            <w:vAlign w:val="center"/>
          </w:tcPr>
          <w:p>
            <w:pPr>
              <w:pStyle w:val="45"/>
              <w:keepNext w:val="0"/>
              <w:keepLines w:val="0"/>
              <w:pageBreakBefore w:val="0"/>
              <w:widowControl w:val="0"/>
              <w:kinsoku/>
              <w:wordWrap/>
              <w:overflowPunct/>
              <w:topLinePunct w:val="0"/>
              <w:autoSpaceDE/>
              <w:autoSpaceDN/>
              <w:bidi w:val="0"/>
              <w:snapToGrid/>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本项目符合园区规划和准入要求，项目不属于高能耗项目。</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jc w:val="left"/>
              <w:textAlignment w:val="auto"/>
              <w:rPr>
                <w:rFonts w:hint="default" w:ascii="Times New Roman" w:hAnsi="Times New Roman" w:cs="Times New Roman"/>
                <w:color w:val="auto"/>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jc w:val="left"/>
              <w:textAlignment w:val="auto"/>
              <w:rPr>
                <w:rFonts w:hint="default" w:ascii="Times New Roman" w:hAnsi="Times New Roman" w:cs="Times New Roman"/>
                <w:color w:val="auto"/>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本项目选用先进生产设备，能耗水平达到先进水平。</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第二十条 新建、扩建“两高”项目应采用先进适用的工艺技术和装备，单位产品物耗、能耗、水耗等达到清洁生产先进水</w:t>
            </w:r>
            <w:r>
              <w:rPr>
                <w:rFonts w:hint="default" w:ascii="Times New Roman" w:hAnsi="Times New Roman" w:cs="Times New Roman"/>
                <w:color w:val="auto"/>
                <w:kern w:val="2"/>
                <w:sz w:val="21"/>
                <w:szCs w:val="21"/>
                <w:lang w:val="en-US" w:eastAsia="zh-CN" w:bidi="ar-SA"/>
              </w:rPr>
              <w:t>平</w:t>
            </w:r>
            <w:r>
              <w:rPr>
                <w:rFonts w:hint="default" w:ascii="Times New Roman" w:hAnsi="Times New Roman" w:eastAsia="宋体" w:cs="Times New Roman"/>
                <w:color w:val="auto"/>
                <w:kern w:val="2"/>
                <w:sz w:val="21"/>
                <w:szCs w:val="21"/>
                <w:lang w:val="en-US" w:eastAsia="zh-CN" w:bidi="ar-SA"/>
              </w:rPr>
              <w:t>。</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本项目选用先进生产设备，不属于“两高”项目，能耗水耗等能达到清洁生产先进水平。</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本项目冷却用水循环使用，不外排。</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45"/>
              <w:keepNext w:val="0"/>
              <w:keepLines w:val="0"/>
              <w:pageBreakBefore w:val="0"/>
              <w:widowControl w:val="0"/>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p>
        </w:tc>
        <w:tc>
          <w:tcPr>
            <w:tcW w:w="1100" w:type="dxa"/>
            <w:vMerge w:val="continue"/>
            <w:vAlign w:val="center"/>
          </w:tcPr>
          <w:p>
            <w:pPr>
              <w:pStyle w:val="45"/>
              <w:keepNext w:val="0"/>
              <w:keepLines w:val="0"/>
              <w:pageBreakBefore w:val="0"/>
              <w:widowControl w:val="0"/>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p>
        </w:tc>
        <w:tc>
          <w:tcPr>
            <w:tcW w:w="8333" w:type="dxa"/>
            <w:vAlign w:val="center"/>
          </w:tcPr>
          <w:p>
            <w:pPr>
              <w:pStyle w:val="45"/>
              <w:keepNext w:val="0"/>
              <w:keepLines w:val="0"/>
              <w:pageBreakBefore w:val="0"/>
              <w:widowControl w:val="0"/>
              <w:numPr>
                <w:ilvl w:val="0"/>
                <w:numId w:val="0"/>
              </w:numPr>
              <w:kinsoku/>
              <w:wordWrap/>
              <w:overflowPunct/>
              <w:topLinePunct w:val="0"/>
              <w:autoSpaceDE/>
              <w:autoSpaceDN/>
              <w:bidi w:val="0"/>
              <w:snapToGrid/>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41" w:type="dxa"/>
            <w:vMerge w:val="restart"/>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区</w:t>
            </w:r>
            <w:r>
              <w:rPr>
                <w:rFonts w:hint="default" w:ascii="Times New Roman" w:hAnsi="Times New Roman" w:cs="Times New Roman"/>
                <w:color w:val="auto"/>
              </w:rPr>
              <w:t>总体管控要求</w:t>
            </w:r>
          </w:p>
        </w:tc>
        <w:tc>
          <w:tcPr>
            <w:tcW w:w="1100" w:type="dxa"/>
            <w:vMerge w:val="restart"/>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空间布局约束</w:t>
            </w: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第一条 执行重点管控单元市级总体要求第一条、第二条、第三条、第四条、第五条、第六条和第七条。</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本项目符合所列管控要求。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第一条 执行重点管控单元市级总体要求第一条、第二条、第三条、第四条、第五条、第六条和第七条。</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本项目符合所列管控要求。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1100" w:type="dxa"/>
            <w:vMerge w:val="restart"/>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污染物排放管控</w:t>
            </w: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第三条 执行重点管控单元市级总体要求第八条、第九条、第十条、第十一条、第十二条、第十三条、第十四条和第十五条。</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本项目符合所列管控要求。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第四条 持续推进农村人居环境整治，巩固拓展农村厕所革命成果，引导农村新建住房配套建设卫生厕所，推进人口规模较大村庄配套建设公共厕所；强化畜禽粪污资源化利用加强散养畜禽管理；推进农药化肥减量增效；加强水产养殖污染专项治理，在养殖区内新建、改扩建水产专用养殖场（池）应配套建设养殖尾水治理设施，实现养殖尾水达标排放、循环使用或资源化利用</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第五条 持续推进水泥等高排放重点管控企业超低排放改造，加大新型干法水泥窑、玻璃行业废气深度治理力度，深化烧结砖瓦窑生产企业深度治理，推进烧结砖瓦窑脱硫脱硝除尘改造；新建燃煤机组 实施超低排放；燃气锅炉实施低氮改造。</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第六条 严格施工扬尘管理，建筑面积8万平方米以上工地全部安装扬尘在线监测系统并联网。加强道路扬尘控制，强化运渣车辆冒装撒漏监管。推进混凝土搅拌站和非煤矿山物料储运系统密闭化改造、</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本项目施工期产生的扬尘通过洒水抑尘，篷布遮挡等措施，对大气环境影响较小。</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第七条 加快大宗货物和中长途货物运输“公转铁、公转水”大力发展铁水、公铁、公水等多式联运，大宗物料优先采用铁路、管道或水路运输，短途接驳优先使用新能源车辆运输；加强船舶和非道路移动机械排气污染防治，提高燃油车船能效标准，健全交通运输装备能效标识制度，加快淘汰高耗能高排放老旧车船。全面实施汽车国六排放标准和非道路移动柴油机械国四排放标准，</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1100"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第八条 推动新建小区公共烟道建设油烟集中处置设施，实现居民生活油烟达标排放，减少生活有机溶剂使用，针对建筑装修、汽修喷涂作业、干洗等行业，严格执行有机溶剂VOCs含量限值标准，鼓励使用低毒、低挥发性溶剂。</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1100" w:type="dxa"/>
            <w:vMerge w:val="restart"/>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环境风险管控</w:t>
            </w: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第九条 执行重点管控单元市级总体要求第十六条</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本项目符合所列管控要求。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第十条 强化工业园区环境风险管控。完善工业园区现有重大风险源的风险防范体系和应急预案，定期开展应急事故演练，并加强监管；实施技术、工艺、设备等生态化、循环化改造，加快布局分散的企业向园区集中，按要求设置生态隔离带，建设相应的防护工程。强化环境应急队伍建设和物资储备。</w:t>
            </w:r>
          </w:p>
        </w:tc>
        <w:tc>
          <w:tcPr>
            <w:tcW w:w="2917" w:type="dxa"/>
            <w:vAlign w:val="center"/>
          </w:tcPr>
          <w:p>
            <w:pPr>
              <w:pStyle w:val="45"/>
              <w:keepNext w:val="0"/>
              <w:keepLines w:val="0"/>
              <w:pageBreakBefore w:val="0"/>
              <w:widowControl w:val="0"/>
              <w:kinsoku/>
              <w:wordWrap/>
              <w:overflowPunct/>
              <w:topLinePunct w:val="0"/>
              <w:autoSpaceDE/>
              <w:autoSpaceDN/>
              <w:bidi w:val="0"/>
              <w:snapToGrid/>
              <w:ind w:left="0" w:leftChars="0" w:firstLine="0" w:firstLineChars="0"/>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本项目符合环境风险防控要求。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第十一条 工业集聚区内的项目对水环境存在安全隐患的应当建立车间、工厂和集聚区三级环境风险防范体系。</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本项目无生产废水，生活废水经生化池处理后排入农创园污水处理厂。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第十二条 深化区域联防联控机制，进一步健全与遂宁、广安、潼南、铜梁、北碚等地突发环境事件应急响应机制，有效预防和应对跨区域的突发环境风险事件。</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1100" w:type="dxa"/>
            <w:vMerge w:val="restart"/>
            <w:vAlign w:val="center"/>
          </w:tcPr>
          <w:p>
            <w:pPr>
              <w:pStyle w:val="4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资源开发效率要求</w:t>
            </w: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第十三条 执行重点管控单元市级总体要求第十八条、第十九条、第二十条、第二十一条和第二十二条。</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本项目符合所列管控要求。</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第十四条 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第十五条 持续开展重点河流和水库富营养化监测预警及控制，科学实施梯级航电工程生态调度，保证生态基流。</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第十六条 在高污染燃料禁燃区内，禁止销售、燃用高污染燃料；禁止新建、扩建燃用高污染燃料的设施，已建成的，应当在城市人民政府规定的期限内改用天然气、页岩气、液化石油气、电或者其他清洁能源。</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41"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1100" w:type="dxa"/>
            <w:vMerge w:val="continue"/>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p>
        </w:tc>
        <w:tc>
          <w:tcPr>
            <w:tcW w:w="8333"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第十七条 禁止违法利用、占用长江流域河湖岸线。禁止《长江岸线保护和开发利用总体规划》划定的岸线保护区和岸线保留区内投资建设除公共安全及公众利益的防洪护岸、河道治理、供水、生态环境保护、航道整治、国家重要基础设施以外的项目。</w:t>
            </w:r>
          </w:p>
        </w:tc>
        <w:tc>
          <w:tcPr>
            <w:tcW w:w="2917"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w:t>
            </w:r>
          </w:p>
        </w:tc>
        <w:tc>
          <w:tcPr>
            <w:tcW w:w="929" w:type="dxa"/>
            <w:vAlign w:val="center"/>
          </w:tcPr>
          <w:p>
            <w:pPr>
              <w:pStyle w:val="121"/>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1" w:type="dxa"/>
            <w:vMerge w:val="restart"/>
            <w:vAlign w:val="center"/>
          </w:tcPr>
          <w:p>
            <w:pPr>
              <w:spacing w:after="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rPr>
              <w:t>单元管控要求</w:t>
            </w:r>
          </w:p>
        </w:tc>
        <w:tc>
          <w:tcPr>
            <w:tcW w:w="1100" w:type="dxa"/>
            <w:vAlign w:val="center"/>
          </w:tcPr>
          <w:p>
            <w:pPr>
              <w:spacing w:after="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rPr>
              <w:t>空间布局约束</w:t>
            </w:r>
          </w:p>
        </w:tc>
        <w:tc>
          <w:tcPr>
            <w:tcW w:w="8333"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严格限制新建、扩建可能对主城区大气产生影响的燃煤、重油等高污染物工业项目。规划区内企业入驻时应优化环境防护距离设置，以防范产业园区涉生态环境“邻避”问题为出发点，将环境防护距离优化控制在园区边界或用地红线以内。南溪组团C区禁止在嘉陵江干流1km范围内新建重化工、纺织、造纸等存在污染风险的工业项目。南溪组团C区禁止新建、扩建造纸、印染、化学原料药、电镀、铅酸电池、危险废物利用和处置、排放重金属以及存在严重环境安全风险的工业项目。</w:t>
            </w:r>
          </w:p>
        </w:tc>
        <w:tc>
          <w:tcPr>
            <w:tcW w:w="2917"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本项目位于合川工业园南溪组团B区内，从事汽车零部件及配件制造，</w:t>
            </w:r>
            <w:r>
              <w:rPr>
                <w:rFonts w:hint="default" w:ascii="Times New Roman" w:hAnsi="Times New Roman" w:eastAsia="宋体" w:cs="Times New Roman"/>
                <w:color w:val="auto"/>
                <w:kern w:val="2"/>
                <w:sz w:val="21"/>
                <w:szCs w:val="21"/>
              </w:rPr>
              <w:t>以电为能源。</w:t>
            </w:r>
          </w:p>
        </w:tc>
        <w:tc>
          <w:tcPr>
            <w:tcW w:w="929"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1" w:type="dxa"/>
            <w:vMerge w:val="continue"/>
            <w:vAlign w:val="center"/>
          </w:tcPr>
          <w:p>
            <w:pPr>
              <w:spacing w:after="0"/>
              <w:jc w:val="center"/>
              <w:rPr>
                <w:rFonts w:hint="default" w:ascii="Times New Roman" w:hAnsi="Times New Roman" w:cs="Times New Roman"/>
                <w:color w:val="auto"/>
                <w:lang w:val="en-US" w:eastAsia="zh-CN"/>
              </w:rPr>
            </w:pPr>
          </w:p>
        </w:tc>
        <w:tc>
          <w:tcPr>
            <w:tcW w:w="1100" w:type="dxa"/>
            <w:vAlign w:val="center"/>
          </w:tcPr>
          <w:p>
            <w:pPr>
              <w:spacing w:after="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rPr>
              <w:t>污染物排放管控</w:t>
            </w:r>
          </w:p>
        </w:tc>
        <w:tc>
          <w:tcPr>
            <w:tcW w:w="8333"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严格控制大气污染物排放量大的企业入园。现有企业鼓励通过技术改造、节水改造，减少废水排放。</w:t>
            </w:r>
          </w:p>
        </w:tc>
        <w:tc>
          <w:tcPr>
            <w:tcW w:w="2917"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本项目</w:t>
            </w:r>
            <w:r>
              <w:rPr>
                <w:rFonts w:hint="default" w:ascii="Times New Roman" w:hAnsi="Times New Roman" w:eastAsia="宋体" w:cs="Times New Roman"/>
                <w:color w:val="auto"/>
                <w:kern w:val="2"/>
                <w:sz w:val="21"/>
                <w:szCs w:val="21"/>
              </w:rPr>
              <w:t>废气经集气装置收集后引入“二级活性炭吸附”处理达标后排放，无生产废水排放。</w:t>
            </w:r>
          </w:p>
        </w:tc>
        <w:tc>
          <w:tcPr>
            <w:tcW w:w="929"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1" w:type="dxa"/>
            <w:vMerge w:val="continue"/>
            <w:vAlign w:val="center"/>
          </w:tcPr>
          <w:p>
            <w:pPr>
              <w:spacing w:after="0"/>
              <w:jc w:val="center"/>
              <w:rPr>
                <w:rFonts w:hint="default" w:ascii="Times New Roman" w:hAnsi="Times New Roman" w:cs="Times New Roman"/>
                <w:color w:val="auto"/>
                <w:lang w:val="en-US" w:eastAsia="zh-CN"/>
              </w:rPr>
            </w:pPr>
          </w:p>
        </w:tc>
        <w:tc>
          <w:tcPr>
            <w:tcW w:w="1100" w:type="dxa"/>
            <w:vAlign w:val="center"/>
          </w:tcPr>
          <w:p>
            <w:pPr>
              <w:spacing w:after="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1"/>
              </w:rPr>
              <w:t>环境风险防控</w:t>
            </w:r>
          </w:p>
        </w:tc>
        <w:tc>
          <w:tcPr>
            <w:tcW w:w="8333"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督促规划区内各企业加强环境风险防控，建设防止环境风险物质泄漏扩散的封堵、围栏、喷淋、吸收、收集、处理等应急设施。加强工业园区内有水环境污染风险企业的风险防控。</w:t>
            </w:r>
          </w:p>
        </w:tc>
        <w:tc>
          <w:tcPr>
            <w:tcW w:w="2917"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rPr>
              <w:t>项目采取了风险防范，并制定了相应的管理制度和应急预案</w:t>
            </w:r>
          </w:p>
        </w:tc>
        <w:tc>
          <w:tcPr>
            <w:tcW w:w="929"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1" w:type="dxa"/>
            <w:vMerge w:val="continue"/>
            <w:vAlign w:val="center"/>
          </w:tcPr>
          <w:p>
            <w:pPr>
              <w:spacing w:after="0"/>
              <w:jc w:val="center"/>
              <w:rPr>
                <w:rFonts w:hint="default" w:ascii="Times New Roman" w:hAnsi="Times New Roman" w:cs="Times New Roman"/>
                <w:color w:val="auto"/>
                <w:lang w:val="en-US" w:eastAsia="zh-CN"/>
              </w:rPr>
            </w:pPr>
          </w:p>
        </w:tc>
        <w:tc>
          <w:tcPr>
            <w:tcW w:w="1100" w:type="dxa"/>
            <w:vAlign w:val="center"/>
          </w:tcPr>
          <w:p>
            <w:pPr>
              <w:spacing w:after="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1"/>
              </w:rPr>
              <w:t>资源开发效率要求</w:t>
            </w:r>
          </w:p>
        </w:tc>
        <w:tc>
          <w:tcPr>
            <w:tcW w:w="8333"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万元工业增加值用水量（m</w:t>
            </w:r>
            <w:r>
              <w:rPr>
                <w:rFonts w:hint="default" w:ascii="Times New Roman" w:hAnsi="Times New Roman" w:eastAsia="宋体" w:cs="Times New Roman"/>
                <w:color w:val="auto"/>
                <w:sz w:val="21"/>
                <w:szCs w:val="21"/>
                <w:vertAlign w:val="superscript"/>
                <w:lang w:bidi="ar"/>
              </w:rPr>
              <w:t>3</w:t>
            </w:r>
            <w:r>
              <w:rPr>
                <w:rFonts w:hint="default" w:ascii="Times New Roman" w:hAnsi="Times New Roman" w:eastAsia="宋体" w:cs="Times New Roman"/>
                <w:color w:val="auto"/>
                <w:sz w:val="21"/>
                <w:szCs w:val="21"/>
                <w:lang w:bidi="ar"/>
              </w:rPr>
              <w:t>/万元）&lt;36.9</w:t>
            </w:r>
          </w:p>
        </w:tc>
        <w:tc>
          <w:tcPr>
            <w:tcW w:w="2917"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rPr>
              <w:t>本项目万元工业增加值用水量仅12.64m³/万元，远小于36.9。</w:t>
            </w:r>
          </w:p>
        </w:tc>
        <w:tc>
          <w:tcPr>
            <w:tcW w:w="929" w:type="dxa"/>
            <w:vAlign w:val="center"/>
          </w:tcPr>
          <w:p>
            <w:pPr>
              <w:spacing w:after="0"/>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符合</w:t>
            </w:r>
          </w:p>
        </w:tc>
      </w:tr>
    </w:tbl>
    <w:p>
      <w:pPr>
        <w:spacing w:after="0" w:line="420" w:lineRule="exact"/>
        <w:rPr>
          <w:rFonts w:hint="default" w:ascii="Times New Roman" w:hAnsi="Times New Roman" w:eastAsia="宋体" w:cs="Times New Roman"/>
          <w:color w:val="auto"/>
          <w:sz w:val="24"/>
          <w:szCs w:val="24"/>
        </w:rPr>
        <w:sectPr>
          <w:pgSz w:w="16838" w:h="11906" w:orient="landscape"/>
          <w:pgMar w:top="1417" w:right="1417" w:bottom="1417" w:left="1417" w:header="1134" w:footer="1021" w:gutter="0"/>
          <w:cols w:space="708" w:num="1"/>
          <w:docGrid w:linePitch="360" w:charSpace="0"/>
        </w:sectPr>
      </w:pPr>
      <w:r>
        <w:rPr>
          <w:rFonts w:hint="default" w:ascii="Times New Roman" w:hAnsi="Times New Roman" w:eastAsia="宋体" w:cs="Times New Roman"/>
          <w:color w:val="auto"/>
          <w:kern w:val="2"/>
          <w:sz w:val="24"/>
          <w:szCs w:val="24"/>
        </w:rPr>
        <w:t>由表1.5-1可知，本项目建设符合“三线一单”管控要求。</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551" w:hRule="atLeast"/>
          <w:jc w:val="center"/>
        </w:trPr>
        <w:tc>
          <w:tcPr>
            <w:tcW w:w="9186" w:type="dxa"/>
            <w:tcBorders>
              <w:tl2br w:val="nil"/>
              <w:tr2bl w:val="nil"/>
            </w:tcBorders>
          </w:tcPr>
          <w:p>
            <w:pPr>
              <w:spacing w:after="0" w:line="420" w:lineRule="exact"/>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color w:val="auto"/>
                <w:kern w:val="2"/>
                <w:sz w:val="24"/>
                <w:szCs w:val="24"/>
              </w:rPr>
              <w:t>1.5.3与长江保护法符合性分析</w:t>
            </w:r>
          </w:p>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本项目与《中华人民共和国长江保护法》（中华人民共和国主席令第65号）符合性分析见表1.5-2。</w:t>
            </w:r>
          </w:p>
          <w:p>
            <w:pPr>
              <w:spacing w:after="0" w:line="420" w:lineRule="exact"/>
              <w:jc w:val="center"/>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表1.5-2  本项目与“长江保护法”的符合性分析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905"/>
              <w:gridCol w:w="4404"/>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05"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长江保护法</w:t>
                  </w:r>
                </w:p>
              </w:tc>
              <w:tc>
                <w:tcPr>
                  <w:tcW w:w="440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项目情况</w:t>
                  </w:r>
                </w:p>
              </w:tc>
              <w:tc>
                <w:tcPr>
                  <w:tcW w:w="763"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05"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禁止在长江流域重点生态功能区布局对生态系统有严重影响的产业。禁止重污染企业和项目向长江中上游转移</w:t>
                  </w:r>
                </w:p>
              </w:tc>
              <w:tc>
                <w:tcPr>
                  <w:tcW w:w="4404"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本项目位于合川工业园南溪组团B区内，从事汽车零部件及配件制造，不属于重污染项目，不涉及长江流域重点生态功能区。</w:t>
                  </w:r>
                </w:p>
              </w:tc>
              <w:tc>
                <w:tcPr>
                  <w:tcW w:w="763"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05"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禁止非法侵占河湖水域</w:t>
                  </w:r>
                </w:p>
              </w:tc>
              <w:tc>
                <w:tcPr>
                  <w:tcW w:w="4404"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本项目位于合川工业园南溪组团B区内，不属于此类项目。</w:t>
                  </w:r>
                </w:p>
              </w:tc>
              <w:tc>
                <w:tcPr>
                  <w:tcW w:w="763"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05"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禁止在长江干支流岸线一公里范围内新建、扩建化工园区和化工项目</w:t>
                  </w:r>
                </w:p>
              </w:tc>
              <w:tc>
                <w:tcPr>
                  <w:tcW w:w="4404"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本项目位于合川工业园南溪组团B区内，从事汽车零部件及配件制造，不属于化工项目。</w:t>
                  </w:r>
                </w:p>
              </w:tc>
              <w:tc>
                <w:tcPr>
                  <w:tcW w:w="763"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05"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禁止在长江干流岸线三公里范围内和重要支流岸线一公里范围内新建、改建、扩建尾矿库；但是以提升安全、生态环境保护水平为目的的改建除外</w:t>
                  </w:r>
                </w:p>
              </w:tc>
              <w:tc>
                <w:tcPr>
                  <w:tcW w:w="4404"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本项目位于合川工业园南溪组团B区内，从事汽车零部件及配件制造，不属于尾矿库项目。</w:t>
                  </w:r>
                </w:p>
              </w:tc>
              <w:tc>
                <w:tcPr>
                  <w:tcW w:w="763"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05"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禁止船舶在划定的禁止航行区域内航行</w:t>
                  </w:r>
                </w:p>
              </w:tc>
              <w:tc>
                <w:tcPr>
                  <w:tcW w:w="4404"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本项目位于合川工业园南溪组团B区内，从事汽车零部件及配件制造，采用陆路运输。</w:t>
                  </w:r>
                </w:p>
              </w:tc>
              <w:tc>
                <w:tcPr>
                  <w:tcW w:w="763"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05"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严格限制在长江流域生态保护红线、自然保护地、水生生物重要栖息地水域实施航道整治工程；确需整治的，应当经科学论证，并依法办理相关手续</w:t>
                  </w:r>
                </w:p>
              </w:tc>
              <w:tc>
                <w:tcPr>
                  <w:tcW w:w="4404"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本项目位于合川工业园南溪组团B区内，从事汽车零部件及配件制造，不属于航道整治工程。</w:t>
                  </w:r>
                </w:p>
              </w:tc>
              <w:tc>
                <w:tcPr>
                  <w:tcW w:w="763"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05"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禁止在长江流域禁止采砂区和禁止采砂期从事采砂活动</w:t>
                  </w:r>
                </w:p>
              </w:tc>
              <w:tc>
                <w:tcPr>
                  <w:tcW w:w="4404"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本项目位于合川工业园南溪组团B区内，从事汽车零部件及配件制造，不属于采砂项目。</w:t>
                  </w:r>
                </w:p>
              </w:tc>
              <w:tc>
                <w:tcPr>
                  <w:tcW w:w="763" w:type="dxa"/>
                  <w:tcBorders>
                    <w:tl2br w:val="nil"/>
                    <w:tr2bl w:val="nil"/>
                  </w:tcBorders>
                  <w:vAlign w:val="center"/>
                </w:tcPr>
                <w:p>
                  <w:pPr>
                    <w:spacing w:after="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05"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禁止在长江流域开放水域养殖、投放外来物种或者其他非本地物种种质资源</w:t>
                  </w:r>
                </w:p>
              </w:tc>
              <w:tc>
                <w:tcPr>
                  <w:tcW w:w="4404"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本项目位于合川工业园南溪组团B区内，从事汽车零部件及配件制造，不属于此类项目。</w:t>
                  </w:r>
                </w:p>
              </w:tc>
              <w:tc>
                <w:tcPr>
                  <w:tcW w:w="763" w:type="dxa"/>
                  <w:tcBorders>
                    <w:tl2br w:val="nil"/>
                    <w:tr2bl w:val="nil"/>
                  </w:tcBorders>
                  <w:vAlign w:val="center"/>
                </w:tcPr>
                <w:p>
                  <w:pPr>
                    <w:spacing w:after="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符合</w:t>
                  </w:r>
                </w:p>
              </w:tc>
            </w:tr>
          </w:tbl>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由表1.5-2可知，本项目符合长江保护法相关要求。</w:t>
            </w:r>
          </w:p>
          <w:p>
            <w:pPr>
              <w:spacing w:after="0" w:line="420" w:lineRule="exact"/>
              <w:jc w:val="both"/>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1.5.4与长江经济带发展负面清单的符合性分析</w:t>
            </w:r>
          </w:p>
          <w:p>
            <w:pPr>
              <w:spacing w:after="0" w:line="420" w:lineRule="exact"/>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1.5.4.1与《长江经济带发展负面清单指南（试行，2022年版）》符合性分析</w:t>
            </w:r>
          </w:p>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根据（长江办〔2022〕7号）《长江经济带发展负面清单指南（试行，2022年版）》，本项目与其符合性分析见表1.5-3。</w:t>
            </w:r>
          </w:p>
          <w:p>
            <w:pPr>
              <w:spacing w:after="0" w:line="420" w:lineRule="exact"/>
              <w:jc w:val="center"/>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表1.5-3  本项目与长江经济带发展负面清单指南的符合性分析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178"/>
              <w:gridCol w:w="3150"/>
              <w:gridCol w:w="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1" w:hRule="atLeast"/>
                <w:jc w:val="center"/>
              </w:trPr>
              <w:tc>
                <w:tcPr>
                  <w:tcW w:w="5178"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负面清单</w:t>
                  </w:r>
                </w:p>
              </w:tc>
              <w:tc>
                <w:tcPr>
                  <w:tcW w:w="3150"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项目情况</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禁止建设不符合全国和省级港口布局规划以及港口总体规划的码头项目，禁止建设不符合《长江干线过江通道布局规划》的过长江通道项目</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本项目从事汽车零部件及配件制造，不属于码头项目和过长江通道项目</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本项目位于合川工业园南溪组团B区内，不涉及自然保护区和风景名胜区</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本项目所在地不涉及饮用水源一级、二级保护区。</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禁止在水产种质资源保护区的岸线和河段范围内新建围湖造田、围海造地或围填海等投资建设项目。禁止在国家湿地公园的岸线和河段范围内挖砂、采矿，以及任何不符合主体功能定位的投资建设项目</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本项目不涉及水产种质资源保护区与国家湿地公园。</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本项目不涉及《长江岸线保护和开发利用总体规划》划定的岸线保护区和《全国重要江河湖泊水功能区划》划定的河段保护区、保留区。</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禁止未经许可在长江干支流及湖泊新设、改设或扩大排污口</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本项目位于合川工业园南溪组团B区内，自来水由园区供给，污水自行处理达标后由农创园污水处理厂处理达标后排放，系间接排放</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禁止在“一江一口两湖七河”和322个水生生物保护区开展生产线捕捞</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本项目位于合川工业园南溪组团B区内，不涉及“一江一口两湖七河”和322个水生生物保护区</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本项目为C3670汽车零部件及配件制造，不属于化工项目。</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禁止在合规园区外新建、扩建钢铁、石化、化工、焦化、建材、有色、制浆造纸等高污染项目</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本项目为C3670汽车零部件及配件制造，不属于钢铁、石化、化工、焦化、建材、有色、制浆造纸项目</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禁止新建、扩建不符合国家石化、现代煤化工等产业布局规划的项目</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本项目为C3670汽车零部件及配件制造，不属于石化、现代煤化工项目</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78"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3150"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本项目不属于明令禁止的落后产能项目，不属于严重过剩产能行业的项目，不属于高耗能高排放项目</w:t>
                  </w:r>
                </w:p>
              </w:tc>
              <w:tc>
                <w:tcPr>
                  <w:tcW w:w="744"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bl>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由表1.5-3可知，本项目符合长江经济带发展负面清单指南要求。</w:t>
            </w:r>
          </w:p>
          <w:p>
            <w:pPr>
              <w:spacing w:after="0" w:line="420" w:lineRule="exact"/>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1.5.4.2与《四川省、重庆市长江经济带发展负面清单实施细则（试行，2022年版）》符合性分析</w:t>
            </w:r>
          </w:p>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根据（川长江办〔2022〕17号）《四川省、重庆市长江经济带发展负面清单实施细则（试行，2022年版）》，本项目与其符合性分析见表1.5-4。</w:t>
            </w:r>
          </w:p>
          <w:p>
            <w:pPr>
              <w:spacing w:after="0" w:line="420" w:lineRule="exact"/>
              <w:jc w:val="center"/>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表1.5-4  本项目与“四川省、重庆市长江经济带发展负面清单”的符合性分析</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12"/>
              <w:gridCol w:w="3063"/>
              <w:gridCol w:w="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21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负面清单</w:t>
                  </w:r>
                </w:p>
              </w:tc>
              <w:tc>
                <w:tcPr>
                  <w:tcW w:w="3063"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项目情况</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禁止新建、改建和扩建不符合全国港口布局规划，以及《四川省内河水运发展规划》《泸州-宜宾-乐山港口群布局规划》《重庆港总体规划（2023年）》等省级港口布局规划及市级港口总体规划的码头项目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本项目位于合川工业园南溪组团B区内，从事汽车零部件及配件制造，不属于码头项目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禁止新建、改建和扩建不符合《长江干线过江通道布局规划（2020～2035年）》的过长江通道项目（含桥梁、隧道），国家发展改革委同意过长江通道线位调整的除外</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本项目位于合川工业园南溪组团B区内，从事汽车零部件及配件制造，不属于过长江通道项目（含桥梁、隧道）</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禁止在自然保护区核心区、缓冲区的岸线和河段范围内投资建设旅游和生产经营项目。自然保护区的内部未分区的，依照核心区和缓冲区的规定管控</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本项目位于合川工业园南溪组团B区内，从事汽车零部件及配件制造，不涉及自然保护区</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禁止违反风景名胜区规划，在风景名胜区内设立各类开发区。禁止在风景名胜区核心景区的岸线和河段范围内投资建设宾馆、招待所、培训中心、疗养院以及与风景名胜资源保护无关的项目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本项目位于合川工业园南溪组团B区内，从事汽车零部件及配件制造，不涉及风景名胜区</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禁止在饮用水水源准保护区的岸线和河段范围内新建、扩建对水体污染严重的建设项目，禁止改建增加排污量的建设项目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本项目位于合川工业园南溪组团B区内，从事汽车零部件及配件制造，水源来自市政供水，不涉及饮用水水源准保护区</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饮用水水源二级保护区的岸线和河段范围内，除遵守准保护区规定外，禁止新建、扩建排放污染物的建设项目；禁止从事对水体有污染的水产养殖等活动</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本项目位于合川工业园南溪组团B区内，从事汽车零部件及配件制造，水源来自市政供水，不涉及饮用水水源二级保护区</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本项目位于合川工业园南溪组团B区内，从事汽车零部件及配件制造，水源来自市政供水，不涉及饮用水水源一级保护区</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禁止在水产种质资源保护区岸线和河段范围内新建围湖造田、围湖造地或挖沙采石等投资建设项目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本项目位于合川工业园南溪组团B区内，从事汽车零部件及配件制造，不涉及水产种质资源保护区</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国家湿地公园的岸线和河段范围内开（围）垦、填埋或者排干湿地，截断湿地水源，挖砂、采矿，倾倒有毒有害物质、废弃物、垃圾，从事房地产、度假村、高尔夫球场、风力发电、光伏发电等任何不符合主体功能定位的建设项目和开发活动，破坏野生动物栖息地和迁徙通道、鱼类洄游通道</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本项目位于合川工业园南溪组团B区内，从事汽车零部件及配件制造，不涉及国家湿地公园</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本项目位于合川工业园南溪组团B区内，不及长江流域河湖岸线</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禁止在《全国重要江河湖泊水功能区划》划定的河段及湖泊保护区、保留区内投资建设不利于水资源及自然生态保护的项目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本项目位于合川工业园南溪组团B区内，从事汽车零部件及配件制造，不涉及重要江河湖泊</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禁止在长江流域江河、湖泊新设、改设或者扩大排放口，经有管辖权的生态环境主管部门或者长江流域生态环境监督管理机构同意的除外</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本项目位于合川工业园南溪组团B区内，从事汽车零部件及配件制造，污水经生化池处理达标后由农创园污水处理厂处理达标后排放，系间接排放</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禁止在长江干流、大渡河、岷江、赤水河、沱江、嘉陵江、乌江、汉江和51个（四川省45个、重庆市6个）水生生物保护区开展生产性捕捞</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本项目位于合川工业园南溪组团B区内，从事汽车零部件及配件制造，系工业生产项目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禁止在长江干支流、重要湖泊岸线一公里范围内新建、扩建化工园区和化工项目</w:t>
                  </w:r>
                </w:p>
              </w:tc>
              <w:tc>
                <w:tcPr>
                  <w:tcW w:w="3063" w:type="dxa"/>
                  <w:tcBorders>
                    <w:tl2br w:val="nil"/>
                    <w:tr2bl w:val="nil"/>
                  </w:tcBorders>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本项目位于合川工业园南溪组团B区内，从事汽车零部件及配件制造，不属于化工项目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禁止在长江干支流岸线三公里范围内和重要支流岸线一公里范围内新建、改建、扩建尾矿库、冶炼渣库、磷石膏库，以提升安全、生态环境保护水平为目的的改建除外</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本项目位于合川工业园南溪组团B区内，从事汽车零部件及配件制造，不属于所列类型项目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禁止在生态保护红线区域、永久基本农田集中区域和其他需要特别保护的区域内选址建设尾矿库、冶炼渣库、磷石膏库</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本项目位于合川工业园南溪组团B区内，从事汽车零部件及配件制造，不属于所列类型项目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禁止在合规园区外新建、扩建钢铁、石化、化工、焦化、建材、有色、制浆造纸等高污染项目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本项目位于合川工业园南溪组团B区内，从事汽车零部件及配件制造，不属于所列类型项目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禁止新建、扩建不符合国家石化、现代煤化工等产业布局规划的项目</w:t>
                  </w:r>
                </w:p>
                <w:p>
                  <w:pPr>
                    <w:spacing w:after="0"/>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1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sz w:val="21"/>
                      <w:szCs w:val="21"/>
                    </w:rPr>
                    <w:t>⑴</w:t>
                  </w:r>
                  <w:r>
                    <w:rPr>
                      <w:rFonts w:hint="default" w:ascii="Times New Roman" w:hAnsi="Times New Roman" w:eastAsia="Times New Roman" w:cs="Times New Roman"/>
                      <w:color w:val="auto"/>
                      <w:sz w:val="21"/>
                      <w:szCs w:val="21"/>
                    </w:rPr>
                    <w:fldChar w:fldCharType="end"/>
                  </w:r>
                  <w:r>
                    <w:rPr>
                      <w:rFonts w:hint="default" w:ascii="Times New Roman" w:hAnsi="Times New Roman" w:eastAsia="宋体" w:cs="Times New Roman"/>
                      <w:color w:val="auto"/>
                      <w:kern w:val="2"/>
                      <w:sz w:val="21"/>
                      <w:szCs w:val="21"/>
                    </w:rPr>
                    <w:t>严格控制新增炼油产能，未列入《石化产业规划布局方案（修订版）》的新增炼油产能一律不得建设</w:t>
                  </w:r>
                </w:p>
                <w:p>
                  <w:pPr>
                    <w:spacing w:after="0"/>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2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sz w:val="21"/>
                      <w:szCs w:val="21"/>
                    </w:rPr>
                    <w:t>⑵</w:t>
                  </w:r>
                  <w:r>
                    <w:rPr>
                      <w:rFonts w:hint="default" w:ascii="Times New Roman" w:hAnsi="Times New Roman" w:eastAsia="Times New Roman" w:cs="Times New Roman"/>
                      <w:color w:val="auto"/>
                      <w:sz w:val="21"/>
                      <w:szCs w:val="21"/>
                    </w:rPr>
                    <w:fldChar w:fldCharType="end"/>
                  </w:r>
                  <w:r>
                    <w:rPr>
                      <w:rFonts w:hint="default" w:ascii="Times New Roman" w:hAnsi="Times New Roman" w:eastAsia="宋体" w:cs="Times New Roman"/>
                      <w:color w:val="auto"/>
                      <w:kern w:val="2"/>
                      <w:sz w:val="21"/>
                      <w:szCs w:val="21"/>
                    </w:rPr>
                    <w:t>新建煤制烯烃、煤制芳烃项目必须列入《现代煤化工产业创新发展布局方案》，必须符合《现代煤化工建设项目环境准入条件（试行）》要求</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本项目位于合川工业园南溪组团B区内，从事汽车零部件及配件制造，不属于石化、现代煤化工类项目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禁止新建、扩建法律法规和</w:t>
                  </w:r>
                </w:p>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相关政策明令禁止的落后产能项目。对《产业结构调整指导目录》中淘汰类项目，禁止投资；限制类的新建项目，禁止投资，对属于限制类的现有生产能力，允许企业在一定期限内采取措施改造升级</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本项目位于合川工业园南溪组团B区内，从事汽车零部件及配件制造，属于允许类项目，不属于落后产能</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禁止新建、扩建不符合国家产能置换要求的严重过剩产能行业的项目。对于不符合国家产能置换要求的严重过剩产能行业，不得以任何名义、任何方式备案新增产能项目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本项目位于合川工业园南溪组团B区内，从事汽车零部件及配件制造，不属于严重过剩产能行业项目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禁止建设以下燃油汽车投资项目（不在中国境内销售产品的投资项目除外）：</w:t>
                  </w:r>
                </w:p>
                <w:p>
                  <w:pPr>
                    <w:spacing w:after="0"/>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1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sz w:val="21"/>
                      <w:szCs w:val="21"/>
                    </w:rPr>
                    <w:t>⑴</w:t>
                  </w:r>
                  <w:r>
                    <w:rPr>
                      <w:rFonts w:hint="default" w:ascii="Times New Roman" w:hAnsi="Times New Roman" w:eastAsia="Times New Roman" w:cs="Times New Roman"/>
                      <w:color w:val="auto"/>
                      <w:sz w:val="21"/>
                      <w:szCs w:val="21"/>
                    </w:rPr>
                    <w:fldChar w:fldCharType="end"/>
                  </w:r>
                  <w:r>
                    <w:rPr>
                      <w:rFonts w:hint="default" w:ascii="Times New Roman" w:hAnsi="Times New Roman" w:eastAsia="宋体" w:cs="Times New Roman"/>
                      <w:color w:val="auto"/>
                      <w:kern w:val="2"/>
                      <w:sz w:val="21"/>
                      <w:szCs w:val="21"/>
                    </w:rPr>
                    <w:t>新建独立燃油汽车企业</w:t>
                  </w:r>
                </w:p>
                <w:p>
                  <w:pPr>
                    <w:spacing w:after="0"/>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2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sz w:val="21"/>
                      <w:szCs w:val="21"/>
                    </w:rPr>
                    <w:t>⑵</w:t>
                  </w:r>
                  <w:r>
                    <w:rPr>
                      <w:rFonts w:hint="default" w:ascii="Times New Roman" w:hAnsi="Times New Roman" w:eastAsia="Times New Roman" w:cs="Times New Roman"/>
                      <w:color w:val="auto"/>
                      <w:sz w:val="21"/>
                      <w:szCs w:val="21"/>
                    </w:rPr>
                    <w:fldChar w:fldCharType="end"/>
                  </w:r>
                  <w:r>
                    <w:rPr>
                      <w:rFonts w:hint="default" w:ascii="Times New Roman" w:hAnsi="Times New Roman" w:eastAsia="宋体" w:cs="Times New Roman"/>
                      <w:color w:val="auto"/>
                      <w:kern w:val="2"/>
                      <w:sz w:val="21"/>
                      <w:szCs w:val="21"/>
                    </w:rPr>
                    <w:t>现有汽车企业跨乘用车、商用车类别建设燃油汽车生产能力</w:t>
                  </w:r>
                </w:p>
                <w:p>
                  <w:pPr>
                    <w:spacing w:after="0"/>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3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sz w:val="21"/>
                      <w:szCs w:val="21"/>
                    </w:rPr>
                    <w:t>⑶</w:t>
                  </w:r>
                  <w:r>
                    <w:rPr>
                      <w:rFonts w:hint="default" w:ascii="Times New Roman" w:hAnsi="Times New Roman" w:eastAsia="Times New Roman" w:cs="Times New Roman"/>
                      <w:color w:val="auto"/>
                      <w:sz w:val="21"/>
                      <w:szCs w:val="21"/>
                    </w:rPr>
                    <w:fldChar w:fldCharType="end"/>
                  </w:r>
                  <w:r>
                    <w:rPr>
                      <w:rFonts w:hint="default" w:ascii="Times New Roman" w:hAnsi="Times New Roman" w:eastAsia="宋体" w:cs="Times New Roman"/>
                      <w:color w:val="auto"/>
                      <w:kern w:val="2"/>
                      <w:sz w:val="21"/>
                      <w:szCs w:val="21"/>
                    </w:rPr>
                    <w:t>外省现有燃油汽车企业整体搬迁至本省（列入国家级区域发展规划或不改变企业股权结构的项目除外）</w:t>
                  </w:r>
                </w:p>
                <w:p>
                  <w:pPr>
                    <w:spacing w:after="0"/>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4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sz w:val="21"/>
                      <w:szCs w:val="21"/>
                    </w:rPr>
                    <w:t>⑷</w:t>
                  </w:r>
                  <w:r>
                    <w:rPr>
                      <w:rFonts w:hint="default" w:ascii="Times New Roman" w:hAnsi="Times New Roman" w:eastAsia="Times New Roman" w:cs="Times New Roman"/>
                      <w:color w:val="auto"/>
                      <w:sz w:val="21"/>
                      <w:szCs w:val="21"/>
                    </w:rPr>
                    <w:fldChar w:fldCharType="end"/>
                  </w:r>
                  <w:r>
                    <w:rPr>
                      <w:rFonts w:hint="default" w:ascii="Times New Roman" w:hAnsi="Times New Roman" w:eastAsia="宋体" w:cs="Times New Roman"/>
                      <w:color w:val="auto"/>
                      <w:kern w:val="2"/>
                      <w:sz w:val="21"/>
                      <w:szCs w:val="21"/>
                    </w:rPr>
                    <w:t>对行业管理部门特别公示的燃气汽车企业进行投资（企业原有股东投资或将该企业转为非独立法人的投资项目除外）</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本项目位于合川工业园南溪组团B区内，从事汽车零部件及配件制造，不属于燃油汽车投资项目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12" w:type="dxa"/>
                  <w:tcBorders>
                    <w:tl2br w:val="nil"/>
                    <w:tr2bl w:val="nil"/>
                  </w:tcBorders>
                  <w:vAlign w:val="center"/>
                </w:tcPr>
                <w:p>
                  <w:pPr>
                    <w:spacing w:after="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禁止新建、扩建不符合要求的高耗能、高排放、低水平项目</w:t>
                  </w:r>
                </w:p>
              </w:tc>
              <w:tc>
                <w:tcPr>
                  <w:tcW w:w="3063" w:type="dxa"/>
                  <w:tcBorders>
                    <w:tl2br w:val="nil"/>
                    <w:tr2bl w:val="nil"/>
                  </w:tcBorders>
                  <w:vAlign w:val="center"/>
                </w:tcPr>
                <w:p>
                  <w:pPr>
                    <w:spacing w:after="0" w:line="24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本项目从事汽车零部件及配件制造，不属于高耗能、高排放、低水平项目</w:t>
                  </w:r>
                </w:p>
              </w:tc>
              <w:tc>
                <w:tcPr>
                  <w:tcW w:w="792"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符合</w:t>
                  </w:r>
                </w:p>
              </w:tc>
            </w:tr>
          </w:tbl>
          <w:p>
            <w:pPr>
              <w:spacing w:after="0" w:line="420" w:lineRule="exact"/>
              <w:jc w:val="both"/>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color w:val="auto"/>
                <w:kern w:val="2"/>
                <w:sz w:val="24"/>
                <w:szCs w:val="24"/>
              </w:rPr>
              <w:t>由表1.5-4可知，本项目符合四川省、重庆市长江经济带发展负面清单要求。</w:t>
            </w:r>
          </w:p>
          <w:p>
            <w:pPr>
              <w:spacing w:after="0" w:line="420" w:lineRule="exact"/>
              <w:jc w:val="both"/>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1.5.5与重庆市产业投资准入的符合性分析</w:t>
            </w:r>
          </w:p>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本项目不属于《重庆市产业投资准入工作手册》（渝发改投[2022]1436号）中不予准入、限制准入两类产业项目，其符合性分析见表表1.5-5。</w:t>
            </w:r>
          </w:p>
          <w:p>
            <w:pPr>
              <w:spacing w:after="0" w:line="420" w:lineRule="exact"/>
              <w:rPr>
                <w:rFonts w:hint="default" w:ascii="Times New Roman" w:hAnsi="Times New Roman" w:eastAsia="宋体" w:cs="Times New Roman"/>
                <w:b/>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46" w:hRule="atLeast"/>
          <w:jc w:val="center"/>
        </w:trPr>
        <w:tc>
          <w:tcPr>
            <w:tcW w:w="9186" w:type="dxa"/>
            <w:tcBorders>
              <w:tl2br w:val="nil"/>
              <w:tr2bl w:val="nil"/>
            </w:tcBorders>
          </w:tcPr>
          <w:p>
            <w:pPr>
              <w:spacing w:after="0" w:line="42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表1.5-5  与《重庆市产业投资准入工作手册》符合性分析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24"/>
              <w:gridCol w:w="4919"/>
              <w:gridCol w:w="2089"/>
              <w:gridCol w:w="8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77" w:type="dxa"/>
                  <w:gridSpan w:val="3"/>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准入要求</w:t>
                  </w:r>
                </w:p>
              </w:tc>
              <w:tc>
                <w:tcPr>
                  <w:tcW w:w="2089" w:type="dxa"/>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本项目情况</w:t>
                  </w:r>
                </w:p>
              </w:tc>
              <w:tc>
                <w:tcPr>
                  <w:tcW w:w="806" w:type="dxa"/>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restart"/>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不予准入类</w:t>
                  </w:r>
                </w:p>
              </w:tc>
              <w:tc>
                <w:tcPr>
                  <w:tcW w:w="724"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全市范围内不予准入的产业</w:t>
                  </w:r>
                </w:p>
              </w:tc>
              <w:tc>
                <w:tcPr>
                  <w:tcW w:w="4919"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1、国家产业结构调整指导目录中的淘汰类项目。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2、天然林商业性采伐。</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3、法律法规和相关政策明令不予准入的其他项目。</w:t>
                  </w:r>
                </w:p>
              </w:tc>
              <w:tc>
                <w:tcPr>
                  <w:tcW w:w="2089"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本项目为C3670汽车零部件及配件制造，不属于国家产业结构调整指导目录中的淘汰类项目和法律法规和相关政策明令不予准入的其他项目。</w:t>
                  </w:r>
                </w:p>
              </w:tc>
              <w:tc>
                <w:tcPr>
                  <w:tcW w:w="806" w:type="dxa"/>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p>
              </w:tc>
              <w:tc>
                <w:tcPr>
                  <w:tcW w:w="724"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重点区域不予准入的产业</w:t>
                  </w:r>
                </w:p>
              </w:tc>
              <w:tc>
                <w:tcPr>
                  <w:tcW w:w="4919"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1、外环绕城高速公路以内长江、嘉陵江水域采砂。</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2、二十五度以上陡坡地开垦种植农作物。</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3、在自然保护区核心区、缓冲区的岸线和河段范围内投资建设旅游和生产经营项目。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5、长江干流岸线3公里范围内和重要支流岸线1公里范围内新建、改建、扩建尾矿库、冶炼渣库和磷石膏库（以提升安全、生态环境保护水平为目的的改建除外）。</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6、在风景名胜区核心景区的岸线和河段范围内投资建设与风景名胜资源保护无关的项目。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7、在国家湿地公园的岸线和河段范围内挖沙、采矿，以及任何不符合主体功能定位的投资建设项目。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8、在《长江岸线保护和开发利用总体规划》划定的岸线保护区和保留区内投资建设除事关公共安全及公众利益的防洪护岸、河道治理、供水、生态环境保护、航道整治、国家重要基础设施以外的项目。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9、在《全国重要江河湖泊水功能区划》划定的河段及湖泊保护区、保留区内投资建设不利于水资源及自然生态保护的项目。</w:t>
                  </w:r>
                </w:p>
              </w:tc>
              <w:tc>
                <w:tcPr>
                  <w:tcW w:w="2089"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为C3670汽车零部件及配件制造，位于合川区草街街道农创路，不在自然保护区的核心区和缓冲区，饮用水源保护区、风景名胜区、湿地公园、《长江岸线保护和开发利用总体规划》划定的岸线保护区和保留区、《全国重要江河湖泊水功能区划》划定的河段及湖泊保护区、保留区等。</w:t>
                  </w:r>
                </w:p>
                <w:p>
                  <w:pPr>
                    <w:spacing w:after="0"/>
                    <w:rPr>
                      <w:rFonts w:hint="default" w:ascii="Times New Roman" w:hAnsi="Times New Roman" w:eastAsia="宋体" w:cs="Times New Roman"/>
                      <w:kern w:val="2"/>
                      <w:sz w:val="21"/>
                      <w:szCs w:val="21"/>
                    </w:rPr>
                  </w:pPr>
                </w:p>
              </w:tc>
              <w:tc>
                <w:tcPr>
                  <w:tcW w:w="806" w:type="dxa"/>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restart"/>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限制准入类</w:t>
                  </w:r>
                </w:p>
              </w:tc>
              <w:tc>
                <w:tcPr>
                  <w:tcW w:w="724"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全市范围内限制准入的产业</w:t>
                  </w:r>
                </w:p>
              </w:tc>
              <w:tc>
                <w:tcPr>
                  <w:tcW w:w="4919"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1、新建、扩建不符合国家产能置换要求的严重过剩产能行业的项目。新建、扩建不符合要求的高耗能高排放项目。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2、新建、扩建不符合国家石化、现代煤化工等产业布局规划的项目。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3、在合规园区外新建、扩建钢铁、石化、化工、焦化、建材、有色、制浆造纸等高污染项目。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4、《汽车产业投资管理规定》（国家发展和改革委员会令第22号）明确禁止建设的汽车投资项目。</w:t>
                  </w:r>
                </w:p>
              </w:tc>
              <w:tc>
                <w:tcPr>
                  <w:tcW w:w="2089"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本项目位于合川区草街街道农创路（合川工业园南溪组团B区内），为C3670汽车零部件及配件制造，不属于严重过剩产能行业的项目、高耗能高排放项目、高污染项目等。</w:t>
                  </w:r>
                </w:p>
              </w:tc>
              <w:tc>
                <w:tcPr>
                  <w:tcW w:w="806" w:type="dxa"/>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p>
              </w:tc>
              <w:tc>
                <w:tcPr>
                  <w:tcW w:w="724"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重点区域范围内限制准入的产业</w:t>
                  </w:r>
                </w:p>
              </w:tc>
              <w:tc>
                <w:tcPr>
                  <w:tcW w:w="4919"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1、长江干支流、重要湖泊岸线1公里范围内新建、扩建化工园区和化工项目，长江、嘉陵江、乌江岸线1公里范围内布局新建纸浆制造、印染等存在环境风险的项目。</w:t>
                  </w:r>
                </w:p>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2、在水产</w:t>
                  </w:r>
                  <w:r>
                    <w:rPr>
                      <w:rFonts w:hint="eastAsia" w:ascii="Times New Roman" w:hAnsi="Times New Roman" w:eastAsia="宋体" w:cs="Times New Roman"/>
                      <w:kern w:val="2"/>
                      <w:sz w:val="21"/>
                      <w:szCs w:val="21"/>
                      <w:lang w:eastAsia="zh-CN"/>
                    </w:rPr>
                    <w:t>种质</w:t>
                  </w:r>
                  <w:r>
                    <w:rPr>
                      <w:rFonts w:hint="default" w:ascii="Times New Roman" w:hAnsi="Times New Roman" w:eastAsia="宋体" w:cs="Times New Roman"/>
                      <w:kern w:val="2"/>
                      <w:sz w:val="21"/>
                      <w:szCs w:val="21"/>
                    </w:rPr>
                    <w:t>资源保护区的岸线和河段范围内新建围湖造田等投资建设项目。</w:t>
                  </w:r>
                </w:p>
              </w:tc>
              <w:tc>
                <w:tcPr>
                  <w:tcW w:w="2089"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本项目位于合川区草街街道农创路（合川工业园南溪组团B区内），为C3670汽车零部件及配件制造。</w:t>
                  </w:r>
                </w:p>
              </w:tc>
              <w:tc>
                <w:tcPr>
                  <w:tcW w:w="806" w:type="dxa"/>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bl>
          <w:p>
            <w:pPr>
              <w:spacing w:after="0" w:line="420" w:lineRule="exact"/>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1.5.6与两高、双高项目管控要求的符合性分析</w:t>
            </w:r>
          </w:p>
          <w:p>
            <w:pPr>
              <w:spacing w:after="0" w:line="420" w:lineRule="exact"/>
              <w:rPr>
                <w:rFonts w:hint="default" w:ascii="Times New Roman" w:hAnsi="Times New Roman" w:eastAsia="宋体" w:cs="Times New Roman"/>
                <w:b/>
                <w:kern w:val="2"/>
                <w:sz w:val="24"/>
                <w:szCs w:val="24"/>
                <w:u w:val="single"/>
              </w:rPr>
            </w:pPr>
            <w:r>
              <w:rPr>
                <w:rFonts w:hint="default" w:ascii="Times New Roman" w:hAnsi="Times New Roman" w:eastAsia="宋体" w:cs="Times New Roman"/>
                <w:b/>
                <w:kern w:val="2"/>
                <w:sz w:val="24"/>
                <w:szCs w:val="24"/>
              </w:rPr>
              <w:t>1.5.6.1与《关于加强高耗能、高排放建设项目生态环境源头防控的指导意见》符合性分析</w:t>
            </w:r>
          </w:p>
          <w:p>
            <w:pPr>
              <w:spacing w:after="0" w:line="420" w:lineRule="exact"/>
              <w:ind w:firstLine="480" w:firstLineChars="200"/>
              <w:rPr>
                <w:rFonts w:hint="default" w:ascii="Times New Roman" w:hAnsi="Times New Roman" w:eastAsia="宋体" w:cs="Times New Roman"/>
                <w:bCs/>
                <w:kern w:val="2"/>
                <w:sz w:val="24"/>
                <w:szCs w:val="24"/>
              </w:rPr>
            </w:pPr>
            <w:r>
              <w:rPr>
                <w:rFonts w:hint="default" w:ascii="Times New Roman" w:hAnsi="Times New Roman" w:eastAsia="宋体" w:cs="Times New Roman"/>
                <w:kern w:val="2"/>
                <w:sz w:val="24"/>
                <w:szCs w:val="24"/>
              </w:rPr>
              <w:t>根据（环环评〔2021〕45号）</w:t>
            </w:r>
            <w:r>
              <w:rPr>
                <w:rFonts w:hint="default" w:ascii="Times New Roman" w:hAnsi="Times New Roman" w:eastAsia="宋体" w:cs="Times New Roman"/>
                <w:bCs/>
                <w:kern w:val="2"/>
                <w:sz w:val="24"/>
                <w:szCs w:val="24"/>
              </w:rPr>
              <w:t>《关于加强高耗能、高排放建设项目生态环境源头防控的指导意见》，明确“两高”项目暂按煤电、石化、化工、钢铁、有色金属冶炼、建材等六个行业类别，后续对“两高”范围国家如有明确规定的，从其规定。六个行业类别涉及：</w:t>
            </w:r>
            <w:r>
              <w:rPr>
                <w:rFonts w:hint="default" w:ascii="Times New Roman" w:hAnsi="Times New Roman" w:eastAsia="宋体" w:cs="Times New Roman"/>
                <w:kern w:val="2"/>
                <w:sz w:val="24"/>
                <w:szCs w:val="24"/>
                <w:shd w:val="clear" w:color="auto" w:fill="FFFFFF"/>
                <w:lang w:bidi="ar"/>
              </w:rPr>
              <w:t>炼油、乙烯、钢铁、焦化、煤化工、燃煤发电、电解铝、水泥熟料、平板玻璃、铜铅锌硅冶炼。</w:t>
            </w:r>
          </w:p>
          <w:p>
            <w:pPr>
              <w:spacing w:after="0" w:line="420" w:lineRule="exact"/>
              <w:ind w:firstLine="480" w:firstLineChars="200"/>
              <w:rPr>
                <w:rFonts w:hint="default" w:ascii="Times New Roman" w:hAnsi="Times New Roman" w:eastAsia="宋体" w:cs="Times New Roman"/>
                <w:bCs/>
                <w:kern w:val="2"/>
                <w:sz w:val="24"/>
                <w:szCs w:val="24"/>
              </w:rPr>
            </w:pPr>
            <w:r>
              <w:rPr>
                <w:rFonts w:hint="default" w:ascii="Times New Roman" w:hAnsi="Times New Roman" w:eastAsia="宋体" w:cs="Times New Roman"/>
                <w:bCs/>
                <w:kern w:val="2"/>
                <w:sz w:val="24"/>
                <w:szCs w:val="24"/>
              </w:rPr>
              <w:t>本项目从事汽车零部件及配件制造</w:t>
            </w:r>
            <w:r>
              <w:rPr>
                <w:rFonts w:hint="default" w:ascii="Times New Roman" w:hAnsi="Times New Roman" w:eastAsia="宋体" w:cs="Times New Roman"/>
                <w:snapToGrid w:val="0"/>
                <w:kern w:val="2"/>
                <w:sz w:val="24"/>
                <w:szCs w:val="24"/>
              </w:rPr>
              <w:t>，</w:t>
            </w:r>
            <w:r>
              <w:rPr>
                <w:rFonts w:hint="default" w:ascii="Times New Roman" w:hAnsi="Times New Roman" w:eastAsia="宋体" w:cs="Times New Roman"/>
                <w:kern w:val="2"/>
                <w:sz w:val="24"/>
                <w:szCs w:val="24"/>
              </w:rPr>
              <w:t>行业类别系C3670汽车零部件及配件制造，不属于</w:t>
            </w:r>
            <w:r>
              <w:rPr>
                <w:rFonts w:hint="default" w:ascii="Times New Roman" w:hAnsi="Times New Roman" w:eastAsia="宋体" w:cs="Times New Roman"/>
                <w:bCs/>
                <w:kern w:val="2"/>
                <w:sz w:val="24"/>
                <w:szCs w:val="24"/>
              </w:rPr>
              <w:t>“两高”项目。</w:t>
            </w:r>
          </w:p>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1.5.6.2与《环境保护综合名录（2021年版）》符合性分析</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bCs/>
                <w:kern w:val="2"/>
                <w:sz w:val="24"/>
                <w:szCs w:val="24"/>
              </w:rPr>
              <w:t>本项目从事汽车零部件及配件制造，行业类别系C3670汽车零部件及配件制造</w:t>
            </w:r>
            <w:r>
              <w:rPr>
                <w:rFonts w:hint="default" w:ascii="Times New Roman" w:hAnsi="Times New Roman" w:eastAsia="宋体" w:cs="Times New Roman"/>
                <w:kern w:val="2"/>
                <w:sz w:val="24"/>
                <w:szCs w:val="24"/>
              </w:rPr>
              <w:t>。根据《环境保护综合名录（2021年版）》，</w:t>
            </w:r>
            <w:r>
              <w:rPr>
                <w:rFonts w:hint="default" w:ascii="Times New Roman" w:hAnsi="Times New Roman" w:eastAsia="宋体" w:cs="Times New Roman"/>
                <w:bCs/>
                <w:kern w:val="2"/>
                <w:sz w:val="24"/>
                <w:szCs w:val="24"/>
              </w:rPr>
              <w:t>本项目</w:t>
            </w:r>
            <w:r>
              <w:rPr>
                <w:rFonts w:hint="default" w:ascii="Times New Roman" w:hAnsi="Times New Roman" w:eastAsia="宋体" w:cs="Times New Roman"/>
                <w:kern w:val="2"/>
                <w:sz w:val="24"/>
                <w:szCs w:val="24"/>
              </w:rPr>
              <w:t>不属于高污染、高环境风险（双高）项目。</w:t>
            </w:r>
          </w:p>
          <w:p>
            <w:pPr>
              <w:spacing w:after="0" w:line="420" w:lineRule="exact"/>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lang w:bidi="ar"/>
              </w:rPr>
              <w:t>1.5.7与《地下水管理条例》的符合性分析</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shd w:val="clear" w:color="auto" w:fill="FFFFFF"/>
                <w:lang w:bidi="ar"/>
              </w:rPr>
              <w:t>根据（中华人民共和国国务院令第748号）《地下水管理条例》，本项目与其符合性分析见表1.5-6。</w:t>
            </w:r>
          </w:p>
          <w:p>
            <w:pPr>
              <w:spacing w:after="0" w:line="42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表1.5-6  本项目与《地下水管理条例》的符合性分析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912"/>
              <w:gridCol w:w="2313"/>
              <w:gridCol w:w="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1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地下水管理条例</w:t>
                  </w:r>
                </w:p>
              </w:tc>
              <w:tc>
                <w:tcPr>
                  <w:tcW w:w="2313"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项目情况</w:t>
                  </w:r>
                </w:p>
              </w:tc>
              <w:tc>
                <w:tcPr>
                  <w:tcW w:w="847"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12" w:type="dxa"/>
                  <w:tcBorders>
                    <w:tl2br w:val="nil"/>
                    <w:tr2bl w:val="nil"/>
                  </w:tcBorders>
                  <w:vAlign w:val="center"/>
                </w:tcPr>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第四十条  禁止下列污染或者可能污染地下水的行为：</w:t>
                  </w:r>
                </w:p>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（一）利用渗井、渗坑、裂隙、溶洞以及私设暗管等逃避监管的方式排放水污染物</w:t>
                  </w:r>
                </w:p>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（二）利用岩层孔隙、裂隙、溶洞、废弃矿坑等贮存石化原料及产品、农药、危险废物、城镇污水处理设施产生的污泥和处理后的污泥或者其他有毒有害物质</w:t>
                  </w:r>
                </w:p>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（三）利用无防渗漏措施的沟渠、坑塘等输送或者贮存含有毒污染物的废水、含病原体的污水和其他废弃物</w:t>
                  </w:r>
                </w:p>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（四法律法规规禁止的其他污染或者可能污染地下水的行为</w:t>
                  </w:r>
                </w:p>
              </w:tc>
              <w:tc>
                <w:tcPr>
                  <w:tcW w:w="2313" w:type="dxa"/>
                  <w:vMerge w:val="restart"/>
                  <w:tcBorders>
                    <w:tl2br w:val="nil"/>
                    <w:tr2bl w:val="nil"/>
                  </w:tcBorders>
                  <w:vAlign w:val="center"/>
                </w:tcPr>
                <w:p>
                  <w:pPr>
                    <w:spacing w:after="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本项目从事汽车零部件及配件制造，位于合川工业园南溪组团B区内，不涉及集中式饮用水水源和热水、矿泉水、温泉等特殊地下水资源保护区，不涉及</w:t>
                  </w:r>
                  <w:r>
                    <w:rPr>
                      <w:rFonts w:hint="default" w:ascii="Times New Roman" w:hAnsi="Times New Roman" w:eastAsia="宋体" w:cs="Times New Roman"/>
                      <w:kern w:val="2"/>
                      <w:sz w:val="21"/>
                      <w:szCs w:val="21"/>
                      <w:shd w:val="clear" w:color="auto" w:fill="FFFFFF"/>
                      <w:lang w:bidi="ar"/>
                    </w:rPr>
                    <w:t>泉域保护范围、岩溶强发育、存在较多落水洞和岩溶漏斗的区域，厂区内污水、雨水均采用管道收集输送后排入园区市政污水管网和市政雨水管网，生产厂房、库房、危废贮存点、一般固废暂存间筑物为地上建筑；本项目</w:t>
                  </w:r>
                  <w:r>
                    <w:rPr>
                      <w:rFonts w:hint="default" w:ascii="Times New Roman" w:hAnsi="Times New Roman" w:eastAsia="宋体" w:cs="Times New Roman"/>
                      <w:sz w:val="21"/>
                      <w:szCs w:val="21"/>
                    </w:rPr>
                    <w:t>无生产工艺废水，废水为冷却循环水排水和生活污水</w:t>
                  </w:r>
                  <w:r>
                    <w:rPr>
                      <w:rFonts w:hint="default" w:ascii="Times New Roman" w:hAnsi="Times New Roman" w:eastAsia="宋体" w:cs="Times New Roman"/>
                      <w:kern w:val="2"/>
                      <w:sz w:val="21"/>
                      <w:szCs w:val="21"/>
                      <w:shd w:val="clear" w:color="auto" w:fill="FFFFFF"/>
                      <w:lang w:bidi="ar"/>
                    </w:rPr>
                    <w:t>，</w:t>
                  </w:r>
                  <w:r>
                    <w:rPr>
                      <w:rFonts w:hint="default" w:ascii="Times New Roman" w:hAnsi="Times New Roman" w:eastAsia="宋体" w:cs="Times New Roman"/>
                      <w:kern w:val="2"/>
                      <w:sz w:val="21"/>
                      <w:szCs w:val="21"/>
                    </w:rPr>
                    <w:t>经生化池处理达标后排入园区市政污水管网，厂区内按功能设置和用途，实施分区防渗，设置</w:t>
                  </w:r>
                  <w:r>
                    <w:rPr>
                      <w:rFonts w:hint="default" w:ascii="Times New Roman" w:hAnsi="Times New Roman" w:eastAsia="宋体" w:cs="Times New Roman"/>
                      <w:kern w:val="2"/>
                      <w:sz w:val="21"/>
                      <w:szCs w:val="21"/>
                      <w:shd w:val="clear" w:color="auto" w:fill="FFFFFF"/>
                      <w:lang w:bidi="ar"/>
                    </w:rPr>
                    <w:t>截流设施满足其存放</w:t>
                  </w:r>
                  <w:r>
                    <w:rPr>
                      <w:rFonts w:hint="default" w:ascii="Times New Roman" w:hAnsi="Times New Roman" w:eastAsia="宋体" w:cs="Times New Roman"/>
                      <w:kern w:val="2"/>
                      <w:sz w:val="21"/>
                      <w:szCs w:val="21"/>
                    </w:rPr>
                    <w:t>单桶液体物料最大储存量，不涉及重金属、剧毒物质、含有毒和含病原体废水。</w:t>
                  </w:r>
                </w:p>
              </w:tc>
              <w:tc>
                <w:tcPr>
                  <w:tcW w:w="847"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12" w:type="dxa"/>
                  <w:tcBorders>
                    <w:tl2br w:val="nil"/>
                    <w:tr2bl w:val="nil"/>
                  </w:tcBorders>
                  <w:vAlign w:val="center"/>
                </w:tcPr>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第四十一条  企业事业单位和其他生产经营者应当采取下列措施，防止地下水污染：</w:t>
                  </w:r>
                </w:p>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（一）兴建地下工程设施或者进行地下勘探、采矿等活动，依法编制的环境影响评价文件中，应当包括地下水污染防治的内容，并采取防护性措施</w:t>
                  </w:r>
                </w:p>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（二）化学品生产企业以及工业集聚区、矿山开采区、尾矿库、危险废物处置场、垃圾填埋场等的运营、管理单位，应当采取防渗漏等措施，并建设地下水水质监测井进行监测</w:t>
                  </w:r>
                </w:p>
              </w:tc>
              <w:tc>
                <w:tcPr>
                  <w:tcW w:w="2313" w:type="dxa"/>
                  <w:vMerge w:val="continue"/>
                  <w:tcBorders>
                    <w:tl2br w:val="nil"/>
                    <w:tr2bl w:val="nil"/>
                  </w:tcBorders>
                  <w:vAlign w:val="center"/>
                </w:tcPr>
                <w:p>
                  <w:pPr>
                    <w:spacing w:after="0"/>
                    <w:rPr>
                      <w:rFonts w:hint="default" w:ascii="Times New Roman" w:hAnsi="Times New Roman" w:eastAsia="宋体" w:cs="Times New Roman"/>
                      <w:kern w:val="2"/>
                      <w:sz w:val="21"/>
                      <w:szCs w:val="21"/>
                    </w:rPr>
                  </w:pPr>
                </w:p>
              </w:tc>
              <w:tc>
                <w:tcPr>
                  <w:tcW w:w="847"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12" w:type="dxa"/>
                  <w:tcBorders>
                    <w:tl2br w:val="nil"/>
                    <w:tr2bl w:val="nil"/>
                  </w:tcBorders>
                  <w:vAlign w:val="center"/>
                </w:tcPr>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第四十一条  企业事业单位和其他生产经营者应当采取下列措施，防止地下水污染：</w:t>
                  </w:r>
                </w:p>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（三）加油站等的地下油罐应当使用双层罐或者采取建造防渗池等其他有效措施，并进行防渗漏监测</w:t>
                  </w:r>
                </w:p>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（四）存放可溶性剧毒废渣的场所，应当采取防水、防渗漏、防流失的措施</w:t>
                  </w:r>
                </w:p>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（五法律法规规规定应当采取的其他防止地下水污染的措施</w:t>
                  </w:r>
                </w:p>
              </w:tc>
              <w:tc>
                <w:tcPr>
                  <w:tcW w:w="2313" w:type="dxa"/>
                  <w:vMerge w:val="continue"/>
                  <w:tcBorders>
                    <w:tl2br w:val="nil"/>
                    <w:tr2bl w:val="nil"/>
                  </w:tcBorders>
                  <w:vAlign w:val="center"/>
                </w:tcPr>
                <w:p>
                  <w:pPr>
                    <w:spacing w:after="0"/>
                    <w:rPr>
                      <w:rFonts w:hint="default" w:ascii="Times New Roman" w:hAnsi="Times New Roman" w:eastAsia="宋体" w:cs="Times New Roman"/>
                      <w:kern w:val="2"/>
                      <w:sz w:val="21"/>
                      <w:szCs w:val="21"/>
                    </w:rPr>
                  </w:pPr>
                </w:p>
              </w:tc>
              <w:tc>
                <w:tcPr>
                  <w:tcW w:w="847"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12" w:type="dxa"/>
                  <w:tcBorders>
                    <w:tl2br w:val="nil"/>
                    <w:tr2bl w:val="nil"/>
                  </w:tcBorders>
                  <w:vAlign w:val="center"/>
                </w:tcPr>
                <w:p>
                  <w:pPr>
                    <w:spacing w:after="0"/>
                    <w:rPr>
                      <w:rFonts w:hint="default" w:ascii="Times New Roman" w:hAnsi="Times New Roman" w:eastAsia="宋体"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第四十二条  在泉域保护范围以及岩溶强发育、存在较多落水洞和岩溶漏斗的区域内，不得新建、改建、扩建可能造成地下水污染的建设项目</w:t>
                  </w:r>
                </w:p>
              </w:tc>
              <w:tc>
                <w:tcPr>
                  <w:tcW w:w="2313" w:type="dxa"/>
                  <w:vMerge w:val="continue"/>
                  <w:tcBorders>
                    <w:tl2br w:val="nil"/>
                    <w:tr2bl w:val="nil"/>
                  </w:tcBorders>
                  <w:vAlign w:val="center"/>
                </w:tcPr>
                <w:p>
                  <w:pPr>
                    <w:spacing w:after="0"/>
                    <w:rPr>
                      <w:rFonts w:hint="default" w:ascii="Times New Roman" w:hAnsi="Times New Roman" w:eastAsia="宋体" w:cs="Times New Roman"/>
                      <w:kern w:val="2"/>
                      <w:sz w:val="21"/>
                      <w:szCs w:val="21"/>
                    </w:rPr>
                  </w:pPr>
                </w:p>
              </w:tc>
              <w:tc>
                <w:tcPr>
                  <w:tcW w:w="847"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符合</w:t>
                  </w:r>
                </w:p>
              </w:tc>
            </w:tr>
          </w:tbl>
          <w:p>
            <w:pPr>
              <w:spacing w:after="0" w:line="420" w:lineRule="exact"/>
              <w:ind w:firstLine="480" w:firstLineChars="200"/>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由表1.5-6可知，本项目建设符合</w:t>
            </w:r>
            <w:r>
              <w:rPr>
                <w:rFonts w:hint="default" w:ascii="Times New Roman" w:hAnsi="Times New Roman" w:eastAsia="宋体" w:cs="Times New Roman"/>
                <w:kern w:val="2"/>
                <w:sz w:val="24"/>
                <w:szCs w:val="24"/>
                <w:shd w:val="clear" w:color="auto" w:fill="FFFFFF"/>
                <w:lang w:bidi="ar"/>
              </w:rPr>
              <w:t>地下水管理条例</w:t>
            </w:r>
            <w:r>
              <w:rPr>
                <w:rFonts w:hint="default" w:ascii="Times New Roman" w:hAnsi="Times New Roman" w:eastAsia="宋体" w:cs="Times New Roman"/>
                <w:sz w:val="24"/>
                <w:szCs w:val="24"/>
                <w:lang w:bidi="ar"/>
              </w:rPr>
              <w:t>相关政策要求。</w:t>
            </w:r>
          </w:p>
          <w:p>
            <w:pPr>
              <w:spacing w:after="0" w:line="420" w:lineRule="exact"/>
              <w:rPr>
                <w:rFonts w:hint="default" w:ascii="Times New Roman" w:hAnsi="Times New Roman" w:eastAsia="宋体" w:cs="Times New Roman"/>
                <w:b/>
                <w:kern w:val="2"/>
                <w:sz w:val="24"/>
                <w:szCs w:val="24"/>
                <w:lang w:bidi="ar"/>
              </w:rPr>
            </w:pPr>
            <w:r>
              <w:rPr>
                <w:rFonts w:hint="default" w:ascii="Times New Roman" w:hAnsi="Times New Roman" w:eastAsia="宋体" w:cs="Times New Roman"/>
                <w:b/>
                <w:kern w:val="2"/>
                <w:sz w:val="24"/>
                <w:szCs w:val="24"/>
                <w:lang w:bidi="ar"/>
              </w:rPr>
              <w:t>1.5.8与《挥发性有机物（VOCs）污染防治技术政策》符合性分析</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本项目与《挥发性有机物（VOCs）污染防治技术政策》符合性分析见表1.5-7。</w:t>
            </w:r>
          </w:p>
          <w:p>
            <w:pPr>
              <w:spacing w:after="0" w:line="42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表1.5-7  本项目与《挥发性有机物（VOCs）污染防治技术政策》的符合性分析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8"/>
              <w:gridCol w:w="4797"/>
              <w:gridCol w:w="2800"/>
              <w:gridCol w:w="8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78" w:type="dxa"/>
                  <w:tcBorders>
                    <w:tl2br w:val="nil"/>
                    <w:tr2bl w:val="nil"/>
                  </w:tcBorders>
                  <w:tcMar>
                    <w:top w:w="0" w:type="dxa"/>
                    <w:left w:w="0" w:type="dxa"/>
                    <w:bottom w:w="0" w:type="dxa"/>
                    <w:right w:w="0" w:type="dxa"/>
                  </w:tcMar>
                  <w:vAlign w:val="center"/>
                </w:tcPr>
                <w:p>
                  <w:pPr>
                    <w:spacing w:after="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序号</w:t>
                  </w:r>
                </w:p>
              </w:tc>
              <w:tc>
                <w:tcPr>
                  <w:tcW w:w="4797" w:type="dxa"/>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政策相关要求</w:t>
                  </w:r>
                </w:p>
              </w:tc>
              <w:tc>
                <w:tcPr>
                  <w:tcW w:w="2800" w:type="dxa"/>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本项目情况</w:t>
                  </w:r>
                </w:p>
              </w:tc>
              <w:tc>
                <w:tcPr>
                  <w:tcW w:w="897" w:type="dxa"/>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pPr>
                    <w:spacing w:after="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Times New Roman" w:cs="Times New Roman"/>
                      <w:kern w:val="2"/>
                      <w:sz w:val="21"/>
                      <w:szCs w:val="21"/>
                      <w:shd w:val="clear" w:color="auto" w:fill="FFFFFF"/>
                      <w:lang w:bidi="ar"/>
                    </w:rPr>
                    <w:t>1</w:t>
                  </w:r>
                </w:p>
              </w:tc>
              <w:tc>
                <w:tcPr>
                  <w:tcW w:w="4797" w:type="dxa"/>
                  <w:tcBorders>
                    <w:tl2br w:val="nil"/>
                    <w:tr2bl w:val="nil"/>
                  </w:tcBorders>
                  <w:vAlign w:val="center"/>
                </w:tcPr>
                <w:p>
                  <w:pPr>
                    <w:spacing w:after="0"/>
                    <w:ind w:firstLine="420" w:firstLineChars="20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 xml:space="preserve">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 </w:t>
                  </w:r>
                </w:p>
              </w:tc>
              <w:tc>
                <w:tcPr>
                  <w:tcW w:w="2800" w:type="dxa"/>
                  <w:tcBorders>
                    <w:tl2br w:val="nil"/>
                    <w:tr2bl w:val="nil"/>
                  </w:tcBorders>
                  <w:vAlign w:val="center"/>
                </w:tcPr>
                <w:p>
                  <w:pPr>
                    <w:spacing w:after="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经分析可知，本项目产生低浓度V</w:t>
                  </w:r>
                  <w:r>
                    <w:rPr>
                      <w:rFonts w:hint="default" w:ascii="Times New Roman" w:hAnsi="Times New Roman" w:eastAsia="Times New Roman" w:cs="Times New Roman"/>
                      <w:kern w:val="2"/>
                      <w:sz w:val="21"/>
                      <w:szCs w:val="21"/>
                      <w:shd w:val="clear" w:color="auto" w:fill="FFFFFF"/>
                      <w:lang w:bidi="ar"/>
                    </w:rPr>
                    <w:t>OC</w:t>
                  </w:r>
                  <w:r>
                    <w:rPr>
                      <w:rFonts w:hint="default" w:ascii="Times New Roman" w:hAnsi="Times New Roman" w:eastAsia="宋体" w:cs="Times New Roman"/>
                      <w:kern w:val="2"/>
                      <w:sz w:val="21"/>
                      <w:szCs w:val="21"/>
                      <w:shd w:val="clear" w:color="auto" w:fill="FFFFFF"/>
                      <w:lang w:bidi="ar"/>
                    </w:rPr>
                    <w:t>s废气，采用“二级活性炭吸附</w:t>
                  </w:r>
                  <w:r>
                    <w:rPr>
                      <w:rFonts w:hint="default" w:ascii="Times New Roman" w:hAnsi="Times New Roman" w:eastAsia="Times New Roman" w:cs="Times New Roman"/>
                      <w:kern w:val="2"/>
                      <w:sz w:val="21"/>
                      <w:szCs w:val="21"/>
                      <w:shd w:val="clear" w:color="auto" w:fill="FFFFFF"/>
                      <w:lang w:bidi="ar"/>
                    </w:rPr>
                    <w:t>”</w:t>
                  </w:r>
                  <w:r>
                    <w:rPr>
                      <w:rFonts w:hint="default" w:ascii="Times New Roman" w:hAnsi="Times New Roman" w:eastAsia="宋体" w:cs="Times New Roman"/>
                      <w:kern w:val="2"/>
                      <w:sz w:val="21"/>
                      <w:szCs w:val="21"/>
                      <w:shd w:val="clear" w:color="auto" w:fill="FFFFFF"/>
                      <w:lang w:bidi="ar"/>
                    </w:rPr>
                    <w:t>处理后达标排放。</w:t>
                  </w:r>
                </w:p>
              </w:tc>
              <w:tc>
                <w:tcPr>
                  <w:tcW w:w="897" w:type="dxa"/>
                  <w:tcBorders>
                    <w:tl2br w:val="nil"/>
                    <w:tr2bl w:val="nil"/>
                  </w:tcBorders>
                  <w:vAlign w:val="center"/>
                </w:tcPr>
                <w:p>
                  <w:pPr>
                    <w:spacing w:after="0"/>
                    <w:jc w:val="center"/>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pPr>
                    <w:spacing w:after="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Times New Roman" w:cs="Times New Roman"/>
                      <w:kern w:val="2"/>
                      <w:sz w:val="21"/>
                      <w:szCs w:val="21"/>
                      <w:shd w:val="clear" w:color="auto" w:fill="FFFFFF"/>
                      <w:lang w:bidi="ar"/>
                    </w:rPr>
                    <w:t>2</w:t>
                  </w:r>
                </w:p>
              </w:tc>
              <w:tc>
                <w:tcPr>
                  <w:tcW w:w="4797" w:type="dxa"/>
                  <w:tcBorders>
                    <w:tl2br w:val="nil"/>
                    <w:tr2bl w:val="nil"/>
                  </w:tcBorders>
                  <w:vAlign w:val="center"/>
                </w:tcPr>
                <w:p>
                  <w:pPr>
                    <w:spacing w:after="0"/>
                    <w:ind w:firstLine="420" w:firstLineChars="20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对于不能再生的过滤材料、吸附剂及催化剂等净化材料，应按照国家固体废物管理的相关规定处理处置</w:t>
                  </w:r>
                </w:p>
              </w:tc>
              <w:tc>
                <w:tcPr>
                  <w:tcW w:w="2800" w:type="dxa"/>
                  <w:tcBorders>
                    <w:tl2br w:val="nil"/>
                    <w:tr2bl w:val="nil"/>
                  </w:tcBorders>
                  <w:vAlign w:val="center"/>
                </w:tcPr>
                <w:p>
                  <w:pPr>
                    <w:spacing w:after="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废活性炭等危险废物定期交由有危险废物资质单位处置。</w:t>
                  </w:r>
                </w:p>
              </w:tc>
              <w:tc>
                <w:tcPr>
                  <w:tcW w:w="897" w:type="dxa"/>
                  <w:tcBorders>
                    <w:tl2br w:val="nil"/>
                    <w:tr2bl w:val="nil"/>
                  </w:tcBorders>
                  <w:vAlign w:val="center"/>
                </w:tcPr>
                <w:p>
                  <w:pPr>
                    <w:spacing w:after="0"/>
                    <w:jc w:val="center"/>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pPr>
                    <w:spacing w:after="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Times New Roman" w:cs="Times New Roman"/>
                      <w:kern w:val="2"/>
                      <w:sz w:val="21"/>
                      <w:szCs w:val="21"/>
                      <w:shd w:val="clear" w:color="auto" w:fill="FFFFFF"/>
                      <w:lang w:bidi="ar"/>
                    </w:rPr>
                    <w:t>3</w:t>
                  </w:r>
                </w:p>
              </w:tc>
              <w:tc>
                <w:tcPr>
                  <w:tcW w:w="4797" w:type="dxa"/>
                  <w:tcBorders>
                    <w:tl2br w:val="nil"/>
                    <w:tr2bl w:val="nil"/>
                  </w:tcBorders>
                  <w:vAlign w:val="center"/>
                </w:tcPr>
                <w:p>
                  <w:pPr>
                    <w:spacing w:after="0"/>
                    <w:ind w:firstLine="420" w:firstLineChars="20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（二十五）鼓励企业自行开展VOCs监测，并及时主动向当地环保行政主管部门报送监测结果。</w:t>
                  </w:r>
                </w:p>
              </w:tc>
              <w:tc>
                <w:tcPr>
                  <w:tcW w:w="2800" w:type="dxa"/>
                  <w:tcBorders>
                    <w:tl2br w:val="nil"/>
                    <w:tr2bl w:val="nil"/>
                  </w:tcBorders>
                  <w:vAlign w:val="center"/>
                </w:tcPr>
                <w:p>
                  <w:pPr>
                    <w:spacing w:after="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企业拟每年定期开展非甲烷总烃等监测，并及时向生态环境局报送。</w:t>
                  </w:r>
                </w:p>
              </w:tc>
              <w:tc>
                <w:tcPr>
                  <w:tcW w:w="897" w:type="dxa"/>
                  <w:tcBorders>
                    <w:tl2br w:val="nil"/>
                    <w:tr2bl w:val="nil"/>
                  </w:tcBorders>
                  <w:vAlign w:val="center"/>
                </w:tcPr>
                <w:p>
                  <w:pPr>
                    <w:spacing w:after="0"/>
                    <w:jc w:val="center"/>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tcBorders>
                    <w:tl2br w:val="nil"/>
                    <w:tr2bl w:val="nil"/>
                  </w:tcBorders>
                  <w:vAlign w:val="center"/>
                </w:tcPr>
                <w:p>
                  <w:pPr>
                    <w:spacing w:after="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Times New Roman" w:cs="Times New Roman"/>
                      <w:kern w:val="2"/>
                      <w:sz w:val="21"/>
                      <w:szCs w:val="21"/>
                      <w:shd w:val="clear" w:color="auto" w:fill="FFFFFF"/>
                      <w:lang w:bidi="ar"/>
                    </w:rPr>
                    <w:t>4</w:t>
                  </w:r>
                </w:p>
              </w:tc>
              <w:tc>
                <w:tcPr>
                  <w:tcW w:w="4797" w:type="dxa"/>
                  <w:tcBorders>
                    <w:tl2br w:val="nil"/>
                    <w:tr2bl w:val="nil"/>
                  </w:tcBorders>
                  <w:vAlign w:val="center"/>
                </w:tcPr>
                <w:p>
                  <w:pPr>
                    <w:spacing w:after="0"/>
                    <w:ind w:firstLine="420" w:firstLineChars="20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企业应建立健全VOCs治理设施的运行维护规程和</w:t>
                  </w:r>
                  <w:r>
                    <w:rPr>
                      <w:rFonts w:hint="eastAsia" w:ascii="Times New Roman" w:hAnsi="Times New Roman" w:eastAsia="宋体" w:cs="Times New Roman"/>
                      <w:kern w:val="2"/>
                      <w:sz w:val="21"/>
                      <w:szCs w:val="21"/>
                      <w:shd w:val="clear" w:color="auto" w:fill="FFFFFF"/>
                      <w:lang w:eastAsia="zh-CN" w:bidi="ar"/>
                    </w:rPr>
                    <w:t>台账</w:t>
                  </w:r>
                  <w:r>
                    <w:rPr>
                      <w:rFonts w:hint="default" w:ascii="Times New Roman" w:hAnsi="Times New Roman" w:eastAsia="宋体" w:cs="Times New Roman"/>
                      <w:kern w:val="2"/>
                      <w:sz w:val="21"/>
                      <w:szCs w:val="21"/>
                      <w:shd w:val="clear" w:color="auto" w:fill="FFFFFF"/>
                      <w:lang w:bidi="ar"/>
                    </w:rPr>
                    <w:t>等日常管理制度，并根据工艺要求定期对各类设备、电气、自控仪表等进行检修维护，确保设施的稳定运行</w:t>
                  </w:r>
                </w:p>
              </w:tc>
              <w:tc>
                <w:tcPr>
                  <w:tcW w:w="2800" w:type="dxa"/>
                  <w:tcBorders>
                    <w:tl2br w:val="nil"/>
                    <w:tr2bl w:val="nil"/>
                  </w:tcBorders>
                  <w:vAlign w:val="center"/>
                </w:tcPr>
                <w:p>
                  <w:pPr>
                    <w:spacing w:after="0"/>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环境管理中要求建设单位建立健全VOCs治理设施的运行维护规程和</w:t>
                  </w:r>
                  <w:r>
                    <w:rPr>
                      <w:rFonts w:hint="eastAsia" w:ascii="Times New Roman" w:hAnsi="Times New Roman" w:eastAsia="宋体" w:cs="Times New Roman"/>
                      <w:kern w:val="2"/>
                      <w:sz w:val="21"/>
                      <w:szCs w:val="21"/>
                      <w:shd w:val="clear" w:color="auto" w:fill="FFFFFF"/>
                      <w:lang w:eastAsia="zh-CN" w:bidi="ar"/>
                    </w:rPr>
                    <w:t>台账</w:t>
                  </w:r>
                  <w:r>
                    <w:rPr>
                      <w:rFonts w:hint="default" w:ascii="Times New Roman" w:hAnsi="Times New Roman" w:eastAsia="宋体" w:cs="Times New Roman"/>
                      <w:kern w:val="2"/>
                      <w:sz w:val="21"/>
                      <w:szCs w:val="21"/>
                      <w:shd w:val="clear" w:color="auto" w:fill="FFFFFF"/>
                      <w:lang w:bidi="ar"/>
                    </w:rPr>
                    <w:t>等日常管理制度，并定期检修维护废气处理装置，确保设施的稳定运行。</w:t>
                  </w:r>
                </w:p>
              </w:tc>
              <w:tc>
                <w:tcPr>
                  <w:tcW w:w="897" w:type="dxa"/>
                  <w:tcBorders>
                    <w:tl2br w:val="nil"/>
                    <w:tr2bl w:val="nil"/>
                  </w:tcBorders>
                  <w:vAlign w:val="center"/>
                </w:tcPr>
                <w:p>
                  <w:pPr>
                    <w:spacing w:after="0"/>
                    <w:jc w:val="center"/>
                    <w:rPr>
                      <w:rFonts w:hint="default" w:ascii="Times New Roman" w:hAnsi="Times New Roman" w:eastAsia="Times New Roman" w:cs="Times New Roman"/>
                      <w:kern w:val="2"/>
                      <w:sz w:val="21"/>
                      <w:szCs w:val="21"/>
                      <w:shd w:val="clear" w:color="auto" w:fill="FFFFFF"/>
                      <w:lang w:bidi="ar"/>
                    </w:rPr>
                  </w:pPr>
                  <w:r>
                    <w:rPr>
                      <w:rFonts w:hint="default" w:ascii="Times New Roman" w:hAnsi="Times New Roman" w:eastAsia="宋体" w:cs="Times New Roman"/>
                      <w:kern w:val="2"/>
                      <w:sz w:val="21"/>
                      <w:szCs w:val="21"/>
                      <w:shd w:val="clear" w:color="auto" w:fill="FFFFFF"/>
                      <w:lang w:bidi="ar"/>
                    </w:rPr>
                    <w:t>符合</w:t>
                  </w:r>
                </w:p>
              </w:tc>
            </w:tr>
          </w:tbl>
          <w:p>
            <w:pPr>
              <w:spacing w:after="0" w:line="420" w:lineRule="exact"/>
              <w:rPr>
                <w:rFonts w:hint="default" w:ascii="Times New Roman" w:hAnsi="Times New Roman" w:eastAsia="宋体" w:cs="Times New Roman"/>
                <w:b/>
                <w:kern w:val="2"/>
                <w:sz w:val="24"/>
                <w:szCs w:val="24"/>
                <w:lang w:bidi="ar"/>
              </w:rPr>
            </w:pPr>
            <w:r>
              <w:rPr>
                <w:rFonts w:hint="default" w:ascii="Times New Roman" w:hAnsi="Times New Roman" w:eastAsia="宋体" w:cs="Times New Roman"/>
                <w:b/>
                <w:kern w:val="2"/>
                <w:sz w:val="24"/>
                <w:szCs w:val="24"/>
                <w:lang w:bidi="ar"/>
              </w:rPr>
              <w:t>1.5.9与《挥发性有机物无组织排放控制标准》（GB37822 -2019）的符合性分析</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本项目与《挥发性有机物无组织排放控制标准》（GB37822-2019）符合性分析见表1.5-8。</w:t>
            </w:r>
          </w:p>
          <w:p>
            <w:pPr>
              <w:spacing w:after="0" w:line="42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表1.5-8  本项目与《挥发性有机物无组织排放控制标准》的符合性分析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5097"/>
              <w:gridCol w:w="2419"/>
              <w:gridCol w:w="8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序号</w:t>
                  </w:r>
                </w:p>
              </w:tc>
              <w:tc>
                <w:tcPr>
                  <w:tcW w:w="2808"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控制要求</w:t>
                  </w:r>
                </w:p>
              </w:tc>
              <w:tc>
                <w:tcPr>
                  <w:tcW w:w="1332"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本项目情况</w:t>
                  </w:r>
                </w:p>
              </w:tc>
              <w:tc>
                <w:tcPr>
                  <w:tcW w:w="489"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1</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VOCs物料应储存于密闭的容器、包装袋、储罐、料仓中；盛装VOCs物料的容器应放置于室内，或存放于设置有雨棚、遮阳和防渗设施的专用场地；容器在非取用状态时应加盖、封口、保持密闭。</w:t>
                  </w:r>
                </w:p>
              </w:tc>
              <w:tc>
                <w:tcPr>
                  <w:tcW w:w="1332" w:type="pct"/>
                  <w:vMerge w:val="restar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本项目原料使用包装袋贮存，且位于室内，非取用状态时密闭存放。粉状、粒装VOCs物料应采用管状带式输送机进行物料转移。</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2</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粉状、粒装VOCs物料应采用气力输送设备、管状带式输送机、螺旋输送机等密闭输送或者采用密闭的包装袋、容器或者罐车进行物料转移。</w:t>
                  </w:r>
                </w:p>
              </w:tc>
              <w:tc>
                <w:tcPr>
                  <w:tcW w:w="1332" w:type="pct"/>
                  <w:vMerge w:val="continue"/>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3</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332"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本项目采用集气罩收集废气，废气设置“二级活性炭吸附”处理。</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4</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企业应建立台账，记录含VOCs原辅材料和含VOCs产品的名称、使用量、回收量、废弃量、去向以及VOCs含量等信息。台账保存期限不少于3年。</w:t>
                  </w:r>
                </w:p>
              </w:tc>
              <w:tc>
                <w:tcPr>
                  <w:tcW w:w="1332"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本项目要求企业建立台账制度，记录含VOCs原辅材料和含VOCs产品的名称、使用量、回收量、废弃量、去向以及VOCs含量等信息。台账保存期限不少于3年。</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5</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通风生产设备、操作工位、车间厂房等应在符合安全生产、职业卫生相关规定的前提下，根据行业作业规程与标准、工业建筑及洁净厂房通风设计规范等的要求，采用合理的通风量。</w:t>
                  </w:r>
                </w:p>
              </w:tc>
              <w:tc>
                <w:tcPr>
                  <w:tcW w:w="1332"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本项目按照通风设计规范等的要求，采取了机械排风措施。</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6</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VOCs废气收集处理系统应与生产工艺设备同步运行。VOCs废气收集处理系统发生故障或检修对应的生产工艺设备应停止运行，待检修完毕后同步投入使用；生产工艺设备不能停止运行或不能及时停止运行的，应设置废气应急处理设施或采取其他替代措施。</w:t>
                  </w:r>
                </w:p>
              </w:tc>
              <w:tc>
                <w:tcPr>
                  <w:tcW w:w="1332"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本项目“二级活性炭吸附”废气处理装置与生产设备同步运行；废气处理装置发生故障或检修时，对应的生产设备停运，待检修完毕后同步投入使用。</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7</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企业应考虑生产工艺、操作方式、废气性质、处理方法等因素，对VOCs废气进行分类收集。</w:t>
                  </w:r>
                </w:p>
              </w:tc>
              <w:tc>
                <w:tcPr>
                  <w:tcW w:w="1332"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本项目采用机械抽风收集。</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8</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废气收集系统排风罩（集气罩）的设置应符合GB/T16758的规定。采用外部排风罩的，应按GB/T16758、AQ/T4274-2016规定的方法测量控制风速，测量点应选取在距排风罩开口面最远处的VOCs无组织排放位置，控制风速不应低于0.3m/s。</w:t>
                  </w:r>
                </w:p>
              </w:tc>
              <w:tc>
                <w:tcPr>
                  <w:tcW w:w="1332"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本项目采用集气罩收集有机废气。</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9</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废气收集系统的输送管道应密闭。废气收集系统应在负压下运行，若处于正压状态，应对输送管道组件的密封点进行泄漏检测，泄漏检测值不应超过500μmol/mol，亦不应有感官可察觉泄漏。</w:t>
                  </w:r>
                </w:p>
              </w:tc>
              <w:tc>
                <w:tcPr>
                  <w:tcW w:w="1332"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本项目废气收集管道均全密闭。</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10</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VOCs废气收集处理系统污染物排放应符GB16297或相关行业排放标准的规定。</w:t>
                  </w:r>
                </w:p>
              </w:tc>
              <w:tc>
                <w:tcPr>
                  <w:tcW w:w="1332"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本项目废气执行《橡胶制品工业污染物排放标准》（GB27632-2011）表5规定的大气污染物排放限值。</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11</w:t>
                  </w:r>
                </w:p>
              </w:tc>
              <w:tc>
                <w:tcPr>
                  <w:tcW w:w="2808"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收集的废气中NMHC初始排放速率≥3.0kg/h时，应配置VOCs处理设施，处理效率不应低于80%；对于重点地区，收集的废气中NMHC初始排放速率≥2.0kg/h时，应配置VOCs处理设施，处理效率不应低于80%；采用的原辅材料符合国家有关低VOCs含量产品规定的除外。</w:t>
                  </w:r>
                </w:p>
              </w:tc>
              <w:tc>
                <w:tcPr>
                  <w:tcW w:w="1332" w:type="pct"/>
                  <w:tcBorders>
                    <w:tl2br w:val="nil"/>
                    <w:tr2bl w:val="nil"/>
                  </w:tcBorders>
                  <w:vAlign w:val="center"/>
                </w:tcPr>
                <w:p>
                  <w:pPr>
                    <w:pStyle w:val="25"/>
                    <w:spacing w:line="240" w:lineRule="auto"/>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本项目收集的废气污染物非甲烷总烃的初始排放速率均小于2kg/h，但仍然配置了“二级活性炭吸附”处理装置。</w:t>
                  </w:r>
                </w:p>
              </w:tc>
              <w:tc>
                <w:tcPr>
                  <w:tcW w:w="489" w:type="pct"/>
                  <w:tcBorders>
                    <w:tl2br w:val="nil"/>
                    <w:tr2bl w:val="nil"/>
                  </w:tcBorders>
                  <w:vAlign w:val="center"/>
                </w:tcPr>
                <w:p>
                  <w:pPr>
                    <w:pStyle w:val="25"/>
                    <w:spacing w:line="240" w:lineRule="auto"/>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shd w:val="clear" w:color="auto" w:fill="FFFFFF"/>
                      <w:lang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12</w:t>
                  </w:r>
                </w:p>
              </w:tc>
              <w:tc>
                <w:tcPr>
                  <w:tcW w:w="2808" w:type="pct"/>
                  <w:tcBorders>
                    <w:tl2br w:val="nil"/>
                    <w:tr2bl w:val="nil"/>
                  </w:tcBorders>
                  <w:vAlign w:val="center"/>
                </w:tcPr>
                <w:p>
                  <w:pPr>
                    <w:pStyle w:val="25"/>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吸附、吸收、冷凝、生物、膜分离等其他VOCs 处理设施，以实测质量浓度作为达标判定依据，不得稀释排放。</w:t>
                  </w:r>
                </w:p>
              </w:tc>
              <w:tc>
                <w:tcPr>
                  <w:tcW w:w="1332" w:type="pct"/>
                  <w:tcBorders>
                    <w:tl2br w:val="nil"/>
                    <w:tr2bl w:val="nil"/>
                  </w:tcBorders>
                  <w:vAlign w:val="center"/>
                </w:tcPr>
                <w:p>
                  <w:pPr>
                    <w:pStyle w:val="25"/>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本项目采用“二级活性炭吸附”，以实测浓度为达标判定依据，不存在稀释排放。</w:t>
                  </w:r>
                </w:p>
              </w:tc>
              <w:tc>
                <w:tcPr>
                  <w:tcW w:w="489" w:type="pct"/>
                  <w:tcBorders>
                    <w:tl2br w:val="nil"/>
                    <w:tr2bl w:val="nil"/>
                  </w:tcBorders>
                  <w:vAlign w:val="center"/>
                </w:tcPr>
                <w:p>
                  <w:pPr>
                    <w:pStyle w:val="25"/>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13</w:t>
                  </w:r>
                </w:p>
              </w:tc>
              <w:tc>
                <w:tcPr>
                  <w:tcW w:w="2808" w:type="pct"/>
                  <w:tcBorders>
                    <w:tl2br w:val="nil"/>
                    <w:tr2bl w:val="nil"/>
                  </w:tcBorders>
                  <w:vAlign w:val="center"/>
                </w:tcPr>
                <w:p>
                  <w:pPr>
                    <w:pStyle w:val="25"/>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排气筒高度不低于15m（因安全考虑或有特殊工艺要求的除外），具体高度以及与周围建筑物的相对高度关系应根据环境影响评价文件确定。</w:t>
                  </w:r>
                </w:p>
              </w:tc>
              <w:tc>
                <w:tcPr>
                  <w:tcW w:w="1332" w:type="pct"/>
                  <w:tcBorders>
                    <w:tl2br w:val="nil"/>
                    <w:tr2bl w:val="nil"/>
                  </w:tcBorders>
                  <w:vAlign w:val="center"/>
                </w:tcPr>
                <w:p>
                  <w:pPr>
                    <w:pStyle w:val="25"/>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本项目设置的排气筒高度为25m。</w:t>
                  </w:r>
                </w:p>
              </w:tc>
              <w:tc>
                <w:tcPr>
                  <w:tcW w:w="489" w:type="pct"/>
                  <w:tcBorders>
                    <w:tl2br w:val="nil"/>
                    <w:tr2bl w:val="nil"/>
                  </w:tcBorders>
                  <w:vAlign w:val="center"/>
                </w:tcPr>
                <w:p>
                  <w:pPr>
                    <w:pStyle w:val="25"/>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14</w:t>
                  </w:r>
                </w:p>
              </w:tc>
              <w:tc>
                <w:tcPr>
                  <w:tcW w:w="2808" w:type="pct"/>
                  <w:tcBorders>
                    <w:tl2br w:val="nil"/>
                    <w:tr2bl w:val="nil"/>
                  </w:tcBorders>
                  <w:vAlign w:val="center"/>
                </w:tcPr>
                <w:p>
                  <w:pPr>
                    <w:pStyle w:val="25"/>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有机聚合物产品用于制品生产过程，在混合/炼胶、塑炼/塑化/熔化、加工成型（挤出、注射、压制、压延、发泡、纺丝）等作业中应采用密闭空间内操作，废气应排至VOCs废气收集处理系统；无法密闭的，应采取局部气体收集措施，废气应排至VOCs废气收集处理系统。</w:t>
                  </w:r>
                </w:p>
              </w:tc>
              <w:tc>
                <w:tcPr>
                  <w:tcW w:w="1332" w:type="pct"/>
                  <w:tcBorders>
                    <w:tl2br w:val="nil"/>
                    <w:tr2bl w:val="nil"/>
                  </w:tcBorders>
                  <w:vAlign w:val="center"/>
                </w:tcPr>
                <w:p>
                  <w:pPr>
                    <w:pStyle w:val="25"/>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本项目采用集气罩收集使用背胶处理剂产生的有机废气，废气经收集后，通过“二级活性炭吸附”处理后达标排放。</w:t>
                  </w:r>
                </w:p>
              </w:tc>
              <w:tc>
                <w:tcPr>
                  <w:tcW w:w="489" w:type="pct"/>
                  <w:tcBorders>
                    <w:tl2br w:val="nil"/>
                    <w:tr2bl w:val="nil"/>
                  </w:tcBorders>
                  <w:vAlign w:val="center"/>
                </w:tcPr>
                <w:p>
                  <w:pPr>
                    <w:pStyle w:val="25"/>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tcBorders>
                    <w:tl2br w:val="nil"/>
                    <w:tr2bl w:val="nil"/>
                  </w:tcBorders>
                  <w:vAlign w:val="center"/>
                </w:tcPr>
                <w:p>
                  <w:pPr>
                    <w:pStyle w:val="25"/>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15</w:t>
                  </w:r>
                </w:p>
              </w:tc>
              <w:tc>
                <w:tcPr>
                  <w:tcW w:w="2808" w:type="pct"/>
                  <w:tcBorders>
                    <w:tl2br w:val="nil"/>
                    <w:tr2bl w:val="nil"/>
                  </w:tcBorders>
                  <w:vAlign w:val="center"/>
                </w:tcPr>
                <w:p>
                  <w:pPr>
                    <w:pStyle w:val="25"/>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企业边界及周边VOCs监控要求执行GB16297或相关行业排放标准的规定。</w:t>
                  </w:r>
                </w:p>
              </w:tc>
              <w:tc>
                <w:tcPr>
                  <w:tcW w:w="1332" w:type="pct"/>
                  <w:tcBorders>
                    <w:tl2br w:val="nil"/>
                    <w:tr2bl w:val="nil"/>
                  </w:tcBorders>
                  <w:vAlign w:val="center"/>
                </w:tcPr>
                <w:p>
                  <w:pPr>
                    <w:pStyle w:val="25"/>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本项目无组织排放的非甲烷总烃执行《大气污染物综合排放标准》（DB50/418-2016）排放限值。</w:t>
                  </w:r>
                </w:p>
              </w:tc>
              <w:tc>
                <w:tcPr>
                  <w:tcW w:w="489" w:type="pct"/>
                  <w:tcBorders>
                    <w:tl2br w:val="nil"/>
                    <w:tr2bl w:val="nil"/>
                  </w:tcBorders>
                  <w:vAlign w:val="center"/>
                </w:tcPr>
                <w:p>
                  <w:pPr>
                    <w:pStyle w:val="25"/>
                    <w:jc w:val="center"/>
                    <w:rPr>
                      <w:rFonts w:hint="default" w:ascii="Times New Roman" w:hAnsi="Times New Roman" w:cs="Times New Roman"/>
                      <w:sz w:val="21"/>
                      <w:szCs w:val="21"/>
                      <w:shd w:val="clear" w:color="auto" w:fill="FFFFFF"/>
                      <w:lang w:bidi="ar"/>
                    </w:rPr>
                  </w:pPr>
                  <w:r>
                    <w:rPr>
                      <w:rFonts w:hint="default" w:ascii="Times New Roman" w:hAnsi="Times New Roman" w:cs="Times New Roman"/>
                      <w:sz w:val="21"/>
                      <w:szCs w:val="21"/>
                    </w:rPr>
                    <w:t>符合</w:t>
                  </w:r>
                </w:p>
              </w:tc>
            </w:tr>
          </w:tbl>
          <w:p>
            <w:pPr>
              <w:spacing w:after="0" w:line="420" w:lineRule="exact"/>
              <w:ind w:firstLine="480" w:firstLineChars="200"/>
              <w:jc w:val="both"/>
              <w:rPr>
                <w:rFonts w:hint="default" w:ascii="Times New Roman" w:hAnsi="Times New Roman" w:eastAsia="宋体" w:cs="Times New Roman"/>
                <w:kern w:val="2"/>
                <w:sz w:val="24"/>
                <w:szCs w:val="24"/>
              </w:rPr>
            </w:pPr>
          </w:p>
        </w:tc>
      </w:tr>
    </w:tbl>
    <w:p>
      <w:pPr>
        <w:spacing w:after="0"/>
        <w:rPr>
          <w:rFonts w:hint="default" w:ascii="Times New Roman" w:hAnsi="Times New Roman" w:eastAsia="宋体" w:cs="Times New Roman"/>
          <w:sz w:val="24"/>
          <w:szCs w:val="24"/>
        </w:rPr>
        <w:sectPr>
          <w:pgSz w:w="11906" w:h="16838"/>
          <w:pgMar w:top="1417" w:right="1417" w:bottom="1417" w:left="1417" w:header="1134" w:footer="1021" w:gutter="0"/>
          <w:cols w:space="708" w:num="1"/>
          <w:docGrid w:linePitch="360" w:charSpace="0"/>
        </w:sectPr>
      </w:pPr>
    </w:p>
    <w:p>
      <w:pPr>
        <w:pStyle w:val="2"/>
        <w:spacing w:before="0" w:after="0" w:line="24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rPr>
        <w:t>二、建设项目工程分析</w:t>
      </w:r>
    </w:p>
    <w:tbl>
      <w:tblPr>
        <w:tblStyle w:val="31"/>
        <w:tblW w:w="50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5" w:hRule="atLeast"/>
          <w:jc w:val="center"/>
        </w:trPr>
        <w:tc>
          <w:tcPr>
            <w:tcW w:w="9253" w:type="dxa"/>
            <w:tcBorders>
              <w:tl2br w:val="nil"/>
              <w:tr2bl w:val="nil"/>
            </w:tcBorders>
            <w:tcMar>
              <w:top w:w="0" w:type="dxa"/>
              <w:left w:w="0" w:type="dxa"/>
              <w:bottom w:w="0" w:type="dxa"/>
              <w:right w:w="0" w:type="dxa"/>
            </w:tcMar>
            <w:vAlign w:val="center"/>
          </w:tcPr>
          <w:p>
            <w:pPr>
              <w:spacing w:after="0" w:line="420" w:lineRule="exact"/>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8"/>
                <w:szCs w:val="28"/>
              </w:rPr>
              <w:t>2.1建设内容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253" w:type="dxa"/>
            <w:tcBorders>
              <w:tl2br w:val="nil"/>
              <w:tr2bl w:val="nil"/>
            </w:tcBorders>
            <w:tcMar>
              <w:top w:w="0" w:type="dxa"/>
              <w:left w:w="0" w:type="dxa"/>
              <w:bottom w:w="0" w:type="dxa"/>
              <w:right w:w="0" w:type="dxa"/>
            </w:tcMar>
            <w:vAlign w:val="center"/>
          </w:tcPr>
          <w:p>
            <w:pPr>
              <w:spacing w:after="0" w:line="420" w:lineRule="exact"/>
              <w:rPr>
                <w:rFonts w:hint="default" w:ascii="Times New Roman" w:hAnsi="Times New Roman" w:eastAsia="Times New Roman" w:cs="Times New Roman"/>
                <w:b/>
                <w:color w:val="auto"/>
                <w:kern w:val="2"/>
                <w:sz w:val="24"/>
                <w:szCs w:val="24"/>
              </w:rPr>
            </w:pPr>
            <w:r>
              <w:rPr>
                <w:rFonts w:hint="default" w:ascii="Times New Roman" w:hAnsi="Times New Roman" w:eastAsia="Times New Roman" w:cs="Times New Roman"/>
                <w:b/>
                <w:color w:val="auto"/>
                <w:kern w:val="2"/>
                <w:sz w:val="24"/>
                <w:szCs w:val="24"/>
              </w:rPr>
              <w:t>2.1.1</w:t>
            </w:r>
            <w:r>
              <w:rPr>
                <w:rFonts w:hint="default" w:ascii="Times New Roman" w:hAnsi="Times New Roman" w:eastAsia="宋体" w:cs="Times New Roman"/>
                <w:b/>
                <w:color w:val="auto"/>
                <w:kern w:val="2"/>
                <w:sz w:val="24"/>
                <w:szCs w:val="24"/>
              </w:rPr>
              <w:t>项目由来</w:t>
            </w:r>
          </w:p>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博盟汽车科技(重庆)有限公司(以下简称博盟公司)位于重庆市合川区草街街道农创路（合川工业园南溪组团</w:t>
            </w:r>
            <w:r>
              <w:rPr>
                <w:rFonts w:hint="default" w:ascii="Times New Roman" w:hAnsi="Times New Roman" w:eastAsia="Times New Roman" w:cs="Times New Roman"/>
                <w:color w:val="auto"/>
                <w:kern w:val="2"/>
                <w:sz w:val="24"/>
                <w:szCs w:val="24"/>
              </w:rPr>
              <w:t>B</w:t>
            </w:r>
            <w:r>
              <w:rPr>
                <w:rFonts w:hint="default" w:ascii="Times New Roman" w:hAnsi="Times New Roman" w:eastAsia="宋体" w:cs="Times New Roman"/>
                <w:color w:val="auto"/>
                <w:kern w:val="2"/>
                <w:sz w:val="24"/>
                <w:szCs w:val="24"/>
              </w:rPr>
              <w:t>区），厂区占地20095m</w:t>
            </w:r>
            <w:r>
              <w:rPr>
                <w:rFonts w:hint="default" w:ascii="Times New Roman" w:hAnsi="Times New Roman" w:eastAsia="Times New Roman" w:cs="Times New Roman"/>
                <w:color w:val="auto"/>
                <w:kern w:val="2"/>
                <w:sz w:val="24"/>
                <w:szCs w:val="24"/>
                <w:vertAlign w:val="superscript"/>
              </w:rPr>
              <w:t>2</w:t>
            </w:r>
            <w:r>
              <w:rPr>
                <w:rFonts w:hint="default" w:ascii="Times New Roman" w:hAnsi="Times New Roman" w:eastAsia="宋体" w:cs="Times New Roman"/>
                <w:color w:val="auto"/>
                <w:kern w:val="2"/>
                <w:sz w:val="24"/>
                <w:szCs w:val="24"/>
              </w:rPr>
              <w:t>，总建筑面积28119.13m</w:t>
            </w:r>
            <w:r>
              <w:rPr>
                <w:rFonts w:hint="default" w:ascii="Times New Roman" w:hAnsi="Times New Roman" w:eastAsia="Times New Roman" w:cs="Times New Roman"/>
                <w:color w:val="auto"/>
                <w:kern w:val="2"/>
                <w:sz w:val="24"/>
                <w:szCs w:val="24"/>
                <w:vertAlign w:val="superscript"/>
              </w:rPr>
              <w:t>2</w:t>
            </w:r>
            <w:r>
              <w:rPr>
                <w:rFonts w:hint="default" w:ascii="Times New Roman" w:hAnsi="Times New Roman" w:eastAsia="宋体" w:cs="Times New Roman"/>
                <w:color w:val="auto"/>
                <w:kern w:val="2"/>
                <w:sz w:val="24"/>
                <w:szCs w:val="24"/>
              </w:rPr>
              <w:t>，土地类型为工业用地，土地不动产权证：50010319382。</w:t>
            </w:r>
          </w:p>
          <w:p>
            <w:pPr>
              <w:spacing w:after="0" w:line="420" w:lineRule="exact"/>
              <w:ind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本项目建设隔热垫生产线、线束生产线、车窗升降机生产线、电器盒壳体注塑件生产线、连接器密封件生产线。重庆市合川区发展和改革委员会对本项目予以投资备案（项目代码：2</w:t>
            </w:r>
            <w:r>
              <w:rPr>
                <w:rFonts w:hint="default" w:ascii="Times New Roman" w:hAnsi="Times New Roman" w:eastAsia="Times New Roman" w:cs="Times New Roman"/>
                <w:color w:val="auto"/>
                <w:kern w:val="2"/>
                <w:sz w:val="24"/>
                <w:szCs w:val="24"/>
              </w:rPr>
              <w:t>310-500117-04-05-887560</w:t>
            </w:r>
            <w:r>
              <w:rPr>
                <w:rFonts w:hint="default" w:ascii="Times New Roman" w:hAnsi="Times New Roman" w:eastAsia="宋体" w:cs="Times New Roman"/>
                <w:color w:val="auto"/>
                <w:kern w:val="2"/>
                <w:sz w:val="24"/>
                <w:szCs w:val="24"/>
              </w:rPr>
              <w:t>），见附件1。</w:t>
            </w:r>
          </w:p>
          <w:p>
            <w:pPr>
              <w:spacing w:after="0" w:line="420" w:lineRule="exact"/>
              <w:rPr>
                <w:rFonts w:hint="default" w:ascii="Times New Roman" w:hAnsi="Times New Roman" w:eastAsia="Times New Roman" w:cs="Times New Roman"/>
                <w:b/>
                <w:color w:val="auto"/>
                <w:kern w:val="2"/>
                <w:sz w:val="24"/>
                <w:szCs w:val="24"/>
              </w:rPr>
            </w:pPr>
            <w:r>
              <w:rPr>
                <w:rFonts w:hint="default" w:ascii="Times New Roman" w:hAnsi="Times New Roman" w:eastAsia="Times New Roman" w:cs="Times New Roman"/>
                <w:b/>
                <w:color w:val="auto"/>
                <w:kern w:val="2"/>
                <w:sz w:val="24"/>
                <w:szCs w:val="24"/>
              </w:rPr>
              <w:t>2.1.2</w:t>
            </w:r>
            <w:r>
              <w:rPr>
                <w:rFonts w:hint="default" w:ascii="Times New Roman" w:hAnsi="Times New Roman" w:eastAsia="宋体" w:cs="Times New Roman"/>
                <w:b/>
                <w:color w:val="auto"/>
                <w:kern w:val="2"/>
                <w:sz w:val="24"/>
                <w:szCs w:val="24"/>
              </w:rPr>
              <w:t>环评形式判定</w:t>
            </w:r>
          </w:p>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中华人民共和国环境保护法》、《中华人民共和国环境影响评价法》、《建设项目环境保护管理条例》规定，本项目应进行环境影响评价；根据《国民经济行业分类》（GB/T4754-2017），本项目属于汽车零部件及配件制造C</w:t>
            </w:r>
            <w:r>
              <w:rPr>
                <w:rFonts w:hint="default" w:ascii="Times New Roman" w:hAnsi="Times New Roman" w:eastAsia="Times New Roman" w:cs="Times New Roman"/>
                <w:color w:val="auto"/>
                <w:kern w:val="2"/>
                <w:sz w:val="24"/>
                <w:szCs w:val="24"/>
              </w:rPr>
              <w:t>3670</w:t>
            </w:r>
            <w:r>
              <w:rPr>
                <w:rFonts w:hint="default" w:ascii="Times New Roman" w:hAnsi="Times New Roman" w:eastAsia="宋体" w:cs="Times New Roman"/>
                <w:color w:val="auto"/>
                <w:kern w:val="2"/>
                <w:sz w:val="24"/>
                <w:szCs w:val="24"/>
              </w:rPr>
              <w:t>；根据《建设项目环境影响评价分类管理名录》(2021年版)，本项目属于：“三十三、汽车制造业</w:t>
            </w:r>
            <w:r>
              <w:rPr>
                <w:rFonts w:hint="default" w:ascii="Times New Roman" w:hAnsi="Times New Roman" w:eastAsia="Times New Roman" w:cs="Times New Roman"/>
                <w:color w:val="auto"/>
                <w:kern w:val="2"/>
                <w:sz w:val="24"/>
                <w:szCs w:val="24"/>
              </w:rPr>
              <w:t>36</w:t>
            </w:r>
            <w:r>
              <w:rPr>
                <w:rFonts w:hint="default" w:ascii="Times New Roman" w:hAnsi="Times New Roman" w:eastAsia="宋体" w:cs="Times New Roman"/>
                <w:color w:val="auto"/>
                <w:kern w:val="2"/>
                <w:sz w:val="24"/>
                <w:szCs w:val="24"/>
              </w:rPr>
              <w:t>，汽车零部件及配件制造367，其他</w:t>
            </w:r>
            <w:r>
              <w:rPr>
                <w:rFonts w:hint="default" w:ascii="Times New Roman" w:hAnsi="Times New Roman" w:eastAsia="Times New Roman" w:cs="Times New Roman"/>
                <w:color w:val="auto"/>
                <w:kern w:val="2"/>
                <w:sz w:val="24"/>
                <w:szCs w:val="24"/>
              </w:rPr>
              <w:t>”</w:t>
            </w:r>
            <w:r>
              <w:rPr>
                <w:rFonts w:hint="default" w:ascii="Times New Roman" w:hAnsi="Times New Roman" w:eastAsia="宋体" w:cs="Times New Roman"/>
                <w:color w:val="auto"/>
                <w:kern w:val="2"/>
                <w:sz w:val="24"/>
                <w:szCs w:val="24"/>
              </w:rPr>
              <w:t>，本项目应编制环境影响报告表。</w:t>
            </w:r>
          </w:p>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根据重庆市生态环境局《关于</w:t>
            </w:r>
            <w:r>
              <w:rPr>
                <w:rFonts w:hint="default" w:ascii="Times New Roman" w:hAnsi="Times New Roman" w:eastAsia="宋体" w:cs="Times New Roman"/>
                <w:color w:val="auto"/>
                <w:kern w:val="2"/>
                <w:sz w:val="24"/>
                <w:szCs w:val="24"/>
                <w:lang w:eastAsia="zh-CN"/>
              </w:rPr>
              <w:t>强化</w:t>
            </w:r>
            <w:r>
              <w:rPr>
                <w:rFonts w:hint="default" w:ascii="Times New Roman" w:hAnsi="Times New Roman" w:eastAsia="宋体" w:cs="Times New Roman"/>
                <w:color w:val="auto"/>
                <w:kern w:val="2"/>
                <w:sz w:val="24"/>
                <w:szCs w:val="24"/>
              </w:rPr>
              <w:t>工程建设项目环境影响评价文件审批实施告知承诺制改革工作有关事项的通知》(渝环规〔202</w:t>
            </w:r>
            <w:r>
              <w:rPr>
                <w:rFonts w:hint="default" w:ascii="Times New Roman" w:hAnsi="Times New Roman" w:eastAsia="宋体" w:cs="Times New Roman"/>
                <w:color w:val="auto"/>
                <w:kern w:val="2"/>
                <w:sz w:val="24"/>
                <w:szCs w:val="24"/>
                <w:lang w:val="en-US" w:eastAsia="zh-CN"/>
              </w:rPr>
              <w:t>3</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val="en-US" w:eastAsia="zh-CN"/>
              </w:rPr>
              <w:t>7</w:t>
            </w:r>
            <w:r>
              <w:rPr>
                <w:rFonts w:hint="default" w:ascii="Times New Roman" w:hAnsi="Times New Roman" w:eastAsia="宋体" w:cs="Times New Roman"/>
                <w:color w:val="auto"/>
                <w:kern w:val="2"/>
                <w:sz w:val="24"/>
                <w:szCs w:val="24"/>
              </w:rPr>
              <w:t>号)，本项目为报告表，属于附件</w:t>
            </w:r>
            <w:r>
              <w:rPr>
                <w:rFonts w:hint="default" w:ascii="Times New Roman" w:hAnsi="Times New Roman" w:eastAsia="宋体" w:cs="Times New Roman"/>
                <w:color w:val="auto"/>
                <w:kern w:val="2"/>
                <w:sz w:val="24"/>
                <w:szCs w:val="24"/>
                <w:lang w:val="en-US" w:eastAsia="zh-CN"/>
              </w:rPr>
              <w:t>1</w:t>
            </w:r>
            <w:r>
              <w:rPr>
                <w:rFonts w:hint="default" w:ascii="Times New Roman" w:hAnsi="Times New Roman" w:eastAsia="宋体" w:cs="Times New Roman"/>
                <w:color w:val="auto"/>
                <w:kern w:val="2"/>
                <w:sz w:val="24"/>
                <w:szCs w:val="24"/>
              </w:rPr>
              <w:t>中的“</w:t>
            </w:r>
            <w:r>
              <w:rPr>
                <w:rFonts w:hint="default" w:ascii="Times New Roman" w:hAnsi="Times New Roman" w:eastAsia="宋体" w:cs="Times New Roman"/>
                <w:color w:val="auto"/>
                <w:kern w:val="2"/>
                <w:sz w:val="24"/>
                <w:szCs w:val="24"/>
                <w:lang w:eastAsia="zh-CN"/>
              </w:rPr>
              <w:t>三</w:t>
            </w:r>
            <w:r>
              <w:rPr>
                <w:rFonts w:hint="default" w:ascii="Times New Roman" w:hAnsi="Times New Roman" w:eastAsia="宋体" w:cs="Times New Roman"/>
                <w:color w:val="auto"/>
                <w:kern w:val="2"/>
                <w:sz w:val="24"/>
                <w:szCs w:val="24"/>
              </w:rPr>
              <w:t>十三、</w:t>
            </w:r>
            <w:r>
              <w:rPr>
                <w:rFonts w:hint="default" w:ascii="Times New Roman" w:hAnsi="Times New Roman" w:eastAsia="宋体" w:cs="Times New Roman"/>
                <w:color w:val="auto"/>
                <w:kern w:val="2"/>
                <w:sz w:val="24"/>
                <w:szCs w:val="24"/>
                <w:lang w:eastAsia="zh-CN"/>
              </w:rPr>
              <w:t>汽车</w:t>
            </w:r>
            <w:r>
              <w:rPr>
                <w:rFonts w:hint="default" w:ascii="Times New Roman" w:hAnsi="Times New Roman" w:eastAsia="宋体" w:cs="Times New Roman"/>
                <w:color w:val="auto"/>
                <w:kern w:val="2"/>
                <w:sz w:val="24"/>
                <w:szCs w:val="24"/>
              </w:rPr>
              <w:t>制造业</w:t>
            </w:r>
            <w:r>
              <w:rPr>
                <w:rFonts w:hint="default" w:ascii="Times New Roman" w:hAnsi="Times New Roman" w:eastAsia="宋体" w:cs="Times New Roman"/>
                <w:color w:val="auto"/>
                <w:kern w:val="2"/>
                <w:sz w:val="24"/>
                <w:szCs w:val="24"/>
                <w:lang w:val="en-US" w:eastAsia="zh-CN"/>
              </w:rPr>
              <w:t>36</w:t>
            </w:r>
            <w:r>
              <w:rPr>
                <w:rFonts w:hint="default" w:ascii="Times New Roman" w:hAnsi="Times New Roman" w:eastAsia="宋体" w:cs="Times New Roman"/>
                <w:color w:val="auto"/>
                <w:kern w:val="2"/>
                <w:sz w:val="24"/>
                <w:szCs w:val="24"/>
              </w:rPr>
              <w:t xml:space="preserve">  </w:t>
            </w:r>
            <w:r>
              <w:rPr>
                <w:rFonts w:hint="default" w:ascii="Times New Roman" w:hAnsi="Times New Roman" w:eastAsia="宋体" w:cs="Times New Roman"/>
                <w:color w:val="auto"/>
                <w:kern w:val="2"/>
                <w:sz w:val="24"/>
                <w:szCs w:val="24"/>
                <w:lang w:val="en-US" w:eastAsia="zh-CN"/>
              </w:rPr>
              <w:t>71</w:t>
            </w:r>
            <w:r>
              <w:rPr>
                <w:rFonts w:hint="default" w:ascii="Times New Roman" w:hAnsi="Times New Roman" w:eastAsia="宋体" w:cs="Times New Roman"/>
                <w:color w:val="auto"/>
                <w:kern w:val="2"/>
                <w:sz w:val="24"/>
                <w:szCs w:val="24"/>
                <w:lang w:eastAsia="zh-CN"/>
              </w:rPr>
              <w:t>汽车零部件及配件制造</w:t>
            </w:r>
            <w:r>
              <w:rPr>
                <w:rFonts w:hint="default" w:ascii="Times New Roman" w:hAnsi="Times New Roman" w:eastAsia="宋体" w:cs="Times New Roman"/>
                <w:color w:val="auto"/>
                <w:kern w:val="2"/>
                <w:sz w:val="24"/>
                <w:szCs w:val="24"/>
                <w:lang w:val="en-US" w:eastAsia="zh-CN"/>
              </w:rPr>
              <w:t>367</w:t>
            </w:r>
            <w:r>
              <w:rPr>
                <w:rFonts w:hint="default" w:ascii="Times New Roman" w:hAnsi="Times New Roman" w:eastAsia="宋体" w:cs="Times New Roman"/>
                <w:color w:val="auto"/>
                <w:kern w:val="2"/>
                <w:sz w:val="24"/>
                <w:szCs w:val="24"/>
              </w:rPr>
              <w:t>”，编制报告表属于其中规定的告知承诺实施范围。</w:t>
            </w:r>
          </w:p>
          <w:p>
            <w:pPr>
              <w:spacing w:after="0" w:line="420" w:lineRule="exact"/>
              <w:rPr>
                <w:rFonts w:hint="default" w:ascii="Times New Roman" w:hAnsi="Times New Roman" w:eastAsia="Times New Roman" w:cs="Times New Roman"/>
                <w:b/>
                <w:color w:val="auto"/>
                <w:kern w:val="2"/>
                <w:sz w:val="24"/>
                <w:szCs w:val="24"/>
              </w:rPr>
            </w:pPr>
            <w:r>
              <w:rPr>
                <w:rFonts w:hint="default" w:ascii="Times New Roman" w:hAnsi="Times New Roman" w:eastAsia="Times New Roman" w:cs="Times New Roman"/>
                <w:b/>
                <w:color w:val="auto"/>
                <w:kern w:val="2"/>
                <w:sz w:val="24"/>
                <w:szCs w:val="24"/>
              </w:rPr>
              <w:t>2.1.</w:t>
            </w:r>
            <w:r>
              <w:rPr>
                <w:rFonts w:hint="default" w:ascii="Times New Roman" w:hAnsi="Times New Roman" w:eastAsia="宋体" w:cs="Times New Roman"/>
                <w:b/>
                <w:color w:val="auto"/>
                <w:kern w:val="2"/>
                <w:sz w:val="24"/>
                <w:szCs w:val="24"/>
              </w:rPr>
              <w:t>3建设项目概况</w:t>
            </w:r>
          </w:p>
          <w:p>
            <w:pPr>
              <w:spacing w:after="0" w:line="420" w:lineRule="exact"/>
              <w:ind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（1）项目名称：博盟年产200万台套新能源汽车配件项目一期。</w:t>
            </w:r>
          </w:p>
          <w:p>
            <w:pPr>
              <w:spacing w:after="0" w:line="420" w:lineRule="exact"/>
              <w:ind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（2）建设性质：新建</w:t>
            </w:r>
          </w:p>
          <w:p>
            <w:pPr>
              <w:spacing w:after="0" w:line="420" w:lineRule="exact"/>
              <w:ind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（3）建设单位：博盟汽车科技（重庆）有限公司</w:t>
            </w:r>
          </w:p>
          <w:p>
            <w:pPr>
              <w:spacing w:after="0" w:line="420" w:lineRule="exact"/>
              <w:ind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（4）建设地址：重庆市合川区草街街道农创路（</w:t>
            </w:r>
            <w:r>
              <w:rPr>
                <w:rFonts w:hint="eastAsia" w:ascii="Times New Roman" w:hAnsi="Times New Roman" w:eastAsia="宋体" w:cs="Times New Roman"/>
                <w:color w:val="auto"/>
                <w:kern w:val="2"/>
                <w:sz w:val="24"/>
                <w:szCs w:val="24"/>
                <w:lang w:val="en-US" w:eastAsia="zh-CN"/>
              </w:rPr>
              <w:t>HC23-111-3号地块</w:t>
            </w:r>
            <w:r>
              <w:rPr>
                <w:rFonts w:hint="default" w:ascii="Times New Roman" w:hAnsi="Times New Roman" w:eastAsia="宋体" w:cs="Times New Roman"/>
                <w:color w:val="auto"/>
                <w:kern w:val="2"/>
                <w:sz w:val="24"/>
                <w:szCs w:val="24"/>
              </w:rPr>
              <w:t>）</w:t>
            </w:r>
          </w:p>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（5）建设规模及内容：新征用地20095</w:t>
            </w:r>
            <w:r>
              <w:rPr>
                <w:rFonts w:hint="default" w:ascii="Times New Roman" w:hAnsi="Times New Roman" w:eastAsia="Times New Roman" w:cs="Times New Roman"/>
                <w:color w:val="auto"/>
                <w:kern w:val="2"/>
                <w:sz w:val="24"/>
                <w:szCs w:val="24"/>
              </w:rPr>
              <w:t>m</w:t>
            </w:r>
            <w:r>
              <w:rPr>
                <w:rFonts w:hint="default" w:ascii="Times New Roman" w:hAnsi="Times New Roman" w:eastAsia="Times New Roman" w:cs="Times New Roman"/>
                <w:color w:val="auto"/>
                <w:kern w:val="2"/>
                <w:sz w:val="24"/>
                <w:szCs w:val="24"/>
                <w:vertAlign w:val="superscript"/>
              </w:rPr>
              <w:t>2</w:t>
            </w:r>
            <w:r>
              <w:rPr>
                <w:rFonts w:hint="default" w:ascii="Times New Roman" w:hAnsi="Times New Roman" w:eastAsia="宋体" w:cs="Times New Roman"/>
                <w:color w:val="auto"/>
                <w:kern w:val="2"/>
                <w:sz w:val="24"/>
                <w:szCs w:val="24"/>
              </w:rPr>
              <w:t>，新建</w:t>
            </w:r>
            <w:r>
              <w:rPr>
                <w:rFonts w:hint="default" w:ascii="Times New Roman" w:hAnsi="Times New Roman" w:eastAsia="Times New Roman" w:cs="Times New Roman"/>
                <w:color w:val="auto"/>
                <w:kern w:val="2"/>
                <w:sz w:val="24"/>
                <w:szCs w:val="24"/>
              </w:rPr>
              <w:t>1</w:t>
            </w:r>
            <w:r>
              <w:rPr>
                <w:rFonts w:hint="default" w:ascii="Times New Roman" w:hAnsi="Times New Roman" w:eastAsia="宋体" w:cs="Times New Roman"/>
                <w:color w:val="auto"/>
                <w:kern w:val="2"/>
                <w:sz w:val="24"/>
                <w:szCs w:val="24"/>
                <w:vertAlign w:val="superscript"/>
              </w:rPr>
              <w:t>#</w:t>
            </w:r>
            <w:r>
              <w:rPr>
                <w:rFonts w:hint="default" w:ascii="Times New Roman" w:hAnsi="Times New Roman" w:eastAsia="宋体" w:cs="Times New Roman"/>
                <w:color w:val="auto"/>
                <w:kern w:val="2"/>
                <w:sz w:val="24"/>
                <w:szCs w:val="24"/>
              </w:rPr>
              <w:t>厂房（丙类）、2</w:t>
            </w:r>
            <w:r>
              <w:rPr>
                <w:rFonts w:hint="default" w:ascii="Times New Roman" w:hAnsi="Times New Roman" w:eastAsia="宋体" w:cs="Times New Roman"/>
                <w:color w:val="auto"/>
                <w:kern w:val="2"/>
                <w:sz w:val="24"/>
                <w:szCs w:val="24"/>
                <w:vertAlign w:val="superscript"/>
              </w:rPr>
              <w:t>#</w:t>
            </w:r>
            <w:r>
              <w:rPr>
                <w:rFonts w:hint="default" w:ascii="Times New Roman" w:hAnsi="Times New Roman" w:eastAsia="宋体" w:cs="Times New Roman"/>
                <w:color w:val="auto"/>
                <w:kern w:val="2"/>
                <w:sz w:val="24"/>
                <w:szCs w:val="24"/>
              </w:rPr>
              <w:t>宿舍楼、3</w:t>
            </w:r>
            <w:r>
              <w:rPr>
                <w:rFonts w:hint="default" w:ascii="Times New Roman" w:hAnsi="Times New Roman" w:eastAsia="宋体" w:cs="Times New Roman"/>
                <w:color w:val="auto"/>
                <w:kern w:val="2"/>
                <w:sz w:val="24"/>
                <w:szCs w:val="24"/>
                <w:vertAlign w:val="superscript"/>
              </w:rPr>
              <w:t>#</w:t>
            </w:r>
            <w:r>
              <w:rPr>
                <w:rFonts w:hint="default" w:ascii="Times New Roman" w:hAnsi="Times New Roman" w:eastAsia="宋体" w:cs="Times New Roman"/>
                <w:color w:val="auto"/>
                <w:kern w:val="2"/>
                <w:sz w:val="24"/>
                <w:szCs w:val="24"/>
              </w:rPr>
              <w:t>厂房（丙类），总建筑面28119.13</w:t>
            </w:r>
            <w:r>
              <w:rPr>
                <w:rFonts w:hint="default" w:ascii="Times New Roman" w:hAnsi="Times New Roman" w:eastAsia="Times New Roman" w:cs="Times New Roman"/>
                <w:color w:val="auto"/>
                <w:kern w:val="2"/>
                <w:sz w:val="24"/>
                <w:szCs w:val="24"/>
              </w:rPr>
              <w:t>m</w:t>
            </w:r>
            <w:r>
              <w:rPr>
                <w:rFonts w:hint="default" w:ascii="Times New Roman" w:hAnsi="Times New Roman" w:eastAsia="Times New Roman" w:cs="Times New Roman"/>
                <w:color w:val="auto"/>
                <w:kern w:val="2"/>
                <w:sz w:val="24"/>
                <w:szCs w:val="24"/>
                <w:vertAlign w:val="superscript"/>
              </w:rPr>
              <w:t>2</w:t>
            </w:r>
            <w:r>
              <w:rPr>
                <w:rFonts w:hint="default" w:ascii="Times New Roman" w:hAnsi="Times New Roman" w:eastAsia="宋体" w:cs="Times New Roman"/>
                <w:color w:val="auto"/>
                <w:kern w:val="2"/>
                <w:sz w:val="24"/>
                <w:szCs w:val="24"/>
              </w:rPr>
              <w:t>，总计容建筑面积33973.07</w:t>
            </w:r>
            <w:r>
              <w:rPr>
                <w:rFonts w:hint="default" w:ascii="Times New Roman" w:hAnsi="Times New Roman" w:eastAsia="Times New Roman" w:cs="Times New Roman"/>
                <w:color w:val="auto"/>
                <w:kern w:val="2"/>
                <w:sz w:val="24"/>
                <w:szCs w:val="24"/>
              </w:rPr>
              <w:t>m</w:t>
            </w:r>
            <w:r>
              <w:rPr>
                <w:rFonts w:hint="default" w:ascii="Times New Roman" w:hAnsi="Times New Roman" w:eastAsia="Times New Roman" w:cs="Times New Roman"/>
                <w:color w:val="auto"/>
                <w:kern w:val="2"/>
                <w:sz w:val="24"/>
                <w:szCs w:val="24"/>
                <w:vertAlign w:val="superscript"/>
              </w:rPr>
              <w:t>2</w:t>
            </w:r>
            <w:r>
              <w:rPr>
                <w:rFonts w:hint="default" w:ascii="Times New Roman" w:hAnsi="Times New Roman" w:eastAsia="宋体" w:cs="Times New Roman"/>
                <w:color w:val="auto"/>
                <w:kern w:val="2"/>
                <w:sz w:val="24"/>
                <w:szCs w:val="24"/>
              </w:rPr>
              <w:t>，建设隔热垫(玻璃纤维气凝胶隔热垫、陶瓷纤维气凝胶隔热垫)、新能源线束、车窗升降机、电器盒壳体注塑件、连接器密封件生产线及配套公辅设施、环保设施，年产200万台套新能源汽车配件。</w:t>
            </w:r>
          </w:p>
          <w:p>
            <w:pPr>
              <w:spacing w:line="440" w:lineRule="exact"/>
              <w:ind w:firstLine="480" w:firstLineChars="200"/>
              <w:outlineLvl w:val="1"/>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（6）劳动定员：劳动定员3</w:t>
            </w:r>
            <w:r>
              <w:rPr>
                <w:rFonts w:hint="default" w:ascii="Times New Roman" w:hAnsi="Times New Roman" w:eastAsia="Times New Roman" w:cs="Times New Roman"/>
                <w:color w:val="auto"/>
                <w:kern w:val="2"/>
                <w:sz w:val="24"/>
                <w:szCs w:val="24"/>
              </w:rPr>
              <w:t>00</w:t>
            </w:r>
            <w:r>
              <w:rPr>
                <w:rFonts w:hint="default" w:ascii="Times New Roman" w:hAnsi="Times New Roman" w:eastAsia="宋体" w:cs="Times New Roman"/>
                <w:color w:val="auto"/>
                <w:kern w:val="2"/>
                <w:sz w:val="24"/>
                <w:szCs w:val="24"/>
              </w:rPr>
              <w:t>人。厂内设置食堂和宿舍，住宿定员200人。</w:t>
            </w:r>
          </w:p>
          <w:p>
            <w:pPr>
              <w:spacing w:line="440" w:lineRule="exact"/>
              <w:ind w:firstLine="480" w:firstLineChars="200"/>
              <w:outlineLvl w:val="1"/>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（7）生产制度：全年工作</w:t>
            </w:r>
            <w:r>
              <w:rPr>
                <w:rFonts w:hint="default" w:ascii="Times New Roman" w:hAnsi="Times New Roman" w:eastAsia="Times New Roman" w:cs="Times New Roman"/>
                <w:color w:val="auto"/>
                <w:kern w:val="2"/>
                <w:sz w:val="24"/>
                <w:szCs w:val="24"/>
              </w:rPr>
              <w:t>300</w:t>
            </w:r>
            <w:r>
              <w:rPr>
                <w:rFonts w:hint="default" w:ascii="Times New Roman" w:hAnsi="Times New Roman" w:eastAsia="宋体" w:cs="Times New Roman"/>
                <w:color w:val="auto"/>
                <w:kern w:val="2"/>
                <w:sz w:val="24"/>
                <w:szCs w:val="24"/>
              </w:rPr>
              <w:t>天。密炼开炼工段实行1班8h工作制；橡胶成型工段实行2班12</w:t>
            </w:r>
            <w:r>
              <w:rPr>
                <w:rFonts w:hint="default" w:ascii="Times New Roman" w:hAnsi="Times New Roman" w:eastAsia="Times New Roman" w:cs="Times New Roman"/>
                <w:color w:val="auto"/>
                <w:kern w:val="2"/>
                <w:sz w:val="24"/>
                <w:szCs w:val="24"/>
              </w:rPr>
              <w:t>h</w:t>
            </w:r>
            <w:r>
              <w:rPr>
                <w:rFonts w:hint="default" w:ascii="Times New Roman" w:hAnsi="Times New Roman" w:eastAsia="宋体" w:cs="Times New Roman"/>
                <w:color w:val="auto"/>
                <w:kern w:val="2"/>
                <w:sz w:val="24"/>
                <w:szCs w:val="24"/>
              </w:rPr>
              <w:t>工作制；其他工段实行都是1班12</w:t>
            </w:r>
            <w:r>
              <w:rPr>
                <w:rFonts w:hint="default" w:ascii="Times New Roman" w:hAnsi="Times New Roman" w:eastAsia="Times New Roman" w:cs="Times New Roman"/>
                <w:color w:val="auto"/>
                <w:kern w:val="2"/>
                <w:sz w:val="24"/>
                <w:szCs w:val="24"/>
              </w:rPr>
              <w:t>h</w:t>
            </w:r>
            <w:r>
              <w:rPr>
                <w:rFonts w:hint="default" w:ascii="Times New Roman" w:hAnsi="Times New Roman" w:eastAsia="宋体" w:cs="Times New Roman"/>
                <w:color w:val="auto"/>
                <w:kern w:val="2"/>
                <w:sz w:val="24"/>
                <w:szCs w:val="24"/>
              </w:rPr>
              <w:t>工作制。</w:t>
            </w:r>
          </w:p>
          <w:p>
            <w:pPr>
              <w:spacing w:after="0" w:line="400" w:lineRule="exact"/>
              <w:rPr>
                <w:rFonts w:hint="default" w:ascii="Times New Roman" w:hAnsi="Times New Roman" w:eastAsia="Times New Roman" w:cs="Times New Roman"/>
                <w:b/>
                <w:color w:val="auto"/>
                <w:kern w:val="2"/>
                <w:sz w:val="24"/>
                <w:szCs w:val="24"/>
              </w:rPr>
            </w:pPr>
            <w:r>
              <w:rPr>
                <w:rFonts w:hint="default" w:ascii="Times New Roman" w:hAnsi="Times New Roman" w:eastAsia="Times New Roman" w:cs="Times New Roman"/>
                <w:b/>
                <w:color w:val="auto"/>
                <w:kern w:val="2"/>
                <w:sz w:val="24"/>
                <w:szCs w:val="24"/>
              </w:rPr>
              <w:t>2.1.</w:t>
            </w:r>
            <w:r>
              <w:rPr>
                <w:rFonts w:hint="default" w:ascii="Times New Roman" w:hAnsi="Times New Roman" w:eastAsia="宋体" w:cs="Times New Roman"/>
                <w:b/>
                <w:color w:val="auto"/>
                <w:kern w:val="2"/>
                <w:sz w:val="24"/>
                <w:szCs w:val="24"/>
              </w:rPr>
              <w:t>4产品方案</w:t>
            </w:r>
          </w:p>
          <w:p>
            <w:pPr>
              <w:spacing w:after="0" w:line="400" w:lineRule="exact"/>
              <w:ind w:firstLine="480" w:firstLineChars="200"/>
              <w:jc w:val="both"/>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本项目产品方案及生产规模见表2.1-1。</w:t>
            </w:r>
          </w:p>
          <w:p>
            <w:pPr>
              <w:spacing w:after="0" w:line="400" w:lineRule="exact"/>
              <w:jc w:val="center"/>
              <w:rPr>
                <w:rFonts w:hint="default" w:ascii="Times New Roman" w:hAnsi="Times New Roman" w:eastAsia="Times New Roman" w:cs="Times New Roman"/>
                <w:b/>
                <w:color w:val="auto"/>
                <w:kern w:val="2"/>
                <w:sz w:val="24"/>
                <w:szCs w:val="24"/>
              </w:rPr>
            </w:pPr>
            <w:r>
              <w:rPr>
                <w:rFonts w:hint="default" w:ascii="Times New Roman" w:hAnsi="Times New Roman" w:eastAsia="宋体" w:cs="Times New Roman"/>
                <w:b/>
                <w:color w:val="auto"/>
                <w:kern w:val="2"/>
                <w:sz w:val="24"/>
                <w:szCs w:val="24"/>
              </w:rPr>
              <w:t>表2.1-1</w:t>
            </w:r>
            <w:r>
              <w:rPr>
                <w:rFonts w:hint="default" w:ascii="Times New Roman" w:hAnsi="Times New Roman" w:eastAsia="Times New Roman" w:cs="Times New Roman"/>
                <w:b/>
                <w:color w:val="auto"/>
                <w:kern w:val="2"/>
                <w:sz w:val="24"/>
                <w:szCs w:val="24"/>
              </w:rPr>
              <w:t xml:space="preserve">  </w:t>
            </w:r>
            <w:r>
              <w:rPr>
                <w:rFonts w:hint="default" w:ascii="Times New Roman" w:hAnsi="Times New Roman" w:eastAsia="宋体" w:cs="Times New Roman"/>
                <w:b/>
                <w:color w:val="auto"/>
                <w:kern w:val="2"/>
                <w:sz w:val="24"/>
                <w:szCs w:val="24"/>
              </w:rPr>
              <w:t>产品方案及生产规模</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06"/>
              <w:gridCol w:w="563"/>
              <w:gridCol w:w="1208"/>
              <w:gridCol w:w="1160"/>
              <w:gridCol w:w="1017"/>
              <w:gridCol w:w="1087"/>
              <w:gridCol w:w="38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40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b/>
                      <w:bCs/>
                      <w:color w:val="auto"/>
                      <w:sz w:val="21"/>
                      <w:szCs w:val="21"/>
                      <w:shd w:val="clear" w:color="auto" w:fill="FFFFFF"/>
                      <w:lang w:bidi="ar"/>
                    </w:rPr>
                  </w:pPr>
                  <w:r>
                    <w:rPr>
                      <w:rFonts w:hint="default" w:ascii="Times New Roman" w:hAnsi="Times New Roman" w:cs="Times New Roman"/>
                      <w:b/>
                      <w:bCs/>
                      <w:color w:val="auto"/>
                      <w:sz w:val="21"/>
                      <w:szCs w:val="21"/>
                      <w:shd w:val="clear" w:color="auto" w:fill="FFFFFF"/>
                      <w:lang w:bidi="ar"/>
                    </w:rPr>
                    <w:t>序号</w:t>
                  </w:r>
                </w:p>
              </w:tc>
              <w:tc>
                <w:tcPr>
                  <w:tcW w:w="1768" w:type="dxa"/>
                  <w:gridSpan w:val="2"/>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b/>
                      <w:bCs/>
                      <w:color w:val="auto"/>
                      <w:sz w:val="21"/>
                      <w:szCs w:val="21"/>
                      <w:shd w:val="clear" w:color="auto" w:fill="FFFFFF"/>
                      <w:lang w:bidi="ar"/>
                    </w:rPr>
                  </w:pPr>
                  <w:r>
                    <w:rPr>
                      <w:rFonts w:hint="default" w:ascii="Times New Roman" w:hAnsi="Times New Roman" w:cs="Times New Roman"/>
                      <w:b/>
                      <w:bCs/>
                      <w:color w:val="auto"/>
                      <w:sz w:val="21"/>
                      <w:szCs w:val="21"/>
                      <w:shd w:val="clear" w:color="auto" w:fill="FFFFFF"/>
                      <w:lang w:bidi="ar"/>
                    </w:rPr>
                    <w:t>产品名称</w:t>
                  </w:r>
                </w:p>
              </w:tc>
              <w:tc>
                <w:tcPr>
                  <w:tcW w:w="1158"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b/>
                      <w:bCs/>
                      <w:color w:val="auto"/>
                      <w:sz w:val="21"/>
                      <w:szCs w:val="21"/>
                      <w:shd w:val="clear" w:color="auto" w:fill="FFFFFF"/>
                      <w:lang w:bidi="ar"/>
                    </w:rPr>
                  </w:pPr>
                  <w:r>
                    <w:rPr>
                      <w:rFonts w:hint="default" w:ascii="Times New Roman" w:hAnsi="Times New Roman" w:cs="Times New Roman"/>
                      <w:b/>
                      <w:bCs/>
                      <w:color w:val="auto"/>
                      <w:sz w:val="21"/>
                      <w:szCs w:val="21"/>
                      <w:shd w:val="clear" w:color="auto" w:fill="FFFFFF"/>
                      <w:lang w:bidi="ar"/>
                    </w:rPr>
                    <w:t>产品规格</w:t>
                  </w:r>
                </w:p>
              </w:tc>
              <w:tc>
                <w:tcPr>
                  <w:tcW w:w="101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b/>
                      <w:bCs/>
                      <w:color w:val="auto"/>
                      <w:sz w:val="21"/>
                      <w:szCs w:val="21"/>
                      <w:shd w:val="clear" w:color="auto" w:fill="FFFFFF"/>
                      <w:lang w:bidi="ar"/>
                    </w:rPr>
                  </w:pPr>
                  <w:r>
                    <w:rPr>
                      <w:rFonts w:hint="default" w:ascii="Times New Roman" w:hAnsi="Times New Roman" w:cs="Times New Roman"/>
                      <w:b/>
                      <w:bCs/>
                      <w:color w:val="auto"/>
                      <w:sz w:val="21"/>
                      <w:szCs w:val="21"/>
                      <w:shd w:val="clear" w:color="auto" w:fill="FFFFFF"/>
                      <w:lang w:bidi="ar"/>
                    </w:rPr>
                    <w:t>年产量</w:t>
                  </w:r>
                </w:p>
                <w:p>
                  <w:pPr>
                    <w:pStyle w:val="25"/>
                    <w:spacing w:line="240" w:lineRule="auto"/>
                    <w:jc w:val="center"/>
                    <w:rPr>
                      <w:rFonts w:hint="default" w:ascii="Times New Roman" w:hAnsi="Times New Roman" w:cs="Times New Roman"/>
                      <w:b/>
                      <w:bCs/>
                      <w:color w:val="auto"/>
                      <w:sz w:val="21"/>
                      <w:szCs w:val="21"/>
                      <w:shd w:val="clear" w:color="auto" w:fill="FFFFFF"/>
                      <w:lang w:bidi="ar"/>
                    </w:rPr>
                  </w:pPr>
                  <w:r>
                    <w:rPr>
                      <w:rFonts w:hint="default" w:ascii="Times New Roman" w:hAnsi="Times New Roman" w:cs="Times New Roman"/>
                      <w:b/>
                      <w:bCs/>
                      <w:color w:val="auto"/>
                      <w:sz w:val="21"/>
                      <w:szCs w:val="21"/>
                      <w:shd w:val="clear" w:color="auto" w:fill="FFFFFF"/>
                      <w:lang w:bidi="ar"/>
                    </w:rPr>
                    <w:t>(万台套)</w:t>
                  </w:r>
                </w:p>
              </w:tc>
              <w:tc>
                <w:tcPr>
                  <w:tcW w:w="108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b/>
                      <w:bCs/>
                      <w:color w:val="auto"/>
                      <w:sz w:val="21"/>
                      <w:szCs w:val="21"/>
                      <w:shd w:val="clear" w:color="auto" w:fill="FFFFFF"/>
                      <w:lang w:bidi="ar"/>
                    </w:rPr>
                  </w:pPr>
                  <w:r>
                    <w:rPr>
                      <w:rFonts w:hint="default" w:ascii="Times New Roman" w:hAnsi="Times New Roman" w:cs="Times New Roman"/>
                      <w:b/>
                      <w:bCs/>
                      <w:color w:val="auto"/>
                      <w:sz w:val="21"/>
                      <w:szCs w:val="21"/>
                      <w:shd w:val="clear" w:color="auto" w:fill="FFFFFF"/>
                      <w:lang w:bidi="ar"/>
                    </w:rPr>
                    <w:t>用途</w:t>
                  </w:r>
                </w:p>
              </w:tc>
              <w:tc>
                <w:tcPr>
                  <w:tcW w:w="3802"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b/>
                      <w:bCs/>
                      <w:color w:val="auto"/>
                      <w:sz w:val="21"/>
                      <w:szCs w:val="21"/>
                      <w:shd w:val="clear" w:color="auto" w:fill="FFFFFF"/>
                      <w:lang w:bidi="ar"/>
                    </w:rPr>
                  </w:pPr>
                  <w:r>
                    <w:rPr>
                      <w:rFonts w:hint="default" w:ascii="Times New Roman" w:hAnsi="Times New Roman" w:cs="Times New Roman"/>
                      <w:b/>
                      <w:bCs/>
                      <w:color w:val="auto"/>
                      <w:sz w:val="21"/>
                      <w:szCs w:val="21"/>
                      <w:shd w:val="clear" w:color="auto" w:fill="FFFFFF"/>
                      <w:lang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405" w:type="dxa"/>
                  <w:vMerge w:val="restart"/>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1</w:t>
                  </w:r>
                </w:p>
              </w:tc>
              <w:tc>
                <w:tcPr>
                  <w:tcW w:w="562" w:type="dxa"/>
                  <w:vMerge w:val="restart"/>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隔热垫</w:t>
                  </w:r>
                </w:p>
              </w:tc>
              <w:tc>
                <w:tcPr>
                  <w:tcW w:w="1206"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玻璃纤维气凝胶隔热垫</w:t>
                  </w:r>
                </w:p>
              </w:tc>
              <w:tc>
                <w:tcPr>
                  <w:tcW w:w="1158" w:type="dxa"/>
                  <w:vMerge w:val="restart"/>
                  <w:tcBorders>
                    <w:tl2br w:val="nil"/>
                    <w:tr2bl w:val="nil"/>
                  </w:tcBorders>
                  <w:tcMar>
                    <w:top w:w="0" w:type="dxa"/>
                    <w:left w:w="0" w:type="dxa"/>
                    <w:bottom w:w="0" w:type="dxa"/>
                    <w:right w:w="0" w:type="dxa"/>
                  </w:tcMar>
                  <w:vAlign w:val="center"/>
                </w:tcPr>
                <w:p>
                  <w:pPr>
                    <w:pStyle w:val="25"/>
                    <w:spacing w:line="240" w:lineRule="auto"/>
                    <w:jc w:val="left"/>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长：40~600</w:t>
                  </w:r>
                </w:p>
                <w:p>
                  <w:pPr>
                    <w:pStyle w:val="25"/>
                    <w:spacing w:line="240" w:lineRule="auto"/>
                    <w:jc w:val="left"/>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宽：40~500</w:t>
                  </w:r>
                </w:p>
                <w:p>
                  <w:pPr>
                    <w:pStyle w:val="25"/>
                    <w:spacing w:line="240" w:lineRule="auto"/>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厚：1~20</w:t>
                  </w:r>
                </w:p>
              </w:tc>
              <w:tc>
                <w:tcPr>
                  <w:tcW w:w="1015" w:type="dxa"/>
                  <w:vMerge w:val="restart"/>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15</w:t>
                  </w:r>
                </w:p>
              </w:tc>
              <w:tc>
                <w:tcPr>
                  <w:tcW w:w="1085" w:type="dxa"/>
                  <w:vMerge w:val="restart"/>
                  <w:tcBorders>
                    <w:tl2br w:val="nil"/>
                    <w:tr2bl w:val="nil"/>
                  </w:tcBorders>
                  <w:tcMar>
                    <w:top w:w="0" w:type="dxa"/>
                    <w:left w:w="0" w:type="dxa"/>
                    <w:bottom w:w="0" w:type="dxa"/>
                    <w:right w:w="0" w:type="dxa"/>
                  </w:tcMar>
                  <w:vAlign w:val="center"/>
                </w:tcPr>
                <w:p>
                  <w:pPr>
                    <w:pStyle w:val="25"/>
                    <w:spacing w:line="240" w:lineRule="auto"/>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新能源汽车电池配件、具有隔热功效</w:t>
                  </w:r>
                </w:p>
              </w:tc>
              <w:tc>
                <w:tcPr>
                  <w:tcW w:w="3802" w:type="dxa"/>
                  <w:vMerge w:val="restart"/>
                  <w:tcBorders>
                    <w:tl2br w:val="nil"/>
                    <w:tr2bl w:val="nil"/>
                  </w:tcBorders>
                  <w:tcMar>
                    <w:top w:w="0" w:type="dxa"/>
                    <w:left w:w="0" w:type="dxa"/>
                    <w:bottom w:w="0" w:type="dxa"/>
                    <w:right w:w="0" w:type="dxa"/>
                  </w:tcMar>
                  <w:vAlign w:val="center"/>
                </w:tcPr>
                <w:p>
                  <w:pPr>
                    <w:pStyle w:val="25"/>
                    <w:spacing w:line="240" w:lineRule="auto"/>
                    <w:ind w:firstLine="420" w:firstLineChars="200"/>
                    <w:jc w:val="left"/>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根据客户要求，玻璃纤维气凝胶隔热垫、陶瓷纤维气凝胶隔热垫外观尺寸差异较大，使得原辅材料用量差距较大。产能600万pcs/a，约15万台套/a(玻璃纤维隔热垫、陶瓷纤维气凝胶隔热垫各7.5万台套/a)。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4" w:hRule="atLeast"/>
                <w:jc w:val="center"/>
              </w:trPr>
              <w:tc>
                <w:tcPr>
                  <w:tcW w:w="405" w:type="dxa"/>
                  <w:vMerge w:val="continue"/>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p>
              </w:tc>
              <w:tc>
                <w:tcPr>
                  <w:tcW w:w="562" w:type="dxa"/>
                  <w:vMerge w:val="continue"/>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p>
              </w:tc>
              <w:tc>
                <w:tcPr>
                  <w:tcW w:w="1206"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陶瓷纤维气凝胶隔热垫</w:t>
                  </w:r>
                </w:p>
              </w:tc>
              <w:tc>
                <w:tcPr>
                  <w:tcW w:w="1158" w:type="dxa"/>
                  <w:vMerge w:val="continue"/>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p>
              </w:tc>
              <w:tc>
                <w:tcPr>
                  <w:tcW w:w="1015" w:type="dxa"/>
                  <w:vMerge w:val="continue"/>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p>
              </w:tc>
              <w:tc>
                <w:tcPr>
                  <w:tcW w:w="1085" w:type="dxa"/>
                  <w:vMerge w:val="continue"/>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p>
              </w:tc>
              <w:tc>
                <w:tcPr>
                  <w:tcW w:w="3802" w:type="dxa"/>
                  <w:vMerge w:val="continue"/>
                  <w:tcBorders>
                    <w:tl2br w:val="nil"/>
                    <w:tr2bl w:val="nil"/>
                  </w:tcBorders>
                  <w:tcMar>
                    <w:top w:w="0" w:type="dxa"/>
                    <w:left w:w="0" w:type="dxa"/>
                    <w:bottom w:w="0" w:type="dxa"/>
                    <w:right w:w="0" w:type="dxa"/>
                  </w:tcMar>
                  <w:vAlign w:val="center"/>
                </w:tcPr>
                <w:p>
                  <w:pPr>
                    <w:pStyle w:val="25"/>
                    <w:spacing w:line="240" w:lineRule="auto"/>
                    <w:jc w:val="left"/>
                    <w:rPr>
                      <w:rFonts w:hint="default" w:ascii="Times New Roman" w:hAnsi="Times New Roman" w:cs="Times New Roman"/>
                      <w:color w:val="auto"/>
                      <w:sz w:val="21"/>
                      <w:szCs w:val="21"/>
                      <w:shd w:val="clear" w:color="auto" w:fill="FFFFFF"/>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1" w:hRule="atLeast"/>
                <w:jc w:val="center"/>
              </w:trPr>
              <w:tc>
                <w:tcPr>
                  <w:tcW w:w="40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2</w:t>
                  </w:r>
                </w:p>
              </w:tc>
              <w:tc>
                <w:tcPr>
                  <w:tcW w:w="1768" w:type="dxa"/>
                  <w:gridSpan w:val="2"/>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新能源线束</w:t>
                  </w:r>
                </w:p>
              </w:tc>
              <w:tc>
                <w:tcPr>
                  <w:tcW w:w="1158"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w:t>
                  </w:r>
                </w:p>
              </w:tc>
              <w:tc>
                <w:tcPr>
                  <w:tcW w:w="101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20</w:t>
                  </w:r>
                </w:p>
              </w:tc>
              <w:tc>
                <w:tcPr>
                  <w:tcW w:w="1085" w:type="dxa"/>
                  <w:tcBorders>
                    <w:tl2br w:val="nil"/>
                    <w:tr2bl w:val="nil"/>
                  </w:tcBorders>
                  <w:tcMar>
                    <w:top w:w="0" w:type="dxa"/>
                    <w:left w:w="0" w:type="dxa"/>
                    <w:bottom w:w="0" w:type="dxa"/>
                    <w:right w:w="0" w:type="dxa"/>
                  </w:tcMar>
                  <w:vAlign w:val="center"/>
                </w:tcPr>
                <w:p>
                  <w:pPr>
                    <w:pStyle w:val="25"/>
                    <w:spacing w:line="240" w:lineRule="auto"/>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新能源汽车线束</w:t>
                  </w:r>
                </w:p>
              </w:tc>
              <w:tc>
                <w:tcPr>
                  <w:tcW w:w="3802" w:type="dxa"/>
                  <w:tcBorders>
                    <w:tl2br w:val="nil"/>
                    <w:tr2bl w:val="nil"/>
                  </w:tcBorders>
                  <w:tcMar>
                    <w:top w:w="0" w:type="dxa"/>
                    <w:left w:w="0" w:type="dxa"/>
                    <w:bottom w:w="0" w:type="dxa"/>
                    <w:right w:w="0" w:type="dxa"/>
                  </w:tcMar>
                  <w:vAlign w:val="center"/>
                </w:tcPr>
                <w:p>
                  <w:pPr>
                    <w:pStyle w:val="25"/>
                    <w:spacing w:line="240" w:lineRule="auto"/>
                    <w:ind w:firstLine="420" w:firstLineChars="200"/>
                    <w:jc w:val="left"/>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根据客户要求定制。技术要求：FLRY-B导线参照《DIN 72551-6》标准;QB-B导线参照《QC/T 730-2005》标准;端子压接、线束接点压接参照《QC/T 29106-2014》标准:线束包胶方式参照《QC/T 29106-2014》标准，不允许出现翘边:波纹管尺寸规格参照《JT/T 1031-2016》标准，温度等级B级，材质PP:波纹管阻燃等级参照《GB/T 2408-2008》标准，阻燃等级V-0级。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40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3</w:t>
                  </w:r>
                </w:p>
              </w:tc>
              <w:tc>
                <w:tcPr>
                  <w:tcW w:w="1768" w:type="dxa"/>
                  <w:gridSpan w:val="2"/>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车窗升降机</w:t>
                  </w:r>
                </w:p>
              </w:tc>
              <w:tc>
                <w:tcPr>
                  <w:tcW w:w="1158"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w:t>
                  </w:r>
                </w:p>
              </w:tc>
              <w:tc>
                <w:tcPr>
                  <w:tcW w:w="101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60</w:t>
                  </w:r>
                </w:p>
              </w:tc>
              <w:tc>
                <w:tcPr>
                  <w:tcW w:w="108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汽车车窗</w:t>
                  </w:r>
                </w:p>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车窗升降机</w:t>
                  </w:r>
                </w:p>
              </w:tc>
              <w:tc>
                <w:tcPr>
                  <w:tcW w:w="3802" w:type="dxa"/>
                  <w:tcBorders>
                    <w:tl2br w:val="nil"/>
                    <w:tr2bl w:val="nil"/>
                  </w:tcBorders>
                  <w:tcMar>
                    <w:top w:w="0" w:type="dxa"/>
                    <w:left w:w="0" w:type="dxa"/>
                    <w:bottom w:w="0" w:type="dxa"/>
                    <w:right w:w="0" w:type="dxa"/>
                  </w:tcMar>
                  <w:vAlign w:val="center"/>
                </w:tcPr>
                <w:p>
                  <w:pPr>
                    <w:pStyle w:val="25"/>
                    <w:spacing w:line="240" w:lineRule="auto"/>
                    <w:ind w:firstLine="420" w:firstLineChars="200"/>
                    <w:jc w:val="left"/>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根据客户要求的车型定制，一辆车4个车窗升降机，共计240万件/a。产品执行《车门玻璃升降器总成技术规范》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40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4</w:t>
                  </w:r>
                </w:p>
              </w:tc>
              <w:tc>
                <w:tcPr>
                  <w:tcW w:w="1768" w:type="dxa"/>
                  <w:gridSpan w:val="2"/>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电器盒壳体</w:t>
                  </w:r>
                </w:p>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注塑件</w:t>
                  </w:r>
                </w:p>
              </w:tc>
              <w:tc>
                <w:tcPr>
                  <w:tcW w:w="1158"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w:t>
                  </w:r>
                </w:p>
              </w:tc>
              <w:tc>
                <w:tcPr>
                  <w:tcW w:w="101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80</w:t>
                  </w:r>
                </w:p>
              </w:tc>
              <w:tc>
                <w:tcPr>
                  <w:tcW w:w="108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电器盒壳体</w:t>
                  </w:r>
                </w:p>
              </w:tc>
              <w:tc>
                <w:tcPr>
                  <w:tcW w:w="3802" w:type="dxa"/>
                  <w:tcBorders>
                    <w:tl2br w:val="nil"/>
                    <w:tr2bl w:val="nil"/>
                  </w:tcBorders>
                  <w:tcMar>
                    <w:top w:w="0" w:type="dxa"/>
                    <w:left w:w="0" w:type="dxa"/>
                    <w:bottom w:w="0" w:type="dxa"/>
                    <w:right w:w="0" w:type="dxa"/>
                  </w:tcMar>
                  <w:vAlign w:val="center"/>
                </w:tcPr>
                <w:p>
                  <w:pPr>
                    <w:pStyle w:val="25"/>
                    <w:spacing w:line="240" w:lineRule="auto"/>
                    <w:ind w:firstLine="420" w:firstLineChars="200"/>
                    <w:jc w:val="left"/>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根据客户要求的车型定制：一部分自用，一部分销售。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 w:hRule="atLeast"/>
                <w:jc w:val="center"/>
              </w:trPr>
              <w:tc>
                <w:tcPr>
                  <w:tcW w:w="40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5</w:t>
                  </w:r>
                </w:p>
              </w:tc>
              <w:tc>
                <w:tcPr>
                  <w:tcW w:w="1768" w:type="dxa"/>
                  <w:gridSpan w:val="2"/>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连接器密封件</w:t>
                  </w:r>
                </w:p>
              </w:tc>
              <w:tc>
                <w:tcPr>
                  <w:tcW w:w="1158"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w:t>
                  </w:r>
                </w:p>
              </w:tc>
              <w:tc>
                <w:tcPr>
                  <w:tcW w:w="101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25</w:t>
                  </w:r>
                </w:p>
              </w:tc>
              <w:tc>
                <w:tcPr>
                  <w:tcW w:w="108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连接器密封件</w:t>
                  </w:r>
                </w:p>
              </w:tc>
              <w:tc>
                <w:tcPr>
                  <w:tcW w:w="3802" w:type="dxa"/>
                  <w:tcBorders>
                    <w:tl2br w:val="nil"/>
                    <w:tr2bl w:val="nil"/>
                  </w:tcBorders>
                  <w:tcMar>
                    <w:top w:w="0" w:type="dxa"/>
                    <w:left w:w="0" w:type="dxa"/>
                    <w:bottom w:w="0" w:type="dxa"/>
                    <w:right w:w="0" w:type="dxa"/>
                  </w:tcMar>
                  <w:vAlign w:val="center"/>
                </w:tcPr>
                <w:p>
                  <w:pPr>
                    <w:pStyle w:val="25"/>
                    <w:spacing w:line="240" w:lineRule="auto"/>
                    <w:ind w:firstLine="420" w:firstLineChars="200"/>
                    <w:jc w:val="left"/>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根据客户要求的车型定制：产能5000万只/a，约25万台套/a。材料执行ASTM D2000-2006标准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 w:hRule="atLeast"/>
                <w:jc w:val="center"/>
              </w:trPr>
              <w:tc>
                <w:tcPr>
                  <w:tcW w:w="3331" w:type="dxa"/>
                  <w:gridSpan w:val="4"/>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合计</w:t>
                  </w:r>
                </w:p>
              </w:tc>
              <w:tc>
                <w:tcPr>
                  <w:tcW w:w="101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r>
                    <w:rPr>
                      <w:rFonts w:hint="default" w:ascii="Times New Roman" w:hAnsi="Times New Roman" w:cs="Times New Roman"/>
                      <w:color w:val="auto"/>
                      <w:sz w:val="21"/>
                      <w:szCs w:val="21"/>
                      <w:shd w:val="clear" w:color="auto" w:fill="FFFFFF"/>
                      <w:lang w:bidi="ar"/>
                    </w:rPr>
                    <w:t>200</w:t>
                  </w:r>
                </w:p>
              </w:tc>
              <w:tc>
                <w:tcPr>
                  <w:tcW w:w="1085" w:type="dxa"/>
                  <w:tcBorders>
                    <w:tl2br w:val="nil"/>
                    <w:tr2bl w:val="nil"/>
                  </w:tcBorders>
                  <w:tcMar>
                    <w:top w:w="0" w:type="dxa"/>
                    <w:left w:w="0" w:type="dxa"/>
                    <w:bottom w:w="0" w:type="dxa"/>
                    <w:right w:w="0" w:type="dxa"/>
                  </w:tcMar>
                  <w:vAlign w:val="center"/>
                </w:tcPr>
                <w:p>
                  <w:pPr>
                    <w:pStyle w:val="25"/>
                    <w:spacing w:line="240" w:lineRule="auto"/>
                    <w:jc w:val="center"/>
                    <w:rPr>
                      <w:rFonts w:hint="default" w:ascii="Times New Roman" w:hAnsi="Times New Roman" w:cs="Times New Roman"/>
                      <w:color w:val="auto"/>
                      <w:sz w:val="21"/>
                      <w:szCs w:val="21"/>
                      <w:shd w:val="clear" w:color="auto" w:fill="FFFFFF"/>
                      <w:lang w:bidi="ar"/>
                    </w:rPr>
                  </w:pPr>
                </w:p>
              </w:tc>
              <w:tc>
                <w:tcPr>
                  <w:tcW w:w="3802" w:type="dxa"/>
                  <w:tcBorders>
                    <w:tl2br w:val="nil"/>
                    <w:tr2bl w:val="nil"/>
                  </w:tcBorders>
                  <w:tcMar>
                    <w:top w:w="0" w:type="dxa"/>
                    <w:left w:w="0" w:type="dxa"/>
                    <w:bottom w:w="0" w:type="dxa"/>
                    <w:right w:w="0" w:type="dxa"/>
                  </w:tcMar>
                  <w:vAlign w:val="center"/>
                </w:tcPr>
                <w:p>
                  <w:pPr>
                    <w:pStyle w:val="25"/>
                    <w:spacing w:line="240" w:lineRule="auto"/>
                    <w:ind w:firstLine="420" w:firstLineChars="200"/>
                    <w:jc w:val="left"/>
                    <w:rPr>
                      <w:rFonts w:hint="default" w:ascii="Times New Roman" w:hAnsi="Times New Roman" w:cs="Times New Roman"/>
                      <w:color w:val="auto"/>
                      <w:sz w:val="21"/>
                      <w:szCs w:val="21"/>
                      <w:shd w:val="clear" w:color="auto" w:fill="FFFFFF"/>
                      <w:lang w:bidi="ar"/>
                    </w:rPr>
                  </w:pPr>
                </w:p>
              </w:tc>
            </w:tr>
          </w:tbl>
          <w:p>
            <w:pPr>
              <w:spacing w:after="0" w:line="400" w:lineRule="exact"/>
              <w:rPr>
                <w:rFonts w:hint="default" w:ascii="Times New Roman" w:hAnsi="Times New Roman" w:eastAsia="Times New Roman" w:cs="Times New Roman"/>
                <w:color w:val="auto"/>
                <w:kern w:val="2"/>
                <w:sz w:val="24"/>
                <w:szCs w:val="24"/>
              </w:rPr>
            </w:pPr>
            <w:r>
              <w:rPr>
                <w:rFonts w:hint="default" w:ascii="Times New Roman" w:hAnsi="Times New Roman" w:eastAsia="Times New Roman" w:cs="Times New Roman"/>
                <w:b/>
                <w:color w:val="auto"/>
                <w:kern w:val="2"/>
                <w:sz w:val="24"/>
                <w:szCs w:val="24"/>
              </w:rPr>
              <w:t>2.1.</w:t>
            </w:r>
            <w:r>
              <w:rPr>
                <w:rFonts w:hint="default" w:ascii="Times New Roman" w:hAnsi="Times New Roman" w:eastAsia="宋体" w:cs="Times New Roman"/>
                <w:b/>
                <w:color w:val="auto"/>
                <w:kern w:val="2"/>
                <w:sz w:val="24"/>
                <w:szCs w:val="24"/>
              </w:rPr>
              <w:t>5项目组成</w:t>
            </w:r>
          </w:p>
          <w:p>
            <w:pPr>
              <w:spacing w:after="0" w:line="40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本项目组成见表2.1-2。</w:t>
            </w:r>
          </w:p>
          <w:p>
            <w:pPr>
              <w:spacing w:after="0" w:line="400" w:lineRule="exact"/>
              <w:jc w:val="center"/>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表2.1-2  项目组成表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35"/>
              <w:gridCol w:w="780"/>
              <w:gridCol w:w="7124"/>
              <w:gridCol w:w="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1" w:hRule="atLeast"/>
                <w:jc w:val="center"/>
              </w:trPr>
              <w:tc>
                <w:tcPr>
                  <w:tcW w:w="1415" w:type="dxa"/>
                  <w:gridSpan w:val="2"/>
                  <w:tcBorders>
                    <w:tl2br w:val="nil"/>
                    <w:tr2bl w:val="nil"/>
                  </w:tcBorders>
                  <w:vAlign w:val="center"/>
                </w:tcPr>
                <w:p>
                  <w:pPr>
                    <w:spacing w:after="0" w:line="280" w:lineRule="exact"/>
                    <w:jc w:val="center"/>
                    <w:rPr>
                      <w:rFonts w:hint="default" w:ascii="Times New Roman" w:hAnsi="Times New Roman" w:eastAsia="Times New Roman" w:cs="Times New Roman"/>
                      <w:b/>
                      <w:bCs/>
                      <w:color w:val="auto"/>
                      <w:kern w:val="2"/>
                      <w:sz w:val="21"/>
                      <w:szCs w:val="21"/>
                      <w:lang w:bidi="ar"/>
                    </w:rPr>
                  </w:pPr>
                  <w:r>
                    <w:rPr>
                      <w:rFonts w:hint="default" w:ascii="Times New Roman" w:hAnsi="Times New Roman" w:eastAsia="宋体" w:cs="Times New Roman"/>
                      <w:b/>
                      <w:bCs/>
                      <w:color w:val="auto"/>
                      <w:kern w:val="2"/>
                      <w:sz w:val="21"/>
                      <w:szCs w:val="21"/>
                      <w:lang w:bidi="ar"/>
                    </w:rPr>
                    <w:t>项目组成</w:t>
                  </w:r>
                </w:p>
              </w:tc>
              <w:tc>
                <w:tcPr>
                  <w:tcW w:w="7124" w:type="dxa"/>
                  <w:tcBorders>
                    <w:tl2br w:val="nil"/>
                    <w:tr2bl w:val="nil"/>
                  </w:tcBorders>
                  <w:vAlign w:val="center"/>
                </w:tcPr>
                <w:p>
                  <w:pPr>
                    <w:spacing w:after="0" w:line="280" w:lineRule="exact"/>
                    <w:jc w:val="center"/>
                    <w:rPr>
                      <w:rFonts w:hint="default" w:ascii="Times New Roman" w:hAnsi="Times New Roman" w:eastAsia="Times New Roman" w:cs="Times New Roman"/>
                      <w:b/>
                      <w:bCs/>
                      <w:color w:val="auto"/>
                      <w:kern w:val="2"/>
                      <w:sz w:val="21"/>
                      <w:szCs w:val="21"/>
                      <w:lang w:bidi="ar"/>
                    </w:rPr>
                  </w:pPr>
                  <w:r>
                    <w:rPr>
                      <w:rFonts w:hint="default" w:ascii="Times New Roman" w:hAnsi="Times New Roman" w:eastAsia="宋体" w:cs="Times New Roman"/>
                      <w:b/>
                      <w:bCs/>
                      <w:color w:val="auto"/>
                      <w:kern w:val="2"/>
                      <w:sz w:val="21"/>
                      <w:szCs w:val="21"/>
                      <w:lang w:bidi="ar"/>
                    </w:rPr>
                    <w:t>建设内容及规模</w:t>
                  </w:r>
                </w:p>
              </w:tc>
              <w:tc>
                <w:tcPr>
                  <w:tcW w:w="713" w:type="dxa"/>
                  <w:tcBorders>
                    <w:tl2br w:val="nil"/>
                    <w:tr2bl w:val="nil"/>
                  </w:tcBorders>
                  <w:vAlign w:val="center"/>
                </w:tcPr>
                <w:p>
                  <w:pPr>
                    <w:spacing w:after="0" w:line="280" w:lineRule="exact"/>
                    <w:jc w:val="center"/>
                    <w:rPr>
                      <w:rFonts w:hint="default" w:ascii="Times New Roman" w:hAnsi="Times New Roman" w:eastAsia="Times New Roman" w:cs="Times New Roman"/>
                      <w:b/>
                      <w:bCs/>
                      <w:color w:val="auto"/>
                      <w:kern w:val="2"/>
                      <w:sz w:val="21"/>
                      <w:szCs w:val="21"/>
                      <w:lang w:bidi="ar"/>
                    </w:rPr>
                  </w:pPr>
                  <w:r>
                    <w:rPr>
                      <w:rFonts w:hint="default" w:ascii="Times New Roman" w:hAnsi="Times New Roman" w:eastAsia="宋体" w:cs="Times New Roman"/>
                      <w:b/>
                      <w:bCs/>
                      <w:color w:val="auto"/>
                      <w:kern w:val="2"/>
                      <w:sz w:val="21"/>
                      <w:szCs w:val="21"/>
                      <w:lang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5" w:type="dxa"/>
                  <w:vMerge w:val="restart"/>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主体工程</w:t>
                  </w:r>
                </w:p>
              </w:tc>
              <w:tc>
                <w:tcPr>
                  <w:tcW w:w="780" w:type="dxa"/>
                  <w:vMerge w:val="restart"/>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r>
                    <w:rPr>
                      <w:rFonts w:hint="default" w:ascii="Times New Roman" w:hAnsi="Times New Roman" w:eastAsia="Times New Roman" w:cs="Times New Roman"/>
                      <w:color w:val="auto"/>
                      <w:kern w:val="2"/>
                      <w:sz w:val="21"/>
                      <w:szCs w:val="21"/>
                      <w:vertAlign w:val="superscript"/>
                    </w:rPr>
                    <w:t>#</w:t>
                  </w:r>
                </w:p>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rPr>
                    <w:t>厂房</w:t>
                  </w: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r>
                    <w:rPr>
                      <w:rFonts w:hint="default" w:ascii="Times New Roman" w:hAnsi="Times New Roman" w:eastAsia="Times New Roman"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厂房（丙类），H=20.9m，总占地面积为4537.34m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，总建筑面积15010.99m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，分东西两部分，东侧部分共四层，西侧部分共三层。</w:t>
                  </w:r>
                </w:p>
              </w:tc>
              <w:tc>
                <w:tcPr>
                  <w:tcW w:w="713" w:type="dxa"/>
                  <w:vMerge w:val="restart"/>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rPr>
                  </w:pP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-1F</w:t>
                  </w:r>
                  <w:r>
                    <w:rPr>
                      <w:rFonts w:hint="default" w:ascii="Times New Roman" w:hAnsi="Times New Roman" w:eastAsia="宋体" w:cs="Times New Roman"/>
                      <w:color w:val="auto"/>
                      <w:kern w:val="2"/>
                      <w:sz w:val="21"/>
                      <w:szCs w:val="21"/>
                    </w:rPr>
                    <w:t>：H=5m，面积约436.8m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，西侧为消防水池，东侧为水泵房。</w:t>
                  </w:r>
                </w:p>
              </w:tc>
              <w:tc>
                <w:tcPr>
                  <w:tcW w:w="713"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rPr>
                  </w:pP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东侧部分：每层面积约为1508.58m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，1F：车用橡胶圈炼胶区，2F</w:t>
                  </w:r>
                  <w:r>
                    <w:rPr>
                      <w:rFonts w:hint="eastAsia" w:ascii="Times New Roman" w:hAnsi="Times New Roman" w:eastAsia="宋体" w:cs="Times New Roman"/>
                      <w:color w:val="auto"/>
                      <w:kern w:val="2"/>
                      <w:sz w:val="21"/>
                      <w:szCs w:val="21"/>
                      <w:lang w:eastAsia="zh-CN"/>
                    </w:rPr>
                    <w:t>及</w:t>
                  </w:r>
                  <w:r>
                    <w:rPr>
                      <w:rFonts w:hint="default" w:ascii="Times New Roman" w:hAnsi="Times New Roman" w:eastAsia="宋体" w:cs="Times New Roman"/>
                      <w:color w:val="auto"/>
                      <w:kern w:val="2"/>
                      <w:sz w:val="21"/>
                      <w:szCs w:val="21"/>
                    </w:rPr>
                    <w:t>2F</w:t>
                  </w:r>
                  <w:r>
                    <w:rPr>
                      <w:rFonts w:hint="eastAsia" w:ascii="Times New Roman" w:hAnsi="Times New Roman" w:eastAsia="宋体" w:cs="Times New Roman"/>
                      <w:color w:val="auto"/>
                      <w:kern w:val="2"/>
                      <w:sz w:val="21"/>
                      <w:szCs w:val="21"/>
                      <w:lang w:eastAsia="zh-CN"/>
                    </w:rPr>
                    <w:t>夹层</w:t>
                  </w:r>
                  <w:r>
                    <w:rPr>
                      <w:rFonts w:hint="default" w:ascii="Times New Roman" w:hAnsi="Times New Roman" w:eastAsia="宋体" w:cs="Times New Roman"/>
                      <w:color w:val="auto"/>
                      <w:kern w:val="2"/>
                      <w:sz w:val="21"/>
                      <w:szCs w:val="21"/>
                    </w:rPr>
                    <w:t>布置车用橡胶圈配料输送区，</w:t>
                  </w:r>
                  <w:r>
                    <w:rPr>
                      <w:rFonts w:hint="eastAsia"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rPr>
                    <w:t>F布置隔热垫生产区。</w:t>
                  </w:r>
                </w:p>
              </w:tc>
              <w:tc>
                <w:tcPr>
                  <w:tcW w:w="713"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rPr>
                  </w:pP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西侧部分：每层面积约为3028.76m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，1F车用橡胶圈成型一区、物料周转区；2F车用橡胶圈成型二区；3F车窗升降机生产区。</w:t>
                  </w:r>
                </w:p>
              </w:tc>
              <w:tc>
                <w:tcPr>
                  <w:tcW w:w="713"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vMerge w:val="restart"/>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3</w:t>
                  </w:r>
                  <w:r>
                    <w:rPr>
                      <w:rFonts w:hint="default" w:ascii="Times New Roman" w:hAnsi="Times New Roman" w:eastAsia="Times New Roman" w:cs="Times New Roman"/>
                      <w:color w:val="auto"/>
                      <w:kern w:val="2"/>
                      <w:sz w:val="21"/>
                      <w:szCs w:val="21"/>
                      <w:vertAlign w:val="superscript"/>
                    </w:rPr>
                    <w:t>#</w:t>
                  </w:r>
                </w:p>
                <w:p>
                  <w:pPr>
                    <w:spacing w:after="0" w:line="28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厂房</w:t>
                  </w: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w:t>
                  </w:r>
                  <w:r>
                    <w:rPr>
                      <w:rFonts w:hint="default" w:ascii="Times New Roman" w:hAnsi="Times New Roman" w:eastAsia="Times New Roman"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厂房（丙类），H=18.6m，共2层，总占地面积为4954.73m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，总建筑面积10116.3m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。分南北两部分，北侧为生产区，南侧为办公区。</w:t>
                  </w:r>
                </w:p>
              </w:tc>
              <w:tc>
                <w:tcPr>
                  <w:tcW w:w="713"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rPr>
                  </w:pP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每层面积约为4954.73m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，1F：H=9m，北侧注塑区、成品库房；南侧办公区；2F：H=6m，北侧新能源汽车线束生产区，南侧办公区。</w:t>
                  </w:r>
                </w:p>
              </w:tc>
              <w:tc>
                <w:tcPr>
                  <w:tcW w:w="713"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35" w:type="dxa"/>
                  <w:vMerge w:val="restart"/>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公用工程</w:t>
                  </w:r>
                </w:p>
              </w:tc>
              <w:tc>
                <w:tcPr>
                  <w:tcW w:w="780" w:type="dxa"/>
                  <w:tcBorders>
                    <w:tl2br w:val="nil"/>
                    <w:tr2bl w:val="nil"/>
                  </w:tcBorders>
                  <w:vAlign w:val="center"/>
                </w:tcPr>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供电</w:t>
                  </w:r>
                </w:p>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系统</w:t>
                  </w: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由市政供电系统供给，电源线接入厂区配电房，接入厂房各用电点，配电房位于</w:t>
                  </w:r>
                  <w:r>
                    <w:rPr>
                      <w:rFonts w:hint="default" w:ascii="Times New Roman" w:hAnsi="Times New Roman" w:eastAsia="Times New Roman" w:cs="Times New Roman"/>
                      <w:color w:val="auto"/>
                      <w:kern w:val="2"/>
                      <w:sz w:val="21"/>
                      <w:szCs w:val="21"/>
                    </w:rPr>
                    <w:t>1</w:t>
                  </w:r>
                  <w:r>
                    <w:rPr>
                      <w:rFonts w:hint="default" w:ascii="Times New Roman" w:hAnsi="Times New Roman" w:eastAsia="Times New Roman"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厂房一楼东南角，面积111.02</w:t>
                  </w:r>
                  <w:r>
                    <w:rPr>
                      <w:rFonts w:hint="default" w:ascii="Times New Roman" w:hAnsi="Times New Roman" w:eastAsia="Times New Roman" w:cs="Times New Roman"/>
                      <w:color w:val="auto"/>
                      <w:kern w:val="2"/>
                      <w:sz w:val="21"/>
                      <w:szCs w:val="21"/>
                    </w:rPr>
                    <w:t>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lang w:bidi="ar"/>
                    </w:rPr>
                    <w:t>。</w:t>
                  </w:r>
                </w:p>
              </w:tc>
              <w:tc>
                <w:tcPr>
                  <w:tcW w:w="713" w:type="dxa"/>
                  <w:tcBorders>
                    <w:tl2br w:val="nil"/>
                    <w:tr2bl w:val="nil"/>
                  </w:tcBorders>
                  <w:vAlign w:val="center"/>
                </w:tcPr>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依托+新建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备用</w:t>
                  </w:r>
                </w:p>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电源</w:t>
                  </w: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配备1台4</w:t>
                  </w:r>
                  <w:r>
                    <w:rPr>
                      <w:rFonts w:hint="default" w:ascii="Times New Roman" w:hAnsi="Times New Roman" w:eastAsia="Times New Roman" w:cs="Times New Roman"/>
                      <w:color w:val="auto"/>
                      <w:kern w:val="2"/>
                      <w:sz w:val="21"/>
                      <w:szCs w:val="21"/>
                      <w:lang w:bidi="ar"/>
                    </w:rPr>
                    <w:t>00</w:t>
                  </w:r>
                  <w:r>
                    <w:rPr>
                      <w:rFonts w:hint="default" w:ascii="Times New Roman" w:hAnsi="Times New Roman" w:eastAsia="宋体" w:cs="Times New Roman"/>
                      <w:color w:val="auto"/>
                      <w:kern w:val="2"/>
                      <w:sz w:val="21"/>
                      <w:szCs w:val="21"/>
                      <w:lang w:bidi="ar"/>
                    </w:rPr>
                    <w:t>KW发电机，布置在</w:t>
                  </w:r>
                  <w:r>
                    <w:rPr>
                      <w:rFonts w:hint="default" w:ascii="Times New Roman" w:hAnsi="Times New Roman" w:eastAsia="Times New Roman" w:cs="Times New Roman"/>
                      <w:color w:val="auto"/>
                      <w:kern w:val="2"/>
                      <w:sz w:val="21"/>
                      <w:szCs w:val="21"/>
                    </w:rPr>
                    <w:t>1</w:t>
                  </w:r>
                  <w:r>
                    <w:rPr>
                      <w:rFonts w:hint="default" w:ascii="Times New Roman" w:hAnsi="Times New Roman" w:eastAsia="Times New Roman"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厂房一楼东南角，面积91.9</w:t>
                  </w:r>
                  <w:r>
                    <w:rPr>
                      <w:rFonts w:hint="default" w:ascii="Times New Roman" w:hAnsi="Times New Roman" w:eastAsia="Times New Roman" w:cs="Times New Roman"/>
                      <w:color w:val="auto"/>
                      <w:kern w:val="2"/>
                      <w:sz w:val="21"/>
                      <w:szCs w:val="21"/>
                    </w:rPr>
                    <w:t>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w:t>
                  </w:r>
                </w:p>
              </w:tc>
              <w:tc>
                <w:tcPr>
                  <w:tcW w:w="713"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1"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tcBorders>
                    <w:tl2br w:val="nil"/>
                    <w:tr2bl w:val="nil"/>
                  </w:tcBorders>
                  <w:vAlign w:val="center"/>
                </w:tcPr>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供水</w:t>
                  </w:r>
                </w:p>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系统</w:t>
                  </w: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rPr>
                    <w:t>由市政供水系统供给，给水管接入厂房各用水点。</w:t>
                  </w:r>
                </w:p>
              </w:tc>
              <w:tc>
                <w:tcPr>
                  <w:tcW w:w="713" w:type="dxa"/>
                  <w:tcBorders>
                    <w:tl2br w:val="nil"/>
                    <w:tr2bl w:val="nil"/>
                  </w:tcBorders>
                  <w:vAlign w:val="center"/>
                </w:tcPr>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依托+新建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1"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tcBorders>
                    <w:tl2br w:val="nil"/>
                    <w:tr2bl w:val="nil"/>
                  </w:tcBorders>
                  <w:vAlign w:val="center"/>
                </w:tcPr>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排水</w:t>
                  </w:r>
                </w:p>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系统</w:t>
                  </w: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厂区内实行“雨污分流”排水制，厂区内雨水收集后接入市政雨水管网；污水收集后经生化池处理后由市政污水管网排入农创园污水处理厂。</w:t>
                  </w:r>
                </w:p>
              </w:tc>
              <w:tc>
                <w:tcPr>
                  <w:tcW w:w="713"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依托+新建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tcBorders>
                    <w:tl2br w:val="nil"/>
                    <w:tr2bl w:val="nil"/>
                  </w:tcBorders>
                  <w:vAlign w:val="center"/>
                </w:tcPr>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空压</w:t>
                  </w:r>
                </w:p>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系统</w:t>
                  </w: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rPr>
                    <w:t>1#厂房和3#厂房1F分别设置一个空压机。</w:t>
                  </w:r>
                </w:p>
              </w:tc>
              <w:tc>
                <w:tcPr>
                  <w:tcW w:w="713"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60"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循环水系统</w:t>
                  </w: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1#厂房和3#厂房1F生产车间分别配套建设1座约12m³的循环水池及循环冷却塔（</w:t>
                  </w:r>
                  <w:r>
                    <w:rPr>
                      <w:rFonts w:hint="default" w:ascii="Times New Roman" w:hAnsi="Times New Roman" w:eastAsia="宋体" w:cs="Times New Roman"/>
                      <w:color w:val="auto"/>
                      <w:kern w:val="2"/>
                      <w:sz w:val="21"/>
                      <w:szCs w:val="21"/>
                      <w:lang w:val="en-US" w:eastAsia="zh-CN"/>
                    </w:rPr>
                    <w:t>1</w:t>
                  </w:r>
                  <w:r>
                    <w:rPr>
                      <w:rFonts w:hint="default" w:ascii="Times New Roman" w:hAnsi="Times New Roman" w:eastAsia="宋体" w:cs="Times New Roman"/>
                      <w:color w:val="auto"/>
                      <w:kern w:val="2"/>
                      <w:sz w:val="21"/>
                      <w:szCs w:val="21"/>
                    </w:rPr>
                    <w:t>台），供各注塑机、开炼机间接冷却，单台循环水量18m³/h。</w:t>
                  </w:r>
                </w:p>
              </w:tc>
              <w:tc>
                <w:tcPr>
                  <w:tcW w:w="713"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5" w:type="dxa"/>
                  <w:vMerge w:val="restart"/>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辅助工程</w:t>
                  </w:r>
                </w:p>
              </w:tc>
              <w:tc>
                <w:tcPr>
                  <w:tcW w:w="780" w:type="dxa"/>
                  <w:tcBorders>
                    <w:tl2br w:val="nil"/>
                    <w:tr2bl w:val="nil"/>
                  </w:tcBorders>
                  <w:vAlign w:val="center"/>
                </w:tcPr>
                <w:p>
                  <w:pPr>
                    <w:spacing w:after="0" w:line="28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2</w:t>
                  </w:r>
                  <w:r>
                    <w:rPr>
                      <w:rFonts w:hint="default" w:ascii="Times New Roman" w:hAnsi="Times New Roman" w:eastAsia="宋体" w:cs="Times New Roman"/>
                      <w:color w:val="auto"/>
                      <w:kern w:val="2"/>
                      <w:sz w:val="21"/>
                      <w:szCs w:val="21"/>
                      <w:vertAlign w:val="superscript"/>
                      <w:lang w:bidi="ar"/>
                    </w:rPr>
                    <w:t>＃</w:t>
                  </w:r>
                </w:p>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宿舍楼</w:t>
                  </w:r>
                </w:p>
              </w:tc>
              <w:tc>
                <w:tcPr>
                  <w:tcW w:w="7124" w:type="dxa"/>
                  <w:tcBorders>
                    <w:tl2br w:val="nil"/>
                    <w:tr2bl w:val="nil"/>
                  </w:tcBorders>
                  <w:vAlign w:val="center"/>
                </w:tcPr>
                <w:p>
                  <w:pPr>
                    <w:spacing w:after="0" w:line="280" w:lineRule="exact"/>
                    <w:ind w:firstLine="420" w:firstLineChars="200"/>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2</w:t>
                  </w:r>
                  <w:r>
                    <w:rPr>
                      <w:rFonts w:hint="default" w:ascii="Times New Roman" w:hAnsi="Times New Roman" w:eastAsia="宋体" w:cs="Times New Roman"/>
                      <w:color w:val="auto"/>
                      <w:kern w:val="2"/>
                      <w:sz w:val="21"/>
                      <w:szCs w:val="21"/>
                      <w:vertAlign w:val="superscript"/>
                      <w:lang w:bidi="ar"/>
                    </w:rPr>
                    <w:t>＃</w:t>
                  </w:r>
                  <w:r>
                    <w:rPr>
                      <w:rFonts w:hint="default" w:ascii="Times New Roman" w:hAnsi="Times New Roman" w:eastAsia="宋体" w:cs="Times New Roman"/>
                      <w:color w:val="auto"/>
                      <w:kern w:val="2"/>
                      <w:sz w:val="21"/>
                      <w:szCs w:val="21"/>
                      <w:lang w:bidi="ar"/>
                    </w:rPr>
                    <w:t>宿舍楼，H=18.9m，总占地面积为580m</w:t>
                  </w:r>
                  <w:r>
                    <w:rPr>
                      <w:rFonts w:hint="default" w:ascii="Times New Roman" w:hAnsi="Times New Roman" w:eastAsia="Times New Roman" w:cs="Times New Roman"/>
                      <w:color w:val="auto"/>
                      <w:kern w:val="2"/>
                      <w:sz w:val="21"/>
                      <w:szCs w:val="21"/>
                      <w:vertAlign w:val="superscript"/>
                      <w:lang w:bidi="ar"/>
                    </w:rPr>
                    <w:t>2</w:t>
                  </w:r>
                  <w:r>
                    <w:rPr>
                      <w:rFonts w:hint="default" w:ascii="Times New Roman" w:hAnsi="Times New Roman" w:eastAsia="宋体" w:cs="Times New Roman"/>
                      <w:color w:val="auto"/>
                      <w:kern w:val="2"/>
                      <w:sz w:val="21"/>
                      <w:szCs w:val="21"/>
                      <w:lang w:bidi="ar"/>
                    </w:rPr>
                    <w:t>，总建筑面积约2961.84m</w:t>
                  </w:r>
                  <w:r>
                    <w:rPr>
                      <w:rFonts w:hint="default" w:ascii="Times New Roman" w:hAnsi="Times New Roman" w:eastAsia="Times New Roman" w:cs="Times New Roman"/>
                      <w:color w:val="auto"/>
                      <w:kern w:val="2"/>
                      <w:sz w:val="21"/>
                      <w:szCs w:val="21"/>
                      <w:vertAlign w:val="superscript"/>
                      <w:lang w:bidi="ar"/>
                    </w:rPr>
                    <w:t>2</w:t>
                  </w:r>
                  <w:r>
                    <w:rPr>
                      <w:rFonts w:hint="default" w:ascii="Times New Roman" w:hAnsi="Times New Roman" w:eastAsia="宋体" w:cs="Times New Roman"/>
                      <w:color w:val="auto"/>
                      <w:kern w:val="2"/>
                      <w:sz w:val="21"/>
                      <w:szCs w:val="21"/>
                      <w:lang w:bidi="ar"/>
                    </w:rPr>
                    <w:t>。</w:t>
                  </w:r>
                </w:p>
                <w:p>
                  <w:pPr>
                    <w:spacing w:after="0" w:line="280" w:lineRule="exact"/>
                    <w:ind w:firstLine="420" w:firstLineChars="200"/>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1F</w:t>
                  </w:r>
                  <w:r>
                    <w:rPr>
                      <w:rFonts w:hint="default" w:ascii="Times New Roman" w:hAnsi="Times New Roman" w:eastAsia="宋体" w:cs="Times New Roman"/>
                      <w:color w:val="auto"/>
                      <w:kern w:val="2"/>
                      <w:sz w:val="21"/>
                      <w:szCs w:val="21"/>
                      <w:lang w:bidi="ar"/>
                    </w:rPr>
                    <w:t>为活动中心和食堂，</w:t>
                  </w:r>
                  <w:r>
                    <w:rPr>
                      <w:rFonts w:hint="default" w:ascii="Times New Roman" w:hAnsi="Times New Roman" w:eastAsia="Times New Roman" w:cs="Times New Roman"/>
                      <w:color w:val="auto"/>
                      <w:kern w:val="2"/>
                      <w:sz w:val="21"/>
                      <w:szCs w:val="21"/>
                      <w:lang w:bidi="ar"/>
                    </w:rPr>
                    <w:t>2F</w:t>
                  </w:r>
                  <w:r>
                    <w:rPr>
                      <w:rFonts w:hint="default" w:ascii="Times New Roman" w:hAnsi="Times New Roman" w:eastAsia="宋体" w:cs="Times New Roman"/>
                      <w:color w:val="auto"/>
                      <w:kern w:val="2"/>
                      <w:sz w:val="21"/>
                      <w:szCs w:val="21"/>
                      <w:lang w:bidi="ar"/>
                    </w:rPr>
                    <w:t>～5F为宿舍。</w:t>
                  </w:r>
                </w:p>
              </w:tc>
              <w:tc>
                <w:tcPr>
                  <w:tcW w:w="713"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35" w:type="dxa"/>
                  <w:vMerge w:val="continue"/>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p>
              </w:tc>
              <w:tc>
                <w:tcPr>
                  <w:tcW w:w="780"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办公室</w:t>
                  </w:r>
                </w:p>
              </w:tc>
              <w:tc>
                <w:tcPr>
                  <w:tcW w:w="7124" w:type="dxa"/>
                  <w:tcBorders>
                    <w:tl2br w:val="nil"/>
                    <w:tr2bl w:val="nil"/>
                  </w:tcBorders>
                  <w:vAlign w:val="center"/>
                </w:tcPr>
                <w:p>
                  <w:pPr>
                    <w:spacing w:after="0" w:line="280" w:lineRule="exact"/>
                    <w:ind w:firstLine="420" w:firstLineChars="200"/>
                    <w:jc w:val="both"/>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rPr>
                    <w:t>3</w:t>
                  </w:r>
                  <w:r>
                    <w:rPr>
                      <w:rFonts w:hint="default" w:ascii="Times New Roman" w:hAnsi="Times New Roman" w:eastAsia="Times New Roman"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厂房南侧为办公区。</w:t>
                  </w:r>
                </w:p>
              </w:tc>
              <w:tc>
                <w:tcPr>
                  <w:tcW w:w="713" w:type="dxa"/>
                  <w:tcBorders>
                    <w:tl2br w:val="nil"/>
                    <w:tr2bl w:val="nil"/>
                  </w:tcBorders>
                  <w:vAlign w:val="center"/>
                </w:tcPr>
                <w:p>
                  <w:pPr>
                    <w:spacing w:after="0" w:line="28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bl>
          <w:p>
            <w:pPr>
              <w:spacing w:after="0" w:line="400" w:lineRule="exact"/>
              <w:jc w:val="center"/>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续表2.1-2  项目组成表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41"/>
              <w:gridCol w:w="752"/>
              <w:gridCol w:w="7464"/>
              <w:gridCol w:w="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1" w:hRule="atLeast"/>
                <w:jc w:val="center"/>
              </w:trPr>
              <w:tc>
                <w:tcPr>
                  <w:tcW w:w="1193" w:type="dxa"/>
                  <w:gridSpan w:val="2"/>
                  <w:tcBorders>
                    <w:tl2br w:val="nil"/>
                    <w:tr2bl w:val="nil"/>
                  </w:tcBorders>
                  <w:vAlign w:val="center"/>
                </w:tcPr>
                <w:p>
                  <w:pPr>
                    <w:spacing w:after="0" w:line="300" w:lineRule="exact"/>
                    <w:jc w:val="center"/>
                    <w:rPr>
                      <w:rFonts w:hint="default" w:ascii="Times New Roman" w:hAnsi="Times New Roman" w:eastAsia="Times New Roman" w:cs="Times New Roman"/>
                      <w:b/>
                      <w:bCs/>
                      <w:color w:val="auto"/>
                      <w:kern w:val="2"/>
                      <w:sz w:val="21"/>
                      <w:szCs w:val="21"/>
                      <w:lang w:bidi="ar"/>
                    </w:rPr>
                  </w:pPr>
                  <w:r>
                    <w:rPr>
                      <w:rFonts w:hint="default" w:ascii="Times New Roman" w:hAnsi="Times New Roman" w:eastAsia="宋体" w:cs="Times New Roman"/>
                      <w:b/>
                      <w:bCs/>
                      <w:color w:val="auto"/>
                      <w:kern w:val="2"/>
                      <w:sz w:val="21"/>
                      <w:szCs w:val="21"/>
                      <w:lang w:bidi="ar"/>
                    </w:rPr>
                    <w:t>项目组成</w:t>
                  </w:r>
                </w:p>
              </w:tc>
              <w:tc>
                <w:tcPr>
                  <w:tcW w:w="7464" w:type="dxa"/>
                  <w:tcBorders>
                    <w:tl2br w:val="nil"/>
                    <w:tr2bl w:val="nil"/>
                  </w:tcBorders>
                  <w:vAlign w:val="center"/>
                </w:tcPr>
                <w:p>
                  <w:pPr>
                    <w:spacing w:after="0" w:line="300" w:lineRule="exact"/>
                    <w:jc w:val="center"/>
                    <w:rPr>
                      <w:rFonts w:hint="default" w:ascii="Times New Roman" w:hAnsi="Times New Roman" w:eastAsia="Times New Roman" w:cs="Times New Roman"/>
                      <w:b/>
                      <w:bCs/>
                      <w:color w:val="auto"/>
                      <w:kern w:val="2"/>
                      <w:sz w:val="21"/>
                      <w:szCs w:val="21"/>
                      <w:lang w:bidi="ar"/>
                    </w:rPr>
                  </w:pPr>
                  <w:r>
                    <w:rPr>
                      <w:rFonts w:hint="default" w:ascii="Times New Roman" w:hAnsi="Times New Roman" w:eastAsia="宋体" w:cs="Times New Roman"/>
                      <w:b/>
                      <w:bCs/>
                      <w:color w:val="auto"/>
                      <w:kern w:val="2"/>
                      <w:sz w:val="21"/>
                      <w:szCs w:val="21"/>
                      <w:lang w:bidi="ar"/>
                    </w:rPr>
                    <w:t>建设内容及规模</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b/>
                      <w:bCs/>
                      <w:color w:val="auto"/>
                      <w:kern w:val="2"/>
                      <w:sz w:val="21"/>
                      <w:szCs w:val="21"/>
                      <w:lang w:bidi="ar"/>
                    </w:rPr>
                  </w:pPr>
                  <w:r>
                    <w:rPr>
                      <w:rFonts w:hint="default" w:ascii="Times New Roman" w:hAnsi="Times New Roman" w:eastAsia="宋体" w:cs="Times New Roman"/>
                      <w:b/>
                      <w:bCs/>
                      <w:color w:val="auto"/>
                      <w:kern w:val="2"/>
                      <w:sz w:val="21"/>
                      <w:szCs w:val="21"/>
                      <w:lang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restart"/>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储运工程</w:t>
                  </w:r>
                </w:p>
              </w:tc>
              <w:tc>
                <w:tcPr>
                  <w:tcW w:w="752"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成品</w:t>
                  </w:r>
                </w:p>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rPr>
                    <w:t>库房</w:t>
                  </w:r>
                </w:p>
              </w:tc>
              <w:tc>
                <w:tcPr>
                  <w:tcW w:w="7464" w:type="dxa"/>
                  <w:tcBorders>
                    <w:tl2br w:val="nil"/>
                    <w:tr2bl w:val="nil"/>
                  </w:tcBorders>
                  <w:vAlign w:val="center"/>
                </w:tcPr>
                <w:p>
                  <w:pPr>
                    <w:spacing w:after="0" w:line="300" w:lineRule="exact"/>
                    <w:ind w:firstLine="420" w:firstLineChars="200"/>
                    <w:jc w:val="both"/>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bidi="ar"/>
                    </w:rPr>
                    <w:t>位于</w:t>
                  </w:r>
                  <w:r>
                    <w:rPr>
                      <w:rFonts w:hint="default" w:ascii="Times New Roman" w:hAnsi="Times New Roman" w:eastAsia="宋体" w:cs="Times New Roman"/>
                      <w:color w:val="auto"/>
                      <w:kern w:val="2"/>
                      <w:sz w:val="21"/>
                      <w:szCs w:val="21"/>
                    </w:rPr>
                    <w:t>3</w:t>
                  </w:r>
                  <w:r>
                    <w:rPr>
                      <w:rFonts w:hint="default" w:ascii="Times New Roman" w:hAnsi="Times New Roman" w:eastAsia="Times New Roman"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厂房1层和2</w:t>
                  </w:r>
                  <w:r>
                    <w:rPr>
                      <w:rFonts w:hint="default" w:ascii="Times New Roman" w:hAnsi="Times New Roman" w:eastAsia="宋体" w:cs="Times New Roman"/>
                      <w:b w:val="0"/>
                      <w:bCs w:val="0"/>
                      <w:color w:val="auto"/>
                      <w:kern w:val="2"/>
                      <w:sz w:val="21"/>
                      <w:szCs w:val="21"/>
                    </w:rPr>
                    <w:t>层</w:t>
                  </w:r>
                  <w:r>
                    <w:rPr>
                      <w:rStyle w:val="36"/>
                      <w:rFonts w:hint="default" w:ascii="Times New Roman" w:hAnsi="Times New Roman" w:cs="Times New Roman"/>
                      <w:b w:val="0"/>
                      <w:bCs w:val="0"/>
                      <w:color w:val="auto"/>
                      <w:kern w:val="2"/>
                      <w:lang w:val="zh-CN"/>
                    </w:rPr>
                    <w:t>，每层面积</w:t>
                  </w:r>
                  <w:r>
                    <w:rPr>
                      <w:rStyle w:val="36"/>
                      <w:rFonts w:hint="default" w:ascii="Times New Roman" w:hAnsi="Times New Roman" w:cs="Times New Roman"/>
                      <w:b w:val="0"/>
                      <w:bCs w:val="0"/>
                      <w:color w:val="auto"/>
                      <w:kern w:val="2"/>
                      <w:lang w:val="en-US" w:eastAsia="zh-CN"/>
                    </w:rPr>
                    <w:t>2800</w:t>
                  </w:r>
                  <w:r>
                    <w:rPr>
                      <w:rFonts w:hint="default" w:ascii="Times New Roman" w:hAnsi="Times New Roman" w:eastAsia="宋体" w:cs="Times New Roman"/>
                      <w:b w:val="0"/>
                      <w:bCs w:val="0"/>
                      <w:color w:val="auto"/>
                      <w:kern w:val="2"/>
                      <w:sz w:val="21"/>
                      <w:szCs w:val="21"/>
                      <w:lang w:bidi="ar"/>
                    </w:rPr>
                    <w:t>m</w:t>
                  </w:r>
                  <w:r>
                    <w:rPr>
                      <w:rFonts w:hint="default" w:ascii="Times New Roman" w:hAnsi="Times New Roman" w:eastAsia="Times New Roman" w:cs="Times New Roman"/>
                      <w:b w:val="0"/>
                      <w:bCs w:val="0"/>
                      <w:color w:val="auto"/>
                      <w:kern w:val="2"/>
                      <w:sz w:val="21"/>
                      <w:szCs w:val="21"/>
                      <w:vertAlign w:val="superscript"/>
                      <w:lang w:bidi="ar"/>
                    </w:rPr>
                    <w:t>2</w:t>
                  </w:r>
                  <w:r>
                    <w:rPr>
                      <w:rFonts w:hint="default" w:ascii="Times New Roman" w:hAnsi="Times New Roman" w:eastAsia="宋体" w:cs="Times New Roman"/>
                      <w:b w:val="0"/>
                      <w:bCs w:val="0"/>
                      <w:color w:val="auto"/>
                      <w:kern w:val="2"/>
                      <w:sz w:val="21"/>
                      <w:szCs w:val="21"/>
                      <w:vertAlign w:val="baseline"/>
                      <w:lang w:bidi="ar"/>
                    </w:rPr>
                    <w:t>。</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原材料库房</w:t>
                  </w: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布置于</w:t>
                  </w:r>
                  <w:r>
                    <w:rPr>
                      <w:rFonts w:hint="default" w:ascii="Times New Roman" w:hAnsi="Times New Roman" w:eastAsia="宋体" w:cs="Times New Roman"/>
                      <w:color w:val="auto"/>
                      <w:kern w:val="2"/>
                      <w:sz w:val="21"/>
                      <w:szCs w:val="21"/>
                    </w:rPr>
                    <w:t>1</w:t>
                  </w:r>
                  <w:r>
                    <w:rPr>
                      <w:rFonts w:hint="default" w:ascii="Times New Roman" w:hAnsi="Times New Roman" w:eastAsia="宋体"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w:t>
                  </w:r>
                  <w:r>
                    <w:rPr>
                      <w:rFonts w:hint="default" w:ascii="Times New Roman" w:hAnsi="Times New Roman" w:eastAsia="宋体" w:cs="Times New Roman"/>
                      <w:color w:val="auto"/>
                      <w:kern w:val="2"/>
                      <w:sz w:val="21"/>
                      <w:szCs w:val="21"/>
                      <w:lang w:bidi="ar"/>
                    </w:rPr>
                    <w:t>东侧部分。</w:t>
                  </w:r>
                </w:p>
                <w:p>
                  <w:pPr>
                    <w:spacing w:after="0" w:line="30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原材料库房1：2F东侧，占地面积约116m</w:t>
                  </w:r>
                  <w:r>
                    <w:rPr>
                      <w:rFonts w:hint="default" w:ascii="Times New Roman" w:hAnsi="Times New Roman" w:eastAsia="Times New Roman" w:cs="Times New Roman"/>
                      <w:color w:val="auto"/>
                      <w:kern w:val="2"/>
                      <w:sz w:val="21"/>
                      <w:szCs w:val="21"/>
                      <w:vertAlign w:val="superscript"/>
                      <w:lang w:bidi="ar"/>
                    </w:rPr>
                    <w:t>2</w:t>
                  </w:r>
                  <w:r>
                    <w:rPr>
                      <w:rFonts w:hint="default" w:ascii="Times New Roman" w:hAnsi="Times New Roman" w:eastAsia="宋体" w:cs="Times New Roman"/>
                      <w:color w:val="auto"/>
                      <w:kern w:val="2"/>
                      <w:sz w:val="21"/>
                      <w:szCs w:val="21"/>
                      <w:lang w:bidi="ar"/>
                    </w:rPr>
                    <w:t>，用于存放小料、生胶等原材料；</w:t>
                  </w:r>
                </w:p>
                <w:p>
                  <w:pPr>
                    <w:spacing w:after="0" w:line="300" w:lineRule="exact"/>
                    <w:ind w:firstLine="420" w:firstLineChars="200"/>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原材料库房2：2F</w:t>
                  </w:r>
                  <w:r>
                    <w:rPr>
                      <w:rFonts w:hint="eastAsia" w:ascii="Times New Roman" w:hAnsi="Times New Roman" w:eastAsia="宋体" w:cs="Times New Roman"/>
                      <w:color w:val="auto"/>
                      <w:kern w:val="2"/>
                      <w:sz w:val="21"/>
                      <w:szCs w:val="21"/>
                      <w:lang w:eastAsia="zh-CN" w:bidi="ar"/>
                    </w:rPr>
                    <w:t>夹层</w:t>
                  </w:r>
                  <w:r>
                    <w:rPr>
                      <w:rFonts w:hint="default" w:ascii="Times New Roman" w:hAnsi="Times New Roman" w:eastAsia="宋体" w:cs="Times New Roman"/>
                      <w:color w:val="auto"/>
                      <w:kern w:val="2"/>
                      <w:sz w:val="21"/>
                      <w:szCs w:val="21"/>
                      <w:lang w:bidi="ar"/>
                    </w:rPr>
                    <w:t>东侧，占地面积约510m</w:t>
                  </w:r>
                  <w:r>
                    <w:rPr>
                      <w:rFonts w:hint="default" w:ascii="Times New Roman" w:hAnsi="Times New Roman" w:eastAsia="Times New Roman" w:cs="Times New Roman"/>
                      <w:color w:val="auto"/>
                      <w:kern w:val="2"/>
                      <w:sz w:val="21"/>
                      <w:szCs w:val="21"/>
                      <w:vertAlign w:val="superscript"/>
                      <w:lang w:bidi="ar"/>
                    </w:rPr>
                    <w:t>2</w:t>
                  </w:r>
                  <w:r>
                    <w:rPr>
                      <w:rFonts w:hint="default" w:ascii="Times New Roman" w:hAnsi="Times New Roman" w:eastAsia="宋体" w:cs="Times New Roman"/>
                      <w:color w:val="auto"/>
                      <w:kern w:val="2"/>
                      <w:sz w:val="21"/>
                      <w:szCs w:val="21"/>
                      <w:lang w:bidi="ar"/>
                    </w:rPr>
                    <w:t>，用于存放炭黑等原料。</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中间品暂存区</w:t>
                  </w: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位于1</w:t>
                  </w:r>
                  <w:r>
                    <w:rPr>
                      <w:rFonts w:hint="default" w:ascii="Times New Roman" w:hAnsi="Times New Roman" w:eastAsia="宋体"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厂房1F中部，</w:t>
                  </w:r>
                  <w:r>
                    <w:rPr>
                      <w:rFonts w:hint="default" w:ascii="Times New Roman" w:hAnsi="Times New Roman" w:eastAsia="宋体" w:cs="Times New Roman"/>
                      <w:color w:val="auto"/>
                      <w:kern w:val="2"/>
                      <w:sz w:val="21"/>
                      <w:szCs w:val="21"/>
                      <w:lang w:val="en-US" w:eastAsia="zh-CN"/>
                    </w:rPr>
                    <w:t>300</w:t>
                  </w:r>
                  <w:r>
                    <w:rPr>
                      <w:rFonts w:hint="default" w:ascii="Times New Roman" w:hAnsi="Times New Roman" w:eastAsia="宋体" w:cs="Times New Roman"/>
                      <w:color w:val="auto"/>
                      <w:kern w:val="2"/>
                      <w:sz w:val="21"/>
                      <w:szCs w:val="21"/>
                      <w:lang w:bidi="ar"/>
                    </w:rPr>
                    <w:t>m</w:t>
                  </w:r>
                  <w:r>
                    <w:rPr>
                      <w:rFonts w:hint="default" w:ascii="Times New Roman" w:hAnsi="Times New Roman" w:eastAsia="Times New Roman" w:cs="Times New Roman"/>
                      <w:color w:val="auto"/>
                      <w:kern w:val="2"/>
                      <w:sz w:val="21"/>
                      <w:szCs w:val="21"/>
                      <w:vertAlign w:val="superscript"/>
                      <w:lang w:bidi="ar"/>
                    </w:rPr>
                    <w:t>2</w:t>
                  </w:r>
                  <w:r>
                    <w:rPr>
                      <w:rFonts w:hint="default" w:ascii="Times New Roman" w:hAnsi="Times New Roman" w:eastAsia="宋体" w:cs="Times New Roman"/>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rPr>
                    <w:t>用于周转暂存半成品。</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物料周转区</w:t>
                  </w: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位于1</w:t>
                  </w:r>
                  <w:r>
                    <w:rPr>
                      <w:rFonts w:hint="default" w:ascii="Times New Roman" w:hAnsi="Times New Roman" w:eastAsia="宋体"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厂房1F北部，</w:t>
                  </w:r>
                  <w:r>
                    <w:rPr>
                      <w:rFonts w:hint="default" w:ascii="Times New Roman" w:hAnsi="Times New Roman" w:eastAsia="宋体" w:cs="Times New Roman"/>
                      <w:color w:val="auto"/>
                      <w:kern w:val="2"/>
                      <w:sz w:val="21"/>
                      <w:szCs w:val="21"/>
                      <w:lang w:val="en-US" w:eastAsia="zh-CN"/>
                    </w:rPr>
                    <w:t>800</w:t>
                  </w:r>
                  <w:r>
                    <w:rPr>
                      <w:rFonts w:hint="default" w:ascii="Times New Roman" w:hAnsi="Times New Roman" w:eastAsia="宋体" w:cs="Times New Roman"/>
                      <w:color w:val="auto"/>
                      <w:kern w:val="2"/>
                      <w:sz w:val="21"/>
                      <w:szCs w:val="21"/>
                      <w:lang w:bidi="ar"/>
                    </w:rPr>
                    <w:t>m</w:t>
                  </w:r>
                  <w:r>
                    <w:rPr>
                      <w:rFonts w:hint="default" w:ascii="Times New Roman" w:hAnsi="Times New Roman" w:eastAsia="Times New Roman" w:cs="Times New Roman"/>
                      <w:color w:val="auto"/>
                      <w:kern w:val="2"/>
                      <w:sz w:val="21"/>
                      <w:szCs w:val="21"/>
                      <w:vertAlign w:val="superscript"/>
                      <w:lang w:bidi="ar"/>
                    </w:rPr>
                    <w:t>2</w:t>
                  </w:r>
                  <w:r>
                    <w:rPr>
                      <w:rFonts w:hint="default" w:ascii="Times New Roman" w:hAnsi="Times New Roman" w:eastAsia="宋体" w:cs="Times New Roman"/>
                      <w:color w:val="auto"/>
                      <w:kern w:val="2"/>
                      <w:sz w:val="21"/>
                      <w:szCs w:val="21"/>
                      <w:vertAlign w:val="baseline"/>
                      <w:lang w:val="en-US" w:eastAsia="zh-CN" w:bidi="ar"/>
                    </w:rPr>
                    <w:t>，</w:t>
                  </w:r>
                  <w:r>
                    <w:rPr>
                      <w:rFonts w:hint="default" w:ascii="Times New Roman" w:hAnsi="Times New Roman" w:eastAsia="宋体" w:cs="Times New Roman"/>
                      <w:color w:val="auto"/>
                      <w:kern w:val="2"/>
                      <w:sz w:val="21"/>
                      <w:szCs w:val="21"/>
                    </w:rPr>
                    <w:t>用于周转物料。</w:t>
                  </w:r>
                </w:p>
              </w:tc>
              <w:tc>
                <w:tcPr>
                  <w:tcW w:w="59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储油间</w:t>
                  </w: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位于</w:t>
                  </w:r>
                  <w:r>
                    <w:rPr>
                      <w:rFonts w:hint="default" w:ascii="Times New Roman" w:hAnsi="Times New Roman" w:eastAsia="Times New Roman" w:cs="Times New Roman"/>
                      <w:color w:val="auto"/>
                      <w:kern w:val="2"/>
                      <w:sz w:val="21"/>
                      <w:szCs w:val="21"/>
                    </w:rPr>
                    <w:t>1</w:t>
                  </w:r>
                  <w:r>
                    <w:rPr>
                      <w:rFonts w:hint="default" w:ascii="Times New Roman" w:hAnsi="Times New Roman" w:eastAsia="Times New Roman"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厂房一楼东南角，主要储存发电机备用柴油</w:t>
                  </w:r>
                  <w:r>
                    <w:rPr>
                      <w:rFonts w:hint="default" w:ascii="Times New Roman" w:hAnsi="Times New Roman" w:eastAsia="宋体" w:cs="Times New Roman"/>
                      <w:color w:val="auto"/>
                      <w:kern w:val="2"/>
                      <w:sz w:val="21"/>
                      <w:szCs w:val="21"/>
                      <w:lang w:val="en-US" w:eastAsia="zh-CN"/>
                    </w:rPr>
                    <w:t>（约180L）</w:t>
                  </w:r>
                  <w:r>
                    <w:rPr>
                      <w:rFonts w:hint="default" w:ascii="Times New Roman" w:hAnsi="Times New Roman" w:eastAsia="宋体" w:cs="Times New Roman"/>
                      <w:color w:val="auto"/>
                      <w:kern w:val="2"/>
                      <w:sz w:val="21"/>
                      <w:szCs w:val="21"/>
                    </w:rPr>
                    <w:t>，面积6</w:t>
                  </w:r>
                  <w:r>
                    <w:rPr>
                      <w:rFonts w:hint="default" w:ascii="Times New Roman" w:hAnsi="Times New Roman" w:eastAsia="Times New Roman" w:cs="Times New Roman"/>
                      <w:color w:val="auto"/>
                      <w:kern w:val="2"/>
                      <w:sz w:val="21"/>
                      <w:szCs w:val="21"/>
                    </w:rPr>
                    <w:t>m</w:t>
                  </w:r>
                  <w:r>
                    <w:rPr>
                      <w:rFonts w:hint="default" w:ascii="Times New Roman" w:hAnsi="Times New Roman" w:eastAsia="Times New Roman"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。设置围堰并采取防渗措施。</w:t>
                  </w:r>
                </w:p>
              </w:tc>
              <w:tc>
                <w:tcPr>
                  <w:tcW w:w="59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运输</w:t>
                  </w: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厂外物料采用汽车运输，考虑社会运力，配合厂内运力解决；</w:t>
                  </w:r>
                </w:p>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厂内配送以叉车运输为主，辅以人工小车等其他运输方式。</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restart"/>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废气</w:t>
                  </w:r>
                </w:p>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治理</w:t>
                  </w: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注塑废气(G2-2)：</w:t>
                  </w:r>
                  <w:r>
                    <w:rPr>
                      <w:rFonts w:hint="default" w:ascii="Times New Roman" w:hAnsi="Times New Roman" w:eastAsia="宋体" w:cs="Times New Roman"/>
                      <w:color w:val="auto"/>
                      <w:sz w:val="21"/>
                      <w:szCs w:val="21"/>
                    </w:rPr>
                    <w:t>风机风量25000m³/h，经“</w:t>
                  </w:r>
                  <w:r>
                    <w:rPr>
                      <w:rFonts w:hint="default" w:ascii="Times New Roman" w:hAnsi="Times New Roman" w:eastAsia="宋体" w:cs="Times New Roman"/>
                      <w:color w:val="auto"/>
                      <w:kern w:val="2"/>
                      <w:sz w:val="21"/>
                      <w:szCs w:val="21"/>
                    </w:rPr>
                    <w:t>集气罩+二级</w:t>
                  </w:r>
                  <w:r>
                    <w:rPr>
                      <w:rFonts w:hint="default" w:ascii="Times New Roman" w:hAnsi="Times New Roman" w:eastAsia="宋体" w:cs="Times New Roman"/>
                      <w:color w:val="auto"/>
                      <w:sz w:val="21"/>
                      <w:szCs w:val="21"/>
                    </w:rPr>
                    <w:t>活性炭吸附”处理，由</w:t>
                  </w:r>
                  <w:r>
                    <w:rPr>
                      <w:rFonts w:hint="default" w:ascii="Times New Roman" w:hAnsi="Times New Roman" w:eastAsia="宋体" w:cs="Times New Roman"/>
                      <w:color w:val="auto"/>
                      <w:sz w:val="21"/>
                      <w:szCs w:val="21"/>
                      <w:lang w:bidi="ar"/>
                    </w:rPr>
                    <w:t>25m高</w:t>
                  </w:r>
                  <w:r>
                    <w:rPr>
                      <w:rFonts w:hint="default" w:ascii="Times New Roman" w:hAnsi="Times New Roman" w:eastAsia="Times New Roman" w:cs="Times New Roman"/>
                      <w:color w:val="auto"/>
                      <w:sz w:val="21"/>
                      <w:szCs w:val="21"/>
                    </w:rPr>
                    <w:t>DA0</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bidi="ar"/>
                    </w:rPr>
                    <w:t>排气筒排放。</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99"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解包配料投料粉尘(G3-1+G3-2)：</w:t>
                  </w:r>
                  <w:r>
                    <w:rPr>
                      <w:rFonts w:hint="default" w:ascii="Times New Roman" w:hAnsi="Times New Roman" w:eastAsia="宋体" w:cs="Times New Roman"/>
                      <w:color w:val="auto"/>
                      <w:sz w:val="21"/>
                      <w:szCs w:val="21"/>
                    </w:rPr>
                    <w:t>风机风量3200m³/h，经“</w:t>
                  </w:r>
                  <w:r>
                    <w:rPr>
                      <w:rFonts w:hint="default" w:ascii="Times New Roman" w:hAnsi="Times New Roman" w:eastAsia="宋体" w:cs="Times New Roman"/>
                      <w:color w:val="auto"/>
                      <w:kern w:val="2"/>
                      <w:sz w:val="21"/>
                      <w:szCs w:val="21"/>
                    </w:rPr>
                    <w:t>集气罩+覆膜布袋除尘</w:t>
                  </w:r>
                  <w:r>
                    <w:rPr>
                      <w:rFonts w:hint="default" w:ascii="Times New Roman" w:hAnsi="Times New Roman" w:eastAsia="宋体" w:cs="Times New Roman"/>
                      <w:color w:val="auto"/>
                      <w:sz w:val="21"/>
                      <w:szCs w:val="21"/>
                    </w:rPr>
                    <w:t>”处理，由</w:t>
                  </w:r>
                  <w:r>
                    <w:rPr>
                      <w:rFonts w:hint="default" w:ascii="Times New Roman" w:hAnsi="Times New Roman" w:eastAsia="宋体" w:cs="Times New Roman"/>
                      <w:color w:val="auto"/>
                      <w:sz w:val="21"/>
                      <w:szCs w:val="21"/>
                      <w:lang w:bidi="ar"/>
                    </w:rPr>
                    <w:t>25m高</w:t>
                  </w:r>
                  <w:r>
                    <w:rPr>
                      <w:rFonts w:hint="default" w:ascii="Times New Roman" w:hAnsi="Times New Roman" w:eastAsia="Times New Roman" w:cs="Times New Roman"/>
                      <w:color w:val="auto"/>
                      <w:sz w:val="21"/>
                      <w:szCs w:val="21"/>
                    </w:rPr>
                    <w:t>DA0</w:t>
                  </w:r>
                  <w:r>
                    <w:rPr>
                      <w:rFonts w:hint="default" w:ascii="Times New Roman" w:hAnsi="Times New Roman" w:eastAsia="宋体" w:cs="Times New Roman"/>
                      <w:color w:val="auto"/>
                      <w:sz w:val="21"/>
                      <w:szCs w:val="21"/>
                    </w:rPr>
                    <w:t>02</w:t>
                  </w:r>
                  <w:r>
                    <w:rPr>
                      <w:rFonts w:hint="default" w:ascii="Times New Roman" w:hAnsi="Times New Roman" w:eastAsia="宋体" w:cs="Times New Roman"/>
                      <w:color w:val="auto"/>
                      <w:sz w:val="21"/>
                      <w:szCs w:val="21"/>
                      <w:lang w:bidi="ar"/>
                    </w:rPr>
                    <w:t>排气筒排放。</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07"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炼胶废气(G3-3+G3-4)：</w:t>
                  </w:r>
                  <w:r>
                    <w:rPr>
                      <w:rFonts w:hint="default" w:ascii="Times New Roman" w:hAnsi="Times New Roman" w:eastAsia="宋体" w:cs="Times New Roman"/>
                      <w:color w:val="auto"/>
                      <w:sz w:val="21"/>
                      <w:szCs w:val="21"/>
                    </w:rPr>
                    <w:t>风机风量28500m³/h，经“</w:t>
                  </w:r>
                  <w:r>
                    <w:rPr>
                      <w:rFonts w:hint="default" w:ascii="Times New Roman" w:hAnsi="Times New Roman" w:eastAsia="宋体" w:cs="Times New Roman"/>
                      <w:color w:val="auto"/>
                      <w:kern w:val="2"/>
                      <w:sz w:val="21"/>
                      <w:szCs w:val="21"/>
                    </w:rPr>
                    <w:t>集气罩+布袋除尘+二级</w:t>
                  </w:r>
                  <w:r>
                    <w:rPr>
                      <w:rFonts w:hint="default" w:ascii="Times New Roman" w:hAnsi="Times New Roman" w:eastAsia="宋体" w:cs="Times New Roman"/>
                      <w:color w:val="auto"/>
                      <w:sz w:val="21"/>
                      <w:szCs w:val="21"/>
                    </w:rPr>
                    <w:t>活性炭吸附”处理，由</w:t>
                  </w:r>
                  <w:r>
                    <w:rPr>
                      <w:rFonts w:hint="default" w:ascii="Times New Roman" w:hAnsi="Times New Roman" w:eastAsia="宋体" w:cs="Times New Roman"/>
                      <w:color w:val="auto"/>
                      <w:sz w:val="21"/>
                      <w:szCs w:val="21"/>
                      <w:lang w:bidi="ar"/>
                    </w:rPr>
                    <w:t>25m高</w:t>
                  </w:r>
                  <w:r>
                    <w:rPr>
                      <w:rFonts w:hint="default" w:ascii="Times New Roman" w:hAnsi="Times New Roman" w:eastAsia="Times New Roman" w:cs="Times New Roman"/>
                      <w:color w:val="auto"/>
                      <w:sz w:val="21"/>
                      <w:szCs w:val="21"/>
                    </w:rPr>
                    <w:t>DA0</w:t>
                  </w:r>
                  <w:r>
                    <w:rPr>
                      <w:rFonts w:hint="default" w:ascii="Times New Roman" w:hAnsi="Times New Roman" w:eastAsia="宋体" w:cs="Times New Roman"/>
                      <w:color w:val="auto"/>
                      <w:sz w:val="21"/>
                      <w:szCs w:val="21"/>
                    </w:rPr>
                    <w:t>03</w:t>
                  </w:r>
                  <w:r>
                    <w:rPr>
                      <w:rFonts w:hint="default" w:ascii="Times New Roman" w:hAnsi="Times New Roman" w:eastAsia="宋体" w:cs="Times New Roman"/>
                      <w:color w:val="auto"/>
                      <w:sz w:val="21"/>
                      <w:szCs w:val="21"/>
                      <w:lang w:bidi="ar"/>
                    </w:rPr>
                    <w:t>排气筒排放。</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成型废气(G3-5+G3-6)：</w:t>
                  </w:r>
                  <w:r>
                    <w:rPr>
                      <w:rFonts w:hint="default" w:ascii="Times New Roman" w:hAnsi="Times New Roman" w:eastAsia="宋体" w:cs="Times New Roman"/>
                      <w:color w:val="auto"/>
                      <w:sz w:val="21"/>
                      <w:szCs w:val="21"/>
                    </w:rPr>
                    <w:t>风机风量45000m³/h，经“</w:t>
                  </w:r>
                  <w:r>
                    <w:rPr>
                      <w:rFonts w:hint="default" w:ascii="Times New Roman" w:hAnsi="Times New Roman" w:eastAsia="宋体" w:cs="Times New Roman"/>
                      <w:color w:val="auto"/>
                      <w:kern w:val="2"/>
                      <w:sz w:val="21"/>
                      <w:szCs w:val="21"/>
                    </w:rPr>
                    <w:t>集气罩+二级</w:t>
                  </w:r>
                  <w:r>
                    <w:rPr>
                      <w:rFonts w:hint="default" w:ascii="Times New Roman" w:hAnsi="Times New Roman" w:eastAsia="宋体" w:cs="Times New Roman"/>
                      <w:color w:val="auto"/>
                      <w:sz w:val="21"/>
                      <w:szCs w:val="21"/>
                    </w:rPr>
                    <w:t>活性炭吸附”处理，由</w:t>
                  </w:r>
                  <w:r>
                    <w:rPr>
                      <w:rFonts w:hint="default" w:ascii="Times New Roman" w:hAnsi="Times New Roman" w:eastAsia="宋体" w:cs="Times New Roman"/>
                      <w:color w:val="auto"/>
                      <w:sz w:val="21"/>
                      <w:szCs w:val="21"/>
                      <w:lang w:bidi="ar"/>
                    </w:rPr>
                    <w:t>25m高</w:t>
                  </w:r>
                  <w:r>
                    <w:rPr>
                      <w:rFonts w:hint="default" w:ascii="Times New Roman" w:hAnsi="Times New Roman" w:eastAsia="Times New Roman" w:cs="Times New Roman"/>
                      <w:color w:val="auto"/>
                      <w:sz w:val="21"/>
                      <w:szCs w:val="21"/>
                    </w:rPr>
                    <w:t>DA0</w:t>
                  </w:r>
                  <w:r>
                    <w:rPr>
                      <w:rFonts w:hint="default" w:ascii="Times New Roman" w:hAnsi="Times New Roman" w:eastAsia="宋体" w:cs="Times New Roman"/>
                      <w:color w:val="auto"/>
                      <w:sz w:val="21"/>
                      <w:szCs w:val="21"/>
                    </w:rPr>
                    <w:t>04</w:t>
                  </w:r>
                  <w:r>
                    <w:rPr>
                      <w:rFonts w:hint="default" w:ascii="Times New Roman" w:hAnsi="Times New Roman" w:eastAsia="宋体" w:cs="Times New Roman"/>
                      <w:color w:val="auto"/>
                      <w:sz w:val="21"/>
                      <w:szCs w:val="21"/>
                      <w:lang w:bidi="ar"/>
                    </w:rPr>
                    <w:t>排气筒排放。</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玻璃纤维粉尘（G1-1--G1-4）、玻璃/陶瓷纤维粉尘G1-5：</w:t>
                  </w:r>
                  <w:r>
                    <w:rPr>
                      <w:rFonts w:hint="default" w:ascii="Times New Roman" w:hAnsi="Times New Roman" w:eastAsia="宋体" w:cs="Times New Roman"/>
                      <w:color w:val="auto"/>
                      <w:sz w:val="21"/>
                      <w:szCs w:val="21"/>
                    </w:rPr>
                    <w:t>风机风量</w:t>
                  </w:r>
                  <w:r>
                    <w:rPr>
                      <w:rFonts w:hint="default" w:ascii="Times New Roman" w:hAnsi="Times New Roman" w:eastAsia="宋体" w:cs="Times New Roman"/>
                      <w:color w:val="auto"/>
                      <w:sz w:val="21"/>
                      <w:szCs w:val="21"/>
                      <w:lang w:val="en-US" w:eastAsia="zh-CN"/>
                    </w:rPr>
                    <w:t>13</w:t>
                  </w:r>
                  <w:r>
                    <w:rPr>
                      <w:rFonts w:hint="default" w:ascii="Times New Roman" w:hAnsi="Times New Roman" w:eastAsia="宋体" w:cs="Times New Roman"/>
                      <w:color w:val="auto"/>
                      <w:sz w:val="21"/>
                      <w:szCs w:val="21"/>
                    </w:rPr>
                    <w:t>000m³/h，经“</w:t>
                  </w:r>
                  <w:r>
                    <w:rPr>
                      <w:rFonts w:hint="default" w:ascii="Times New Roman" w:hAnsi="Times New Roman" w:eastAsia="宋体" w:cs="Times New Roman"/>
                      <w:color w:val="auto"/>
                      <w:kern w:val="2"/>
                      <w:sz w:val="21"/>
                      <w:szCs w:val="21"/>
                    </w:rPr>
                    <w:t>集气罩+覆膜布袋除尘</w:t>
                  </w:r>
                  <w:r>
                    <w:rPr>
                      <w:rFonts w:hint="default" w:ascii="Times New Roman" w:hAnsi="Times New Roman" w:eastAsia="宋体" w:cs="Times New Roman"/>
                      <w:color w:val="auto"/>
                      <w:sz w:val="21"/>
                      <w:szCs w:val="21"/>
                    </w:rPr>
                    <w:t>”处理，由</w:t>
                  </w:r>
                  <w:r>
                    <w:rPr>
                      <w:rFonts w:hint="default" w:ascii="Times New Roman" w:hAnsi="Times New Roman" w:eastAsia="宋体" w:cs="Times New Roman"/>
                      <w:color w:val="auto"/>
                      <w:sz w:val="21"/>
                      <w:szCs w:val="21"/>
                      <w:lang w:bidi="ar"/>
                    </w:rPr>
                    <w:t>25m高</w:t>
                  </w:r>
                  <w:r>
                    <w:rPr>
                      <w:rFonts w:hint="default" w:ascii="Times New Roman" w:hAnsi="Times New Roman" w:eastAsia="Times New Roman" w:cs="Times New Roman"/>
                      <w:color w:val="auto"/>
                      <w:sz w:val="21"/>
                      <w:szCs w:val="21"/>
                    </w:rPr>
                    <w:t>DA0</w:t>
                  </w: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bidi="ar"/>
                    </w:rPr>
                    <w:t>排气筒</w:t>
                  </w:r>
                  <w:r>
                    <w:rPr>
                      <w:rFonts w:hint="default" w:ascii="Times New Roman" w:hAnsi="Times New Roman" w:eastAsia="宋体" w:cs="Times New Roman"/>
                      <w:color w:val="auto"/>
                      <w:sz w:val="21"/>
                      <w:szCs w:val="21"/>
                      <w:lang w:eastAsia="zh-CN" w:bidi="ar"/>
                    </w:rPr>
                    <w:t>排</w:t>
                  </w:r>
                  <w:r>
                    <w:rPr>
                      <w:rFonts w:hint="default" w:ascii="Times New Roman" w:hAnsi="Times New Roman" w:eastAsia="宋体" w:cs="Times New Roman"/>
                      <w:color w:val="auto"/>
                      <w:sz w:val="21"/>
                      <w:szCs w:val="21"/>
                      <w:lang w:bidi="ar"/>
                    </w:rPr>
                    <w:t>放。</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lang w:bidi="ar"/>
                    </w:rPr>
                    <w:t>食堂</w:t>
                  </w:r>
                  <w:r>
                    <w:rPr>
                      <w:rFonts w:hint="default" w:ascii="Times New Roman" w:hAnsi="Times New Roman" w:eastAsia="宋体" w:cs="Times New Roman"/>
                      <w:color w:val="auto"/>
                      <w:kern w:val="2"/>
                      <w:sz w:val="21"/>
                      <w:szCs w:val="21"/>
                    </w:rPr>
                    <w:t>油烟：</w:t>
                  </w:r>
                  <w:r>
                    <w:rPr>
                      <w:rFonts w:hint="default" w:ascii="Times New Roman" w:hAnsi="Times New Roman" w:eastAsia="宋体" w:cs="Times New Roman"/>
                      <w:color w:val="auto"/>
                      <w:kern w:val="2"/>
                      <w:sz w:val="21"/>
                      <w:szCs w:val="21"/>
                      <w:lang w:bidi="ar"/>
                    </w:rPr>
                    <w:t>经油烟净化器处理后由专用管道引至屋顶排放</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restart"/>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污水</w:t>
                  </w:r>
                </w:p>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rPr>
                    <w:t>处理</w:t>
                  </w: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地面清洁废水和生活污水一起通过污水管道经生化池(</w:t>
                  </w:r>
                  <w:r>
                    <w:rPr>
                      <w:rFonts w:hint="default" w:ascii="Times New Roman" w:hAnsi="Times New Roman" w:eastAsia="宋体" w:cs="Times New Roman"/>
                      <w:color w:val="auto"/>
                      <w:kern w:val="2"/>
                      <w:sz w:val="21"/>
                      <w:szCs w:val="21"/>
                    </w:rPr>
                    <w:t>处理规模不小于60m³/d</w:t>
                  </w:r>
                  <w:r>
                    <w:rPr>
                      <w:rFonts w:hint="default" w:ascii="Times New Roman" w:hAnsi="Times New Roman" w:eastAsia="宋体" w:cs="Times New Roman"/>
                      <w:color w:val="auto"/>
                      <w:sz w:val="21"/>
                      <w:szCs w:val="21"/>
                    </w:rPr>
                    <w:t>)处理后排入市政污水管网，经市政污水管网排入园区污水处理厂。</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continue"/>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食堂废水经隔油池(处理规模不小于20m³/d)预处理后与生活污水一并经新建生化池处理后排入市政污水管网，经市政污水管网排入园区污水处理厂。</w:t>
                  </w:r>
                </w:p>
              </w:tc>
              <w:tc>
                <w:tcPr>
                  <w:tcW w:w="59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噪声</w:t>
                  </w:r>
                </w:p>
                <w:p>
                  <w:pPr>
                    <w:spacing w:after="0" w:line="30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控制</w:t>
                  </w:r>
                </w:p>
              </w:tc>
              <w:tc>
                <w:tcPr>
                  <w:tcW w:w="7464" w:type="dxa"/>
                  <w:tcBorders>
                    <w:tl2br w:val="nil"/>
                    <w:tr2bl w:val="nil"/>
                  </w:tcBorders>
                  <w:vAlign w:val="center"/>
                </w:tcPr>
                <w:p>
                  <w:pPr>
                    <w:spacing w:after="0" w:line="300" w:lineRule="exact"/>
                    <w:ind w:firstLine="420" w:firstLineChars="20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设备基础隔振减振、建筑隔声，选用低噪声设备，合理布局，加强设备维保。</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restart"/>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固废暂存及处置</w:t>
                  </w:r>
                </w:p>
              </w:tc>
              <w:tc>
                <w:tcPr>
                  <w:tcW w:w="7464" w:type="dxa"/>
                  <w:tcBorders>
                    <w:tl2br w:val="nil"/>
                    <w:tr2bl w:val="nil"/>
                  </w:tcBorders>
                  <w:vAlign w:val="center"/>
                </w:tcPr>
                <w:p>
                  <w:pPr>
                    <w:spacing w:after="0" w:line="300" w:lineRule="exact"/>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1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sz w:val="21"/>
                      <w:szCs w:val="21"/>
                    </w:rPr>
                    <w:t>⑴</w:t>
                  </w:r>
                  <w:r>
                    <w:rPr>
                      <w:rFonts w:hint="default" w:ascii="Times New Roman" w:hAnsi="Times New Roman" w:eastAsia="Times New Roman" w:cs="Times New Roman"/>
                      <w:color w:val="auto"/>
                      <w:sz w:val="21"/>
                      <w:szCs w:val="21"/>
                    </w:rPr>
                    <w:fldChar w:fldCharType="end"/>
                  </w:r>
                  <w:r>
                    <w:rPr>
                      <w:rFonts w:hint="default" w:ascii="Times New Roman" w:hAnsi="Times New Roman" w:eastAsia="宋体" w:cs="Times New Roman"/>
                      <w:color w:val="auto"/>
                      <w:kern w:val="2"/>
                      <w:sz w:val="21"/>
                      <w:szCs w:val="21"/>
                    </w:rPr>
                    <w:t>危险废物：危险废物暂存间采取防腐防渗措施，符合“六防”要求，位于厂区东北侧，面积10㎡；分类分区暂存危险废物，液体类危废桶装收集后置于托盘内，托盘有效容积不小于其存放单桶液体最大存放量；定期交由有危废资质单位处置，实行危废联单制度。</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rPr>
                  </w:pPr>
                </w:p>
              </w:tc>
              <w:tc>
                <w:tcPr>
                  <w:tcW w:w="7464" w:type="dxa"/>
                  <w:tcBorders>
                    <w:tl2br w:val="nil"/>
                    <w:tr2bl w:val="nil"/>
                  </w:tcBorders>
                  <w:vAlign w:val="center"/>
                </w:tcPr>
                <w:p>
                  <w:pPr>
                    <w:spacing w:after="0" w:line="300" w:lineRule="exact"/>
                    <w:ind w:firstLine="420" w:firstLineChars="200"/>
                    <w:jc w:val="both"/>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2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sz w:val="21"/>
                      <w:szCs w:val="21"/>
                    </w:rPr>
                    <w:t>⑵</w:t>
                  </w:r>
                  <w:r>
                    <w:rPr>
                      <w:rFonts w:hint="default" w:ascii="Times New Roman" w:hAnsi="Times New Roman" w:eastAsia="Times New Roman" w:cs="Times New Roman"/>
                      <w:color w:val="auto"/>
                      <w:sz w:val="21"/>
                      <w:szCs w:val="21"/>
                    </w:rPr>
                    <w:fldChar w:fldCharType="end"/>
                  </w:r>
                  <w:r>
                    <w:rPr>
                      <w:rFonts w:hint="default" w:ascii="Times New Roman" w:hAnsi="Times New Roman" w:eastAsia="宋体" w:cs="Times New Roman"/>
                      <w:color w:val="auto"/>
                      <w:kern w:val="2"/>
                      <w:sz w:val="21"/>
                      <w:szCs w:val="21"/>
                    </w:rPr>
                    <w:t>一般工业固废：规范建设一般固废暂存间，位于1</w:t>
                  </w:r>
                  <w:r>
                    <w:rPr>
                      <w:rFonts w:hint="default" w:ascii="Times New Roman" w:hAnsi="Times New Roman" w:eastAsia="Times New Roman" w:cs="Times New Roman"/>
                      <w:color w:val="auto"/>
                      <w:kern w:val="2"/>
                      <w:sz w:val="21"/>
                      <w:szCs w:val="21"/>
                      <w:vertAlign w:val="superscript"/>
                    </w:rPr>
                    <w:t>#</w:t>
                  </w:r>
                  <w:r>
                    <w:rPr>
                      <w:rFonts w:hint="default" w:ascii="Times New Roman" w:hAnsi="Times New Roman" w:eastAsia="宋体" w:cs="Times New Roman"/>
                      <w:color w:val="auto"/>
                      <w:kern w:val="2"/>
                      <w:sz w:val="21"/>
                      <w:szCs w:val="21"/>
                    </w:rPr>
                    <w:t>厂房1F东北侧，面积10㎡；分类分区暂存，交物资回收公司综合处置或交一般工业固废处置场处置</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rPr>
                  </w:pPr>
                </w:p>
              </w:tc>
              <w:tc>
                <w:tcPr>
                  <w:tcW w:w="7464" w:type="dxa"/>
                  <w:tcBorders>
                    <w:tl2br w:val="nil"/>
                    <w:tr2bl w:val="nil"/>
                  </w:tcBorders>
                  <w:vAlign w:val="center"/>
                </w:tcPr>
                <w:p>
                  <w:pPr>
                    <w:spacing w:after="0" w:line="300" w:lineRule="exact"/>
                    <w:ind w:firstLine="420" w:firstLineChars="200"/>
                    <w:jc w:val="both"/>
                    <w:rPr>
                      <w:rFonts w:hint="default" w:ascii="Times New Roman" w:hAnsi="Times New Roman" w:eastAsia="宋体"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3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kern w:val="2"/>
                      <w:sz w:val="21"/>
                      <w:szCs w:val="21"/>
                    </w:rPr>
                    <w:t>⑶</w:t>
                  </w:r>
                  <w:r>
                    <w:rPr>
                      <w:rFonts w:hint="default" w:ascii="Times New Roman" w:hAnsi="Times New Roman" w:eastAsia="Times New Roman" w:cs="Times New Roman"/>
                      <w:color w:val="auto"/>
                      <w:kern w:val="2"/>
                      <w:sz w:val="21"/>
                      <w:szCs w:val="21"/>
                    </w:rPr>
                    <w:fldChar w:fldCharType="end"/>
                  </w:r>
                  <w:r>
                    <w:rPr>
                      <w:rFonts w:hint="default" w:ascii="Times New Roman" w:hAnsi="Times New Roman" w:eastAsia="宋体" w:cs="Times New Roman"/>
                      <w:color w:val="auto"/>
                      <w:kern w:val="2"/>
                      <w:sz w:val="21"/>
                      <w:szCs w:val="21"/>
                    </w:rPr>
                    <w:t>生活垃圾：</w:t>
                  </w:r>
                  <w:r>
                    <w:rPr>
                      <w:rFonts w:hint="default" w:ascii="Times New Roman" w:hAnsi="Times New Roman" w:eastAsia="Times New Roman" w:cs="Times New Roman"/>
                      <w:color w:val="auto"/>
                      <w:kern w:val="2"/>
                      <w:sz w:val="21"/>
                      <w:szCs w:val="21"/>
                      <w:lang w:bidi="ar"/>
                    </w:rPr>
                    <w:t>2</w:t>
                  </w:r>
                  <w:r>
                    <w:rPr>
                      <w:rFonts w:hint="default" w:ascii="Times New Roman" w:hAnsi="Times New Roman" w:eastAsia="宋体" w:cs="Times New Roman"/>
                      <w:color w:val="auto"/>
                      <w:kern w:val="2"/>
                      <w:sz w:val="21"/>
                      <w:szCs w:val="21"/>
                      <w:vertAlign w:val="superscript"/>
                      <w:lang w:bidi="ar"/>
                    </w:rPr>
                    <w:t>＃</w:t>
                  </w:r>
                  <w:r>
                    <w:rPr>
                      <w:rFonts w:hint="default" w:ascii="Times New Roman" w:hAnsi="Times New Roman" w:eastAsia="宋体" w:cs="Times New Roman"/>
                      <w:color w:val="auto"/>
                      <w:kern w:val="2"/>
                      <w:sz w:val="21"/>
                      <w:szCs w:val="21"/>
                      <w:lang w:bidi="ar"/>
                    </w:rPr>
                    <w:t>宿舍楼一楼南侧设置</w:t>
                  </w:r>
                  <w:r>
                    <w:rPr>
                      <w:rFonts w:hint="default" w:ascii="Times New Roman" w:hAnsi="Times New Roman" w:eastAsia="宋体" w:cs="Times New Roman"/>
                      <w:color w:val="auto"/>
                      <w:kern w:val="2"/>
                      <w:sz w:val="21"/>
                      <w:szCs w:val="21"/>
                    </w:rPr>
                    <w:t>垃圾收集间，交由环卫部门处置。</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0" w:hRule="atLeast"/>
                <w:jc w:val="center"/>
              </w:trPr>
              <w:tc>
                <w:tcPr>
                  <w:tcW w:w="441"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752" w:type="dxa"/>
                  <w:vMerge w:val="continue"/>
                  <w:tcBorders>
                    <w:tl2br w:val="nil"/>
                    <w:tr2bl w:val="nil"/>
                  </w:tcBorders>
                </w:tcPr>
                <w:p>
                  <w:pPr>
                    <w:spacing w:after="0" w:line="300" w:lineRule="exact"/>
                    <w:jc w:val="center"/>
                    <w:rPr>
                      <w:rFonts w:hint="default" w:ascii="Times New Roman" w:hAnsi="Times New Roman" w:eastAsia="Times New Roman" w:cs="Times New Roman"/>
                      <w:color w:val="auto"/>
                      <w:kern w:val="2"/>
                      <w:sz w:val="21"/>
                      <w:szCs w:val="21"/>
                    </w:rPr>
                  </w:pPr>
                </w:p>
              </w:tc>
              <w:tc>
                <w:tcPr>
                  <w:tcW w:w="7464" w:type="dxa"/>
                  <w:tcBorders>
                    <w:tl2br w:val="nil"/>
                    <w:tr2bl w:val="nil"/>
                  </w:tcBorders>
                  <w:vAlign w:val="center"/>
                </w:tcPr>
                <w:p>
                  <w:pPr>
                    <w:spacing w:after="0" w:line="300" w:lineRule="exact"/>
                    <w:ind w:firstLine="420" w:firstLineChars="200"/>
                    <w:jc w:val="both"/>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fldChar w:fldCharType="begin"/>
                  </w:r>
                  <w:r>
                    <w:rPr>
                      <w:rFonts w:hint="default" w:ascii="Times New Roman" w:hAnsi="Times New Roman" w:eastAsia="Times New Roman" w:cs="Times New Roman"/>
                      <w:color w:val="auto"/>
                      <w:kern w:val="2"/>
                      <w:sz w:val="21"/>
                      <w:szCs w:val="21"/>
                    </w:rPr>
                    <w:instrText xml:space="preserve"> = 4 \* GB2 \* MERGEFORMAT </w:instrText>
                  </w:r>
                  <w:r>
                    <w:rPr>
                      <w:rFonts w:hint="default" w:ascii="Times New Roman" w:hAnsi="Times New Roman" w:eastAsia="Times New Roman" w:cs="Times New Roman"/>
                      <w:color w:val="auto"/>
                      <w:kern w:val="2"/>
                      <w:sz w:val="21"/>
                      <w:szCs w:val="21"/>
                    </w:rPr>
                    <w:fldChar w:fldCharType="separate"/>
                  </w:r>
                  <w:r>
                    <w:rPr>
                      <w:rFonts w:hint="default" w:ascii="Times New Roman" w:hAnsi="Times New Roman" w:eastAsia="Times New Roman" w:cs="Times New Roman"/>
                      <w:color w:val="auto"/>
                      <w:kern w:val="2"/>
                      <w:sz w:val="21"/>
                      <w:szCs w:val="21"/>
                    </w:rPr>
                    <w:t>⑷</w:t>
                  </w:r>
                  <w:r>
                    <w:rPr>
                      <w:rFonts w:hint="default" w:ascii="Times New Roman" w:hAnsi="Times New Roman" w:eastAsia="Times New Roman" w:cs="Times New Roman"/>
                      <w:color w:val="auto"/>
                      <w:kern w:val="2"/>
                      <w:sz w:val="21"/>
                      <w:szCs w:val="21"/>
                    </w:rPr>
                    <w:fldChar w:fldCharType="end"/>
                  </w:r>
                  <w:r>
                    <w:rPr>
                      <w:rFonts w:hint="default" w:ascii="Times New Roman" w:hAnsi="Times New Roman" w:eastAsia="宋体" w:cs="Times New Roman"/>
                      <w:color w:val="auto"/>
                      <w:kern w:val="2"/>
                      <w:sz w:val="21"/>
                      <w:szCs w:val="21"/>
                    </w:rPr>
                    <w:t>餐厨垃圾：厨房内专用桶（有盖）收集，交由环卫部门处置</w:t>
                  </w:r>
                </w:p>
              </w:tc>
              <w:tc>
                <w:tcPr>
                  <w:tcW w:w="59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新建</w:t>
                  </w:r>
                </w:p>
              </w:tc>
            </w:tr>
          </w:tbl>
          <w:p>
            <w:pPr>
              <w:spacing w:after="0" w:line="400" w:lineRule="exact"/>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color w:val="auto"/>
                <w:kern w:val="2"/>
                <w:sz w:val="24"/>
                <w:szCs w:val="24"/>
              </w:rPr>
              <w:t>2.1.6主要生产设备</w:t>
            </w:r>
          </w:p>
          <w:p>
            <w:pPr>
              <w:spacing w:after="0" w:line="40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本项目主要生产设备</w:t>
            </w:r>
            <w:r>
              <w:rPr>
                <w:rFonts w:hint="default" w:ascii="Times New Roman" w:hAnsi="Times New Roman" w:eastAsia="宋体" w:cs="Times New Roman"/>
                <w:color w:val="auto"/>
                <w:kern w:val="2"/>
                <w:sz w:val="24"/>
                <w:szCs w:val="24"/>
                <w:lang w:eastAsia="zh-CN"/>
              </w:rPr>
              <w:t>均外购，</w:t>
            </w:r>
            <w:r>
              <w:rPr>
                <w:rFonts w:hint="default" w:ascii="Times New Roman" w:hAnsi="Times New Roman" w:eastAsia="宋体" w:cs="Times New Roman"/>
                <w:color w:val="auto"/>
                <w:kern w:val="2"/>
                <w:sz w:val="24"/>
                <w:szCs w:val="24"/>
              </w:rPr>
              <w:t>见表2.1-3。</w:t>
            </w:r>
          </w:p>
          <w:p>
            <w:pPr>
              <w:spacing w:after="0" w:line="400" w:lineRule="exact"/>
              <w:jc w:val="center"/>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表2.1-3  主要生产设备</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976"/>
              <w:gridCol w:w="1917"/>
              <w:gridCol w:w="817"/>
              <w:gridCol w:w="1083"/>
              <w:gridCol w:w="23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111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生产线/配套设施</w:t>
                  </w: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设备名称</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规格型号</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单位</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数量</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工序/用途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隔热垫</w:t>
                  </w:r>
                </w:p>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生产线</w:t>
                  </w: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裁断机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AS-TP-500</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4</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裁切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热风循环烘箱</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PL</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定型处理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织网机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封口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精开松机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4500×2500×1200</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原料开松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混棉一体机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9000×2500×2200</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混料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梳理机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3800×2600×2700</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短切纱梳理成薄毡网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预刺机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速（50HZ）</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针刺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下刺机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中速（50HZ）</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膨化机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膨化处理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成卷机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4750×2000×800</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针刺毡切边、收卷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回用料机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1200×600×600</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边角料回用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振动刀切割机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3000×5000</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裁切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自动真空平板机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P25VCF-2RT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压合成型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吸塑包装封口机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贴合pet膜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线束</w:t>
                  </w:r>
                </w:p>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生产线</w:t>
                  </w: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全自动端子压着机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BZW-3.0+C</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3</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压合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屏蔽线裁线机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裁线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裁管机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波纹管</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w:t>
                  </w:r>
                </w:p>
              </w:tc>
              <w:tc>
                <w:tcPr>
                  <w:tcW w:w="234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裁切、剥线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剥线机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裁线机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1300-L</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5</w:t>
                  </w:r>
                </w:p>
              </w:tc>
              <w:tc>
                <w:tcPr>
                  <w:tcW w:w="234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端子机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14</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流水线</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条</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4</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导通仪</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套</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12</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通电检测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超声波焊接机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BN2030A</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套</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焊接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绞线机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 xml:space="preserve"> </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剥皮机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315型</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导通台</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2.0×0.8×0.8</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通电检测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车窗升降机生产线</w:t>
                  </w: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组装线</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车窗升降机组装</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条</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16</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旋铆机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铆接</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3</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TOX压联</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压联</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焊接机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焊接</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4</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焊接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激光打码</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打码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注塑件</w:t>
                  </w:r>
                </w:p>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生产线</w:t>
                  </w: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卧式注塑机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12</w:t>
                  </w:r>
                </w:p>
              </w:tc>
              <w:tc>
                <w:tcPr>
                  <w:tcW w:w="234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注塑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立式注塑机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w:t>
                  </w:r>
                </w:p>
              </w:tc>
              <w:tc>
                <w:tcPr>
                  <w:tcW w:w="234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粉料机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6</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边角料粉料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连接器密封件</w:t>
                  </w:r>
                </w:p>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生产</w:t>
                  </w: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配料输送系统</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套</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配料输送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捏炼机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75升</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炼胶-密炼</w:t>
                  </w:r>
                </w:p>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捏炼机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55升</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开炼机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18吋</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炼胶-开炼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开炼机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16吋</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4</w:t>
                  </w:r>
                </w:p>
              </w:tc>
              <w:tc>
                <w:tcPr>
                  <w:tcW w:w="234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注射成型机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300吨</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24</w:t>
                  </w:r>
                </w:p>
              </w:tc>
              <w:tc>
                <w:tcPr>
                  <w:tcW w:w="234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成型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平板成型机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100吨</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组</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14</w:t>
                  </w:r>
                </w:p>
              </w:tc>
              <w:tc>
                <w:tcPr>
                  <w:tcW w:w="234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平板成型机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250吨</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组</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12</w:t>
                  </w:r>
                </w:p>
              </w:tc>
              <w:tc>
                <w:tcPr>
                  <w:tcW w:w="234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切料机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切料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拆边机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3</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拆边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烘箱</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6</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成型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11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辅助工序</w:t>
                  </w: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空压机</w:t>
                  </w:r>
                </w:p>
              </w:tc>
              <w:tc>
                <w:tcPr>
                  <w:tcW w:w="1917" w:type="dxa"/>
                  <w:tcBorders>
                    <w:tl2br w:val="nil"/>
                    <w:tr2bl w:val="nil"/>
                  </w:tcBorders>
                  <w:vAlign w:val="center"/>
                </w:tcPr>
                <w:p>
                  <w:pPr>
                    <w:pStyle w:val="90"/>
                    <w:spacing w:line="240" w:lineRule="exact"/>
                    <w:rPr>
                      <w:rFonts w:hint="default" w:ascii="Times New Roman" w:hAnsi="Times New Roman" w:eastAsia="宋体" w:cs="Times New Roman"/>
                      <w:color w:val="auto"/>
                      <w:lang w:val="en-US" w:eastAsia="zh-CN"/>
                    </w:rPr>
                  </w:pPr>
                  <w:r>
                    <w:rPr>
                      <w:rFonts w:hint="default" w:ascii="Times New Roman" w:hAnsi="Times New Roman" w:cs="Times New Roman"/>
                      <w:color w:val="auto"/>
                    </w:rPr>
                    <w:t>75KW</w:t>
                  </w:r>
                  <w:r>
                    <w:rPr>
                      <w:rFonts w:hint="default" w:ascii="Times New Roman" w:hAnsi="Times New Roman" w:cs="Times New Roman"/>
                      <w:color w:val="auto"/>
                      <w:lang w:val="en-US" w:eastAsia="zh-CN"/>
                    </w:rPr>
                    <w:t>,15.2m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/min</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vMerge w:val="restart"/>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提供压缩空气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空压机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55KW</w:t>
                  </w:r>
                  <w:r>
                    <w:rPr>
                      <w:rFonts w:hint="default" w:ascii="Times New Roman" w:hAnsi="Times New Roman" w:cs="Times New Roman"/>
                      <w:color w:val="auto"/>
                      <w:lang w:val="en-US" w:eastAsia="zh-CN"/>
                    </w:rPr>
                    <w:t>,10m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/min</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vMerge w:val="continue"/>
                  <w:tcBorders>
                    <w:tl2br w:val="nil"/>
                    <w:tr2bl w:val="nil"/>
                  </w:tcBorders>
                  <w:vAlign w:val="center"/>
                </w:tcPr>
                <w:p>
                  <w:pPr>
                    <w:pStyle w:val="94"/>
                    <w:spacing w:line="240" w:lineRule="exact"/>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发电机</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约400KW</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台</w:t>
                  </w: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发电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11" w:type="dxa"/>
                  <w:vMerge w:val="continue"/>
                  <w:tcBorders>
                    <w:tl2br w:val="nil"/>
                    <w:tr2bl w:val="nil"/>
                  </w:tcBorders>
                  <w:vAlign w:val="center"/>
                </w:tcPr>
                <w:p>
                  <w:pPr>
                    <w:pStyle w:val="90"/>
                    <w:spacing w:line="240" w:lineRule="exact"/>
                    <w:rPr>
                      <w:rFonts w:hint="default" w:ascii="Times New Roman" w:hAnsi="Times New Roman" w:cs="Times New Roman"/>
                      <w:color w:val="auto"/>
                    </w:rPr>
                  </w:pPr>
                </w:p>
              </w:tc>
              <w:tc>
                <w:tcPr>
                  <w:tcW w:w="1976"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循环冷却塔</w:t>
                  </w:r>
                </w:p>
              </w:tc>
              <w:tc>
                <w:tcPr>
                  <w:tcW w:w="1917"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18</w:t>
                  </w:r>
                  <w:r>
                    <w:rPr>
                      <w:rFonts w:hint="default" w:ascii="Times New Roman" w:hAnsi="Times New Roman" w:cs="Times New Roman"/>
                      <w:color w:val="auto"/>
                      <w:kern w:val="2"/>
                      <w:szCs w:val="21"/>
                    </w:rPr>
                    <w:t>m</w:t>
                  </w:r>
                  <w:r>
                    <w:rPr>
                      <w:rFonts w:hint="default" w:ascii="Times New Roman" w:hAnsi="Times New Roman" w:cs="Times New Roman"/>
                      <w:color w:val="auto"/>
                      <w:kern w:val="2"/>
                      <w:szCs w:val="21"/>
                      <w:vertAlign w:val="superscript"/>
                      <w:lang w:val="en-US" w:eastAsia="zh-CN"/>
                    </w:rPr>
                    <w:t>3</w:t>
                  </w:r>
                  <w:r>
                    <w:rPr>
                      <w:rFonts w:hint="default" w:ascii="Times New Roman" w:hAnsi="Times New Roman" w:cs="Times New Roman"/>
                      <w:color w:val="auto"/>
                      <w:kern w:val="2"/>
                      <w:szCs w:val="21"/>
                    </w:rPr>
                    <w:t>/h</w:t>
                  </w:r>
                </w:p>
              </w:tc>
              <w:tc>
                <w:tcPr>
                  <w:tcW w:w="817" w:type="dxa"/>
                  <w:tcBorders>
                    <w:tl2br w:val="nil"/>
                    <w:tr2bl w:val="nil"/>
                  </w:tcBorders>
                  <w:vAlign w:val="center"/>
                </w:tcPr>
                <w:p>
                  <w:pPr>
                    <w:pStyle w:val="90"/>
                    <w:spacing w:line="240" w:lineRule="exact"/>
                    <w:rPr>
                      <w:rFonts w:hint="default" w:ascii="Times New Roman" w:hAnsi="Times New Roman" w:cs="Times New Roman"/>
                      <w:color w:val="auto"/>
                    </w:rPr>
                  </w:pPr>
                </w:p>
              </w:tc>
              <w:tc>
                <w:tcPr>
                  <w:tcW w:w="1083"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2</w:t>
                  </w:r>
                </w:p>
              </w:tc>
              <w:tc>
                <w:tcPr>
                  <w:tcW w:w="2341" w:type="dxa"/>
                  <w:tcBorders>
                    <w:tl2br w:val="nil"/>
                    <w:tr2bl w:val="nil"/>
                  </w:tcBorders>
                  <w:vAlign w:val="center"/>
                </w:tcPr>
                <w:p>
                  <w:pPr>
                    <w:pStyle w:val="90"/>
                    <w:spacing w:line="240" w:lineRule="exact"/>
                    <w:rPr>
                      <w:rFonts w:hint="default" w:ascii="Times New Roman" w:hAnsi="Times New Roman" w:cs="Times New Roman"/>
                      <w:color w:val="auto"/>
                    </w:rPr>
                  </w:pPr>
                  <w:r>
                    <w:rPr>
                      <w:rFonts w:hint="default" w:ascii="Times New Roman" w:hAnsi="Times New Roman" w:cs="Times New Roman"/>
                      <w:color w:val="auto"/>
                    </w:rPr>
                    <w:t>循环冷却水</w:t>
                  </w:r>
                </w:p>
              </w:tc>
            </w:tr>
          </w:tbl>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由表2.1-6可知，本项目主要生产设备不属于《产业结构调整指导目录（2019年本）》、《产业结构调整指导目录（2024年本）》和《高耗能落后机电设备（产品）淘汰目录（第一批、第二批、第三批、第四批）》中明令禁止使用的淘汰、落后生产装备。经核算，本项目配备的生产设备与生产产能是匹配的。</w:t>
            </w:r>
          </w:p>
          <w:p>
            <w:pPr>
              <w:spacing w:after="0" w:line="420" w:lineRule="exact"/>
              <w:rPr>
                <w:rFonts w:hint="default" w:ascii="Times New Roman" w:hAnsi="Times New Roman" w:eastAsia="Times New Roman" w:cs="Times New Roman"/>
                <w:color w:val="auto"/>
                <w:kern w:val="2"/>
                <w:sz w:val="24"/>
                <w:szCs w:val="24"/>
              </w:rPr>
            </w:pPr>
            <w:r>
              <w:rPr>
                <w:rFonts w:hint="default" w:ascii="Times New Roman" w:hAnsi="Times New Roman" w:eastAsia="Times New Roman" w:cs="Times New Roman"/>
                <w:b/>
                <w:color w:val="auto"/>
                <w:kern w:val="2"/>
                <w:sz w:val="24"/>
                <w:szCs w:val="24"/>
              </w:rPr>
              <w:t>2.1.8</w:t>
            </w:r>
            <w:r>
              <w:rPr>
                <w:rFonts w:hint="default" w:ascii="Times New Roman" w:hAnsi="Times New Roman" w:eastAsia="宋体" w:cs="Times New Roman"/>
                <w:b/>
                <w:color w:val="auto"/>
                <w:kern w:val="2"/>
                <w:sz w:val="24"/>
                <w:szCs w:val="24"/>
              </w:rPr>
              <w:t>主要原辅材料及消耗情况</w:t>
            </w:r>
          </w:p>
          <w:p>
            <w:pPr>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本项目主要原辅材料及消耗情况见表2.1-4、主要原辅材料理化特性见表2.1-5。</w:t>
            </w:r>
          </w:p>
          <w:p>
            <w:pPr>
              <w:spacing w:after="0" w:line="420" w:lineRule="exact"/>
              <w:jc w:val="center"/>
              <w:rPr>
                <w:rFonts w:hint="default" w:ascii="Times New Roman" w:hAnsi="Times New Roman" w:eastAsia="Times New Roman" w:cs="Times New Roman"/>
                <w:b/>
                <w:color w:val="auto"/>
                <w:kern w:val="2"/>
                <w:sz w:val="24"/>
                <w:szCs w:val="24"/>
              </w:rPr>
            </w:pPr>
            <w:r>
              <w:rPr>
                <w:rFonts w:hint="default" w:ascii="Times New Roman" w:hAnsi="Times New Roman" w:eastAsia="宋体" w:cs="Times New Roman"/>
                <w:b/>
                <w:color w:val="auto"/>
                <w:kern w:val="2"/>
                <w:sz w:val="24"/>
                <w:szCs w:val="24"/>
              </w:rPr>
              <w:t>表2.1-4</w:t>
            </w:r>
            <w:r>
              <w:rPr>
                <w:rFonts w:hint="default" w:ascii="Times New Roman" w:hAnsi="Times New Roman" w:eastAsia="Times New Roman" w:cs="Times New Roman"/>
                <w:b/>
                <w:color w:val="auto"/>
                <w:kern w:val="2"/>
                <w:sz w:val="24"/>
                <w:szCs w:val="24"/>
              </w:rPr>
              <w:t xml:space="preserve">  </w:t>
            </w:r>
            <w:r>
              <w:rPr>
                <w:rFonts w:hint="default" w:ascii="Times New Roman" w:hAnsi="Times New Roman" w:eastAsia="宋体" w:cs="Times New Roman"/>
                <w:b/>
                <w:color w:val="auto"/>
                <w:kern w:val="2"/>
                <w:sz w:val="24"/>
                <w:szCs w:val="24"/>
              </w:rPr>
              <w:t>主要原辅材料及消耗情况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2"/>
              <w:gridCol w:w="2185"/>
              <w:gridCol w:w="2617"/>
              <w:gridCol w:w="1282"/>
              <w:gridCol w:w="1243"/>
              <w:gridCol w:w="788"/>
              <w:gridCol w:w="654"/>
              <w:gridCol w:w="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序</w:t>
                  </w:r>
                </w:p>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号</w:t>
                  </w:r>
                </w:p>
              </w:tc>
              <w:tc>
                <w:tcPr>
                  <w:tcW w:w="2185" w:type="dxa"/>
                  <w:tcBorders>
                    <w:tl2br w:val="nil"/>
                    <w:tr2bl w:val="nil"/>
                  </w:tcBorders>
                  <w:vAlign w:val="center"/>
                </w:tcPr>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2617" w:type="dxa"/>
                  <w:tcBorders>
                    <w:tl2br w:val="nil"/>
                    <w:tr2bl w:val="nil"/>
                  </w:tcBorders>
                  <w:vAlign w:val="center"/>
                </w:tcPr>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包装规格/</w:t>
                  </w:r>
                </w:p>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包装方式</w:t>
                  </w:r>
                </w:p>
              </w:tc>
              <w:tc>
                <w:tcPr>
                  <w:tcW w:w="1282" w:type="dxa"/>
                  <w:tcBorders>
                    <w:tl2br w:val="nil"/>
                    <w:tr2bl w:val="nil"/>
                  </w:tcBorders>
                  <w:vAlign w:val="center"/>
                </w:tcPr>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年消耗量</w:t>
                  </w:r>
                </w:p>
              </w:tc>
              <w:tc>
                <w:tcPr>
                  <w:tcW w:w="1243" w:type="dxa"/>
                  <w:tcBorders>
                    <w:tl2br w:val="nil"/>
                    <w:tr2bl w:val="nil"/>
                  </w:tcBorders>
                  <w:vAlign w:val="center"/>
                </w:tcPr>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最大储存量</w:t>
                  </w:r>
                </w:p>
              </w:tc>
              <w:tc>
                <w:tcPr>
                  <w:tcW w:w="788" w:type="dxa"/>
                  <w:tcBorders>
                    <w:tl2br w:val="nil"/>
                    <w:tr2bl w:val="nil"/>
                  </w:tcBorders>
                  <w:vAlign w:val="center"/>
                </w:tcPr>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储存</w:t>
                  </w:r>
                </w:p>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位置</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b/>
                      <w:bCs/>
                      <w:color w:val="auto"/>
                    </w:rPr>
                  </w:pPr>
                  <w:r>
                    <w:rPr>
                      <w:rFonts w:hint="default" w:ascii="Times New Roman" w:hAnsi="Times New Roman" w:cs="Times New Roman"/>
                      <w:b/>
                      <w:bCs/>
                      <w:color w:val="auto"/>
                    </w:rPr>
                    <w:t>用途/来源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9252" w:type="dxa"/>
                  <w:gridSpan w:val="8"/>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b/>
                      <w:bCs/>
                      <w:color w:val="auto"/>
                    </w:rPr>
                    <w:t>隔热垫生产线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7"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膨化纱</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E6DR24-4800-386H</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500吨</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25吨</w:t>
                  </w: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网袋</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E6DR13-300-386H</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100吨</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5吨</w:t>
                  </w: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vMerge w:val="restart"/>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w:t>
                  </w:r>
                </w:p>
              </w:tc>
              <w:tc>
                <w:tcPr>
                  <w:tcW w:w="2185" w:type="dxa"/>
                  <w:vMerge w:val="restart"/>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玻璃</w:t>
                  </w:r>
                </w:p>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纤维纱</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玻璃纤维短切纱</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1000吨</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150吨</w:t>
                  </w: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vMerge w:val="continue"/>
                  <w:tcBorders>
                    <w:tl2br w:val="nil"/>
                    <w:tr2bl w:val="nil"/>
                  </w:tcBorders>
                  <w:vAlign w:val="center"/>
                </w:tcPr>
                <w:p>
                  <w:pPr>
                    <w:pStyle w:val="90"/>
                    <w:spacing w:line="300" w:lineRule="exact"/>
                    <w:rPr>
                      <w:rFonts w:hint="default" w:ascii="Times New Roman" w:hAnsi="Times New Roman" w:cs="Times New Roman"/>
                      <w:color w:val="auto"/>
                    </w:rPr>
                  </w:pPr>
                </w:p>
              </w:tc>
              <w:tc>
                <w:tcPr>
                  <w:tcW w:w="2185" w:type="dxa"/>
                  <w:vMerge w:val="continue"/>
                  <w:tcBorders>
                    <w:tl2br w:val="nil"/>
                    <w:tr2bl w:val="nil"/>
                  </w:tcBorders>
                  <w:vAlign w:val="center"/>
                </w:tcPr>
                <w:p>
                  <w:pPr>
                    <w:pStyle w:val="90"/>
                    <w:spacing w:line="300" w:lineRule="exact"/>
                    <w:rPr>
                      <w:rFonts w:hint="default" w:ascii="Times New Roman" w:hAnsi="Times New Roman" w:cs="Times New Roman"/>
                      <w:color w:val="auto"/>
                    </w:rPr>
                  </w:pP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玻璃纤维管底纱</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500吨</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50吨</w:t>
                  </w: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vMerge w:val="continue"/>
                  <w:tcBorders>
                    <w:tl2br w:val="nil"/>
                    <w:tr2bl w:val="nil"/>
                  </w:tcBorders>
                  <w:vAlign w:val="center"/>
                </w:tcPr>
                <w:p>
                  <w:pPr>
                    <w:pStyle w:val="90"/>
                    <w:spacing w:line="300" w:lineRule="exact"/>
                    <w:rPr>
                      <w:rFonts w:hint="default" w:ascii="Times New Roman" w:hAnsi="Times New Roman" w:cs="Times New Roman"/>
                      <w:color w:val="auto"/>
                    </w:rPr>
                  </w:pPr>
                </w:p>
              </w:tc>
              <w:tc>
                <w:tcPr>
                  <w:tcW w:w="2185" w:type="dxa"/>
                  <w:vMerge w:val="continue"/>
                  <w:tcBorders>
                    <w:tl2br w:val="nil"/>
                    <w:tr2bl w:val="nil"/>
                  </w:tcBorders>
                  <w:vAlign w:val="center"/>
                </w:tcPr>
                <w:p>
                  <w:pPr>
                    <w:pStyle w:val="90"/>
                    <w:spacing w:line="300" w:lineRule="exact"/>
                    <w:rPr>
                      <w:rFonts w:hint="default" w:ascii="Times New Roman" w:hAnsi="Times New Roman" w:cs="Times New Roman"/>
                      <w:color w:val="auto"/>
                    </w:rPr>
                  </w:pP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高硅氧玻璃纤维纱</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500吨</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50吨</w:t>
                  </w: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4</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硅胶框</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30000个</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3000个</w:t>
                  </w: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PET膜</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20000卷</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2000卷</w:t>
                  </w: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6</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离型纸</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60000张</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7</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陶瓷纤维毯</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300吨</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60吨</w:t>
                  </w: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2" w:hRule="atLeast"/>
                <w:jc w:val="center"/>
              </w:trPr>
              <w:tc>
                <w:tcPr>
                  <w:tcW w:w="9252" w:type="dxa"/>
                  <w:gridSpan w:val="8"/>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b/>
                      <w:bCs/>
                      <w:color w:val="auto"/>
                    </w:rPr>
                    <w:t>线束生产线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继电器</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MINI5A</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30000个</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30000个</w:t>
                  </w:r>
                </w:p>
              </w:tc>
              <w:tc>
                <w:tcPr>
                  <w:tcW w:w="788" w:type="dxa"/>
                  <w:tcBorders>
                    <w:tl2br w:val="nil"/>
                    <w:tr2bl w:val="nil"/>
                  </w:tcBorders>
                  <w:vAlign w:val="center"/>
                </w:tcPr>
                <w:p>
                  <w:pPr>
                    <w:spacing w:after="0" w:line="300" w:lineRule="exact"/>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color w:val="auto"/>
                      <w:sz w:val="21"/>
                      <w:szCs w:val="24"/>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电线</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FLRY-B 0.5</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1600000m</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1600000m</w:t>
                  </w:r>
                </w:p>
              </w:tc>
              <w:tc>
                <w:tcPr>
                  <w:tcW w:w="788" w:type="dxa"/>
                  <w:tcBorders>
                    <w:tl2br w:val="nil"/>
                    <w:tr2bl w:val="nil"/>
                  </w:tcBorders>
                  <w:vAlign w:val="center"/>
                </w:tcPr>
                <w:p>
                  <w:pPr>
                    <w:spacing w:after="0" w:line="300" w:lineRule="exact"/>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color w:val="auto"/>
                      <w:sz w:val="21"/>
                      <w:szCs w:val="24"/>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波纹管</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500000m</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500000m</w:t>
                  </w:r>
                </w:p>
              </w:tc>
              <w:tc>
                <w:tcPr>
                  <w:tcW w:w="788" w:type="dxa"/>
                  <w:tcBorders>
                    <w:tl2br w:val="nil"/>
                    <w:tr2bl w:val="nil"/>
                  </w:tcBorders>
                  <w:vAlign w:val="center"/>
                </w:tcPr>
                <w:p>
                  <w:pPr>
                    <w:spacing w:after="0" w:line="300" w:lineRule="exact"/>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color w:val="auto"/>
                      <w:sz w:val="21"/>
                      <w:szCs w:val="24"/>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4</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端子</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DJ7021-2.8-21</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10000000个</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10000000个</w:t>
                  </w:r>
                </w:p>
              </w:tc>
              <w:tc>
                <w:tcPr>
                  <w:tcW w:w="788" w:type="dxa"/>
                  <w:tcBorders>
                    <w:tl2br w:val="nil"/>
                    <w:tr2bl w:val="nil"/>
                  </w:tcBorders>
                  <w:vAlign w:val="center"/>
                </w:tcPr>
                <w:p>
                  <w:pPr>
                    <w:spacing w:after="0" w:line="300" w:lineRule="exact"/>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color w:val="auto"/>
                      <w:sz w:val="21"/>
                      <w:szCs w:val="24"/>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9252" w:type="dxa"/>
                  <w:gridSpan w:val="8"/>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b/>
                      <w:bCs/>
                      <w:color w:val="auto"/>
                    </w:rPr>
                    <w:t>车窗升降机生产线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导轨</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3200000个</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3200000个</w:t>
                  </w:r>
                </w:p>
              </w:tc>
              <w:tc>
                <w:tcPr>
                  <w:tcW w:w="78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材料库</w:t>
                  </w:r>
                </w:p>
              </w:tc>
              <w:tc>
                <w:tcPr>
                  <w:tcW w:w="665" w:type="dxa"/>
                  <w:gridSpan w:val="2"/>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3"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滑块</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2400000个</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2400000个</w:t>
                  </w:r>
                </w:p>
              </w:tc>
              <w:tc>
                <w:tcPr>
                  <w:tcW w:w="78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材料库</w:t>
                  </w:r>
                </w:p>
              </w:tc>
              <w:tc>
                <w:tcPr>
                  <w:tcW w:w="665" w:type="dxa"/>
                  <w:gridSpan w:val="2"/>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电机</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2400000个</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2400000个</w:t>
                  </w:r>
                </w:p>
              </w:tc>
              <w:tc>
                <w:tcPr>
                  <w:tcW w:w="78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材料库</w:t>
                  </w:r>
                </w:p>
              </w:tc>
              <w:tc>
                <w:tcPr>
                  <w:tcW w:w="665" w:type="dxa"/>
                  <w:gridSpan w:val="2"/>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4</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绕线轮</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PA6+30%GF</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2400000个</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2400000个</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65" w:type="dxa"/>
                  <w:gridSpan w:val="2"/>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钢丝绳</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SWRH72A</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3200000个</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3200000个</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65" w:type="dxa"/>
                  <w:gridSpan w:val="2"/>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6</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ATS HPL润滑脂</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桶装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10桶</w:t>
                  </w:r>
                </w:p>
              </w:tc>
              <w:tc>
                <w:tcPr>
                  <w:tcW w:w="1243" w:type="dxa"/>
                  <w:tcBorders>
                    <w:tl2br w:val="nil"/>
                    <w:tr2bl w:val="nil"/>
                  </w:tcBorders>
                  <w:vAlign w:val="center"/>
                </w:tcPr>
                <w:p>
                  <w:pPr>
                    <w:pStyle w:val="90"/>
                    <w:spacing w:line="300" w:lineRule="exact"/>
                    <w:rPr>
                      <w:rFonts w:hint="default" w:ascii="Times New Roman" w:hAnsi="Times New Roman" w:cs="Times New Roman"/>
                      <w:color w:val="auto"/>
                    </w:rPr>
                  </w:pPr>
                </w:p>
              </w:tc>
              <w:tc>
                <w:tcPr>
                  <w:tcW w:w="788"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材料库</w:t>
                  </w:r>
                </w:p>
              </w:tc>
              <w:tc>
                <w:tcPr>
                  <w:tcW w:w="665" w:type="dxa"/>
                  <w:gridSpan w:val="2"/>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7" w:hRule="atLeast"/>
                <w:jc w:val="center"/>
              </w:trPr>
              <w:tc>
                <w:tcPr>
                  <w:tcW w:w="9252" w:type="dxa"/>
                  <w:gridSpan w:val="8"/>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b/>
                      <w:bCs/>
                      <w:color w:val="auto"/>
                    </w:rPr>
                    <w:t>电器盒壳体注塑件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w:t>
                  </w:r>
                </w:p>
              </w:tc>
              <w:tc>
                <w:tcPr>
                  <w:tcW w:w="2185"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bidi="ar"/>
                    </w:rPr>
                    <w:t>PA66(尼龙-66）</w:t>
                  </w:r>
                </w:p>
              </w:tc>
              <w:tc>
                <w:tcPr>
                  <w:tcW w:w="2617"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袋装</w:t>
                  </w:r>
                </w:p>
              </w:tc>
              <w:tc>
                <w:tcPr>
                  <w:tcW w:w="1282" w:type="dxa"/>
                  <w:tcBorders>
                    <w:tl2br w:val="nil"/>
                    <w:tr2bl w:val="nil"/>
                  </w:tcBorders>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bidi="ar"/>
                    </w:rPr>
                    <w:t>100吨</w:t>
                  </w:r>
                </w:p>
              </w:tc>
              <w:tc>
                <w:tcPr>
                  <w:tcW w:w="1243" w:type="dxa"/>
                  <w:tcBorders>
                    <w:tl2br w:val="nil"/>
                    <w:tr2bl w:val="nil"/>
                  </w:tcBorders>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bidi="ar"/>
                    </w:rPr>
                    <w:t>10吨</w:t>
                  </w:r>
                </w:p>
              </w:tc>
              <w:tc>
                <w:tcPr>
                  <w:tcW w:w="788" w:type="dxa"/>
                  <w:tcBorders>
                    <w:tl2br w:val="nil"/>
                    <w:tr2bl w:val="nil"/>
                  </w:tcBorders>
                  <w:vAlign w:val="center"/>
                </w:tcPr>
                <w:p>
                  <w:pPr>
                    <w:autoSpaceDE w:val="0"/>
                    <w:spacing w:after="0" w:line="300" w:lineRule="exact"/>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1"/>
                      <w:lang w:bidi="ar"/>
                    </w:rPr>
                    <w:t>材料库</w:t>
                  </w:r>
                </w:p>
              </w:tc>
              <w:tc>
                <w:tcPr>
                  <w:tcW w:w="665" w:type="dxa"/>
                  <w:gridSpan w:val="2"/>
                  <w:tcBorders>
                    <w:tl2br w:val="nil"/>
                    <w:tr2bl w:val="nil"/>
                  </w:tcBorders>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bidi="ar"/>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72"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w:t>
                  </w:r>
                </w:p>
              </w:tc>
              <w:tc>
                <w:tcPr>
                  <w:tcW w:w="2185"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bidi="ar"/>
                    </w:rPr>
                    <w:t>TPE(</w:t>
                  </w:r>
                  <w:r>
                    <w:rPr>
                      <w:rStyle w:val="34"/>
                      <w:rFonts w:hint="default" w:ascii="Times New Roman" w:hAnsi="Times New Roman" w:cs="Times New Roman"/>
                      <w:i w:val="0"/>
                      <w:color w:val="auto"/>
                      <w:sz w:val="19"/>
                      <w:szCs w:val="19"/>
                      <w:shd w:val="clear" w:color="auto" w:fill="FFFFFF"/>
                    </w:rPr>
                    <w:t>热塑性弹性体</w:t>
                  </w:r>
                  <w:r>
                    <w:rPr>
                      <w:rFonts w:hint="default" w:ascii="Times New Roman" w:hAnsi="Times New Roman" w:cs="Times New Roman"/>
                      <w:color w:val="auto"/>
                      <w:sz w:val="21"/>
                      <w:szCs w:val="21"/>
                      <w:lang w:bidi="ar"/>
                    </w:rPr>
                    <w:t>)</w:t>
                  </w:r>
                </w:p>
              </w:tc>
              <w:tc>
                <w:tcPr>
                  <w:tcW w:w="2617"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袋装</w:t>
                  </w:r>
                </w:p>
              </w:tc>
              <w:tc>
                <w:tcPr>
                  <w:tcW w:w="1282"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bidi="ar"/>
                    </w:rPr>
                    <w:t>120吨</w:t>
                  </w:r>
                </w:p>
              </w:tc>
              <w:tc>
                <w:tcPr>
                  <w:tcW w:w="1243"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bidi="ar"/>
                    </w:rPr>
                    <w:t>12吨</w:t>
                  </w:r>
                </w:p>
              </w:tc>
              <w:tc>
                <w:tcPr>
                  <w:tcW w:w="788" w:type="dxa"/>
                  <w:tcBorders>
                    <w:tl2br w:val="nil"/>
                    <w:tr2bl w:val="nil"/>
                  </w:tcBorders>
                  <w:vAlign w:val="center"/>
                </w:tcPr>
                <w:p>
                  <w:pPr>
                    <w:autoSpaceDE w:val="0"/>
                    <w:spacing w:after="0" w:line="300" w:lineRule="exact"/>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1"/>
                      <w:lang w:bidi="ar"/>
                    </w:rPr>
                    <w:t>材料库</w:t>
                  </w:r>
                </w:p>
              </w:tc>
              <w:tc>
                <w:tcPr>
                  <w:tcW w:w="665" w:type="dxa"/>
                  <w:gridSpan w:val="2"/>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1"/>
                      <w:lang w:bidi="ar"/>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90" w:hRule="atLeast"/>
                <w:jc w:val="center"/>
              </w:trPr>
              <w:tc>
                <w:tcPr>
                  <w:tcW w:w="9236" w:type="dxa"/>
                  <w:gridSpan w:val="7"/>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b/>
                      <w:bCs/>
                      <w:color w:val="auto"/>
                    </w:rPr>
                    <w:t>连接器密封件生产线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90"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w:t>
                  </w:r>
                </w:p>
              </w:tc>
              <w:tc>
                <w:tcPr>
                  <w:tcW w:w="2185"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三元乙丙橡胶（EPDM）</w:t>
                  </w:r>
                </w:p>
              </w:tc>
              <w:tc>
                <w:tcPr>
                  <w:tcW w:w="2617"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4"/>
                    </w:rPr>
                    <w:t>袋装</w:t>
                  </w:r>
                </w:p>
              </w:tc>
              <w:tc>
                <w:tcPr>
                  <w:tcW w:w="1282" w:type="dxa"/>
                  <w:tcBorders>
                    <w:tl2br w:val="nil"/>
                    <w:tr2bl w:val="nil"/>
                  </w:tcBorders>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600吨</w:t>
                  </w:r>
                </w:p>
              </w:tc>
              <w:tc>
                <w:tcPr>
                  <w:tcW w:w="1243" w:type="dxa"/>
                  <w:tcBorders>
                    <w:tl2br w:val="nil"/>
                    <w:tr2bl w:val="nil"/>
                  </w:tcBorders>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40吨</w:t>
                  </w:r>
                </w:p>
              </w:tc>
              <w:tc>
                <w:tcPr>
                  <w:tcW w:w="788" w:type="dxa"/>
                  <w:tcBorders>
                    <w:tl2br w:val="nil"/>
                    <w:tr2bl w:val="nil"/>
                  </w:tcBorders>
                  <w:vAlign w:val="center"/>
                </w:tcPr>
                <w:p>
                  <w:pPr>
                    <w:autoSpaceDE w:val="0"/>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材料库</w:t>
                  </w:r>
                </w:p>
              </w:tc>
              <w:tc>
                <w:tcPr>
                  <w:tcW w:w="654"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90"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w:t>
                  </w:r>
                </w:p>
              </w:tc>
              <w:tc>
                <w:tcPr>
                  <w:tcW w:w="2185"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硅橡胶</w:t>
                  </w:r>
                </w:p>
              </w:tc>
              <w:tc>
                <w:tcPr>
                  <w:tcW w:w="2617" w:type="dxa"/>
                  <w:tcBorders>
                    <w:tl2br w:val="nil"/>
                    <w:tr2bl w:val="nil"/>
                  </w:tcBorders>
                  <w:vAlign w:val="center"/>
                </w:tcPr>
                <w:p>
                  <w:pPr>
                    <w:pStyle w:val="26"/>
                    <w:autoSpaceDE w:val="0"/>
                    <w:spacing w:before="0" w:beforeAutospacing="0" w:after="0" w:afterAutospacing="0" w:line="300" w:lineRule="exact"/>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4"/>
                    </w:rPr>
                    <w:t>袋装</w:t>
                  </w:r>
                </w:p>
              </w:tc>
              <w:tc>
                <w:tcPr>
                  <w:tcW w:w="1282" w:type="dxa"/>
                  <w:tcBorders>
                    <w:tl2br w:val="nil"/>
                    <w:tr2bl w:val="nil"/>
                  </w:tcBorders>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400吨</w:t>
                  </w:r>
                </w:p>
              </w:tc>
              <w:tc>
                <w:tcPr>
                  <w:tcW w:w="1243" w:type="dxa"/>
                  <w:tcBorders>
                    <w:tl2br w:val="nil"/>
                    <w:tr2bl w:val="nil"/>
                  </w:tcBorders>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20吨</w:t>
                  </w:r>
                </w:p>
              </w:tc>
              <w:tc>
                <w:tcPr>
                  <w:tcW w:w="788" w:type="dxa"/>
                  <w:tcBorders>
                    <w:tl2br w:val="nil"/>
                    <w:tr2bl w:val="nil"/>
                  </w:tcBorders>
                  <w:vAlign w:val="center"/>
                </w:tcPr>
                <w:p>
                  <w:pPr>
                    <w:autoSpaceDE w:val="0"/>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材料库</w:t>
                  </w:r>
                </w:p>
              </w:tc>
              <w:tc>
                <w:tcPr>
                  <w:tcW w:w="654" w:type="dxa"/>
                  <w:tcBorders>
                    <w:tl2br w:val="nil"/>
                    <w:tr2bl w:val="nil"/>
                  </w:tcBorders>
                </w:tcPr>
                <w:p>
                  <w:pPr>
                    <w:pStyle w:val="26"/>
                    <w:autoSpaceDE w:val="0"/>
                    <w:spacing w:before="0" w:beforeAutospacing="0" w:after="0" w:afterAutospacing="0"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90"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炭黑（N330）</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400吨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40吨</w:t>
                  </w:r>
                </w:p>
              </w:tc>
              <w:tc>
                <w:tcPr>
                  <w:tcW w:w="78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90"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4</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聚异丁烯</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桶装</w:t>
                  </w:r>
                </w:p>
              </w:tc>
              <w:tc>
                <w:tcPr>
                  <w:tcW w:w="1282"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300吨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40吨</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90"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填充剂</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石蜡油/桶装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30吨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3吨</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180"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6</w:t>
                  </w:r>
                </w:p>
              </w:tc>
              <w:tc>
                <w:tcPr>
                  <w:tcW w:w="2185" w:type="dxa"/>
                  <w:vMerge w:val="restart"/>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促进剂</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CG-3M/桶装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2吨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0.02吨</w:t>
                  </w:r>
                </w:p>
              </w:tc>
              <w:tc>
                <w:tcPr>
                  <w:tcW w:w="78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218"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7</w:t>
                  </w:r>
                </w:p>
              </w:tc>
              <w:tc>
                <w:tcPr>
                  <w:tcW w:w="2185" w:type="dxa"/>
                  <w:vMerge w:val="continue"/>
                  <w:tcBorders>
                    <w:tl2br w:val="nil"/>
                    <w:tr2bl w:val="nil"/>
                  </w:tcBorders>
                  <w:vAlign w:val="center"/>
                </w:tcPr>
                <w:p>
                  <w:pPr>
                    <w:pStyle w:val="90"/>
                    <w:spacing w:line="300" w:lineRule="exact"/>
                    <w:rPr>
                      <w:rFonts w:hint="default" w:ascii="Times New Roman" w:hAnsi="Times New Roman" w:cs="Times New Roman"/>
                      <w:color w:val="auto"/>
                    </w:rPr>
                  </w:pP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CZ/桶装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4吨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0.4吨</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218" w:hRule="atLeast"/>
                <w:jc w:val="center"/>
              </w:trPr>
              <w:tc>
                <w:tcPr>
                  <w:tcW w:w="46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8</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防老剂</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石蜡/桶装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0.1吨</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218"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9</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成型剂</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有机过氧化物/桶装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5吨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0.5吨</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320"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10</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含硫颗粒物</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S-80</w:t>
                  </w:r>
                  <w:r>
                    <w:rPr>
                      <w:rFonts w:hint="default" w:ascii="Times New Roman" w:hAnsi="Times New Roman" w:cs="Times New Roman"/>
                      <w:b/>
                      <w:bCs/>
                      <w:color w:val="auto"/>
                    </w:rPr>
                    <w:t>/</w:t>
                  </w:r>
                  <w:r>
                    <w:rPr>
                      <w:rFonts w:hint="default" w:ascii="Times New Roman" w:hAnsi="Times New Roman" w:cs="Times New Roman"/>
                      <w:color w:val="auto"/>
                    </w:rPr>
                    <w:t>袋装</w:t>
                  </w:r>
                </w:p>
              </w:tc>
              <w:tc>
                <w:tcPr>
                  <w:tcW w:w="1282"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1.4吨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0.14吨</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218"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11</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陶土</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0.1吨</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218"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12</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滑石粉</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0.1吨</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218"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13</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碳酸钙</w:t>
                  </w:r>
                </w:p>
              </w:tc>
              <w:tc>
                <w:tcPr>
                  <w:tcW w:w="2617"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0.3吨</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0.03吨</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1" w:type="dxa"/>
                <w:trHeight w:val="218" w:hRule="atLeast"/>
                <w:jc w:val="center"/>
              </w:trPr>
              <w:tc>
                <w:tcPr>
                  <w:tcW w:w="46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14</w:t>
                  </w:r>
                </w:p>
              </w:tc>
              <w:tc>
                <w:tcPr>
                  <w:tcW w:w="2185" w:type="dxa"/>
                  <w:tcBorders>
                    <w:tl2br w:val="nil"/>
                    <w:tr2bl w:val="nil"/>
                  </w:tcBorders>
                  <w:vAlign w:val="center"/>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钣金件</w:t>
                  </w:r>
                </w:p>
              </w:tc>
              <w:tc>
                <w:tcPr>
                  <w:tcW w:w="2617"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袋装</w:t>
                  </w:r>
                </w:p>
              </w:tc>
              <w:tc>
                <w:tcPr>
                  <w:tcW w:w="1282"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100000只</w:t>
                  </w:r>
                </w:p>
              </w:tc>
              <w:tc>
                <w:tcPr>
                  <w:tcW w:w="1243"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10000只</w:t>
                  </w:r>
                </w:p>
              </w:tc>
              <w:tc>
                <w:tcPr>
                  <w:tcW w:w="788" w:type="dxa"/>
                  <w:tcBorders>
                    <w:tl2br w:val="nil"/>
                    <w:tr2bl w:val="nil"/>
                  </w:tcBorders>
                  <w:vAlign w:val="center"/>
                </w:tcPr>
                <w:p>
                  <w:pPr>
                    <w:spacing w:after="0" w:line="300" w:lineRule="exact"/>
                    <w:jc w:val="center"/>
                    <w:rPr>
                      <w:rFonts w:hint="default" w:ascii="Times New Roman" w:hAnsi="Times New Roman" w:cs="Times New Roman"/>
                      <w:color w:val="auto"/>
                      <w:sz w:val="21"/>
                      <w:szCs w:val="24"/>
                    </w:rPr>
                  </w:pPr>
                  <w:r>
                    <w:rPr>
                      <w:rFonts w:hint="default" w:ascii="Times New Roman" w:hAnsi="Times New Roman" w:eastAsia="宋体" w:cs="Times New Roman"/>
                      <w:color w:val="auto"/>
                      <w:sz w:val="21"/>
                      <w:szCs w:val="24"/>
                    </w:rPr>
                    <w:t>材料库</w:t>
                  </w:r>
                </w:p>
              </w:tc>
              <w:tc>
                <w:tcPr>
                  <w:tcW w:w="654" w:type="dxa"/>
                  <w:tcBorders>
                    <w:tl2br w:val="nil"/>
                    <w:tr2bl w:val="nil"/>
                  </w:tcBorders>
                </w:tcPr>
                <w:p>
                  <w:pPr>
                    <w:pStyle w:val="90"/>
                    <w:spacing w:line="300" w:lineRule="exact"/>
                    <w:rPr>
                      <w:rFonts w:hint="default" w:ascii="Times New Roman" w:hAnsi="Times New Roman" w:cs="Times New Roman"/>
                      <w:color w:val="auto"/>
                    </w:rPr>
                  </w:pPr>
                  <w:r>
                    <w:rPr>
                      <w:rFonts w:hint="default" w:ascii="Times New Roman" w:hAnsi="Times New Roman" w:cs="Times New Roman"/>
                      <w:color w:val="auto"/>
                    </w:rPr>
                    <w:t>外购</w:t>
                  </w:r>
                </w:p>
              </w:tc>
            </w:tr>
          </w:tbl>
          <w:p>
            <w:pPr>
              <w:spacing w:after="0" w:line="440" w:lineRule="exact"/>
              <w:ind w:firstLine="440" w:firstLineChars="200"/>
              <w:jc w:val="both"/>
              <w:rPr>
                <w:rFonts w:hint="default" w:ascii="Times New Roman" w:hAnsi="Times New Roman" w:eastAsia="宋体" w:cs="Times New Roman"/>
                <w:color w:val="auto"/>
                <w:kern w:val="2"/>
                <w:sz w:val="24"/>
                <w:szCs w:val="24"/>
              </w:rPr>
            </w:pPr>
            <w:r>
              <w:rPr>
                <w:rFonts w:hint="default" w:ascii="Times New Roman" w:hAnsi="Times New Roman" w:cs="Times New Roman" w:eastAsiaTheme="minorEastAsia"/>
                <w:color w:val="auto"/>
                <w:szCs w:val="24"/>
              </w:rPr>
              <w:t>本项目主要原辅材料理化特性见表</w:t>
            </w:r>
            <w:r>
              <w:rPr>
                <w:rFonts w:hint="default" w:ascii="Times New Roman" w:hAnsi="Times New Roman" w:eastAsia="宋体" w:cs="Times New Roman"/>
                <w:color w:val="auto"/>
                <w:kern w:val="2"/>
                <w:sz w:val="24"/>
                <w:szCs w:val="24"/>
              </w:rPr>
              <w:t>2.1-5。</w:t>
            </w:r>
          </w:p>
          <w:p>
            <w:pPr>
              <w:spacing w:after="0" w:line="420" w:lineRule="exact"/>
              <w:jc w:val="center"/>
              <w:rPr>
                <w:rFonts w:hint="default" w:ascii="Times New Roman" w:hAnsi="Times New Roman" w:eastAsia="Times New Roman" w:cs="Times New Roman"/>
                <w:b/>
                <w:color w:val="auto"/>
                <w:kern w:val="2"/>
                <w:sz w:val="24"/>
                <w:szCs w:val="24"/>
              </w:rPr>
            </w:pPr>
            <w:r>
              <w:rPr>
                <w:rFonts w:hint="default" w:ascii="Times New Roman" w:hAnsi="Times New Roman" w:eastAsia="宋体" w:cs="Times New Roman"/>
                <w:b/>
                <w:color w:val="auto"/>
                <w:kern w:val="2"/>
                <w:sz w:val="24"/>
                <w:szCs w:val="24"/>
              </w:rPr>
              <w:t>表2.1-5</w:t>
            </w:r>
            <w:r>
              <w:rPr>
                <w:rFonts w:hint="default" w:ascii="Times New Roman" w:hAnsi="Times New Roman" w:eastAsia="Times New Roman" w:cs="Times New Roman"/>
                <w:b/>
                <w:color w:val="auto"/>
                <w:kern w:val="2"/>
                <w:sz w:val="24"/>
                <w:szCs w:val="24"/>
              </w:rPr>
              <w:t xml:space="preserve">  </w:t>
            </w:r>
            <w:r>
              <w:rPr>
                <w:rFonts w:hint="default" w:ascii="Times New Roman" w:hAnsi="Times New Roman" w:eastAsia="宋体" w:cs="Times New Roman"/>
                <w:b/>
                <w:color w:val="auto"/>
                <w:kern w:val="2"/>
                <w:sz w:val="24"/>
                <w:szCs w:val="24"/>
              </w:rPr>
              <w:t>主要原辅材料理化特性</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34"/>
              <w:gridCol w:w="7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b/>
                      <w:bCs/>
                      <w:color w:val="auto"/>
                      <w:kern w:val="2"/>
                      <w:sz w:val="21"/>
                      <w:szCs w:val="21"/>
                      <w:lang w:bidi="ar"/>
                    </w:rPr>
                  </w:pPr>
                  <w:r>
                    <w:rPr>
                      <w:rFonts w:hint="default" w:ascii="Times New Roman" w:hAnsi="Times New Roman" w:eastAsia="宋体" w:cs="Times New Roman"/>
                      <w:b/>
                      <w:bCs/>
                      <w:color w:val="auto"/>
                      <w:kern w:val="2"/>
                      <w:sz w:val="21"/>
                      <w:szCs w:val="21"/>
                      <w:lang w:bidi="ar"/>
                    </w:rPr>
                    <w:t>原辅料名称</w:t>
                  </w:r>
                </w:p>
              </w:tc>
              <w:tc>
                <w:tcPr>
                  <w:tcW w:w="7803" w:type="dxa"/>
                  <w:tcBorders>
                    <w:tl2br w:val="nil"/>
                    <w:tr2bl w:val="nil"/>
                  </w:tcBorders>
                  <w:vAlign w:val="center"/>
                </w:tcPr>
                <w:p>
                  <w:pPr>
                    <w:spacing w:after="0" w:line="260" w:lineRule="exact"/>
                    <w:jc w:val="center"/>
                    <w:rPr>
                      <w:rFonts w:hint="default" w:ascii="Times New Roman" w:hAnsi="Times New Roman" w:eastAsia="宋体" w:cs="Times New Roman"/>
                      <w:b/>
                      <w:bCs/>
                      <w:color w:val="auto"/>
                      <w:kern w:val="2"/>
                      <w:sz w:val="21"/>
                      <w:szCs w:val="21"/>
                      <w:lang w:bidi="ar"/>
                    </w:rPr>
                  </w:pPr>
                  <w:r>
                    <w:rPr>
                      <w:rFonts w:hint="default" w:ascii="Times New Roman" w:hAnsi="Times New Roman" w:eastAsia="宋体" w:cs="Times New Roman"/>
                      <w:b/>
                      <w:bCs/>
                      <w:color w:val="auto"/>
                      <w:kern w:val="2"/>
                      <w:sz w:val="21"/>
                      <w:szCs w:val="21"/>
                      <w:lang w:bidi="ar"/>
                    </w:rPr>
                    <w:t>成分组成及</w:t>
                  </w:r>
                  <w:r>
                    <w:rPr>
                      <w:rFonts w:hint="default" w:ascii="Times New Roman" w:hAnsi="Times New Roman" w:eastAsia="宋体" w:cs="Times New Roman"/>
                      <w:b/>
                      <w:bCs/>
                      <w:color w:val="auto"/>
                      <w:kern w:val="2"/>
                      <w:sz w:val="24"/>
                      <w:szCs w:val="24"/>
                    </w:rPr>
                    <w:t>理化特性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玻璃纤维</w:t>
                  </w:r>
                </w:p>
              </w:tc>
              <w:tc>
                <w:tcPr>
                  <w:tcW w:w="7803" w:type="dxa"/>
                  <w:tcBorders>
                    <w:tl2br w:val="nil"/>
                    <w:tr2bl w:val="nil"/>
                  </w:tcBorders>
                  <w:vAlign w:val="center"/>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白色无味固体，主要成分：玻璃，CAS：65997-17-3，熔点：&gt;800℃，不自燃，不存在爆炸危险，不溶于水，相对密度：水的2.6倍。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2"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膨化纱</w:t>
                  </w:r>
                </w:p>
              </w:tc>
              <w:tc>
                <w:tcPr>
                  <w:tcW w:w="7803" w:type="dxa"/>
                  <w:tcBorders>
                    <w:tl2br w:val="nil"/>
                    <w:tr2bl w:val="nil"/>
                  </w:tcBorders>
                  <w:vAlign w:val="center"/>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主要成分是：SiO</w:t>
                  </w:r>
                  <w:r>
                    <w:rPr>
                      <w:rFonts w:hint="default" w:ascii="Times New Roman" w:hAnsi="Times New Roman" w:eastAsia="宋体" w:cs="Times New Roman"/>
                      <w:color w:val="auto"/>
                      <w:kern w:val="2"/>
                      <w:sz w:val="21"/>
                      <w:szCs w:val="21"/>
                      <w:vertAlign w:val="subscript"/>
                      <w:lang w:bidi="ar"/>
                    </w:rPr>
                    <w:t>2</w:t>
                  </w:r>
                  <w:r>
                    <w:rPr>
                      <w:rFonts w:hint="default" w:ascii="Times New Roman" w:hAnsi="Times New Roman" w:eastAsia="宋体" w:cs="Times New Roman"/>
                      <w:color w:val="auto"/>
                      <w:kern w:val="2"/>
                      <w:sz w:val="21"/>
                      <w:szCs w:val="21"/>
                      <w:lang w:bidi="ar"/>
                    </w:rPr>
                    <w:t>，CaO，Al</w:t>
                  </w:r>
                  <w:r>
                    <w:rPr>
                      <w:rFonts w:hint="default" w:ascii="Times New Roman" w:hAnsi="Times New Roman" w:eastAsia="宋体" w:cs="Times New Roman"/>
                      <w:color w:val="auto"/>
                      <w:kern w:val="2"/>
                      <w:sz w:val="21"/>
                      <w:szCs w:val="21"/>
                      <w:vertAlign w:val="subscript"/>
                      <w:lang w:bidi="ar"/>
                    </w:rPr>
                    <w:t>2</w:t>
                  </w:r>
                  <w:r>
                    <w:rPr>
                      <w:rFonts w:hint="default" w:ascii="Times New Roman" w:hAnsi="Times New Roman" w:eastAsia="宋体" w:cs="Times New Roman"/>
                      <w:color w:val="auto"/>
                      <w:kern w:val="2"/>
                      <w:sz w:val="21"/>
                      <w:szCs w:val="21"/>
                      <w:lang w:bidi="ar"/>
                    </w:rPr>
                    <w:t>O</w:t>
                  </w:r>
                  <w:r>
                    <w:rPr>
                      <w:rFonts w:hint="default" w:ascii="Times New Roman" w:hAnsi="Times New Roman" w:eastAsia="宋体" w:cs="Times New Roman"/>
                      <w:color w:val="auto"/>
                      <w:kern w:val="2"/>
                      <w:sz w:val="21"/>
                      <w:szCs w:val="21"/>
                      <w:vertAlign w:val="subscript"/>
                      <w:lang w:bidi="ar"/>
                    </w:rPr>
                    <w:t>3</w:t>
                  </w:r>
                  <w:r>
                    <w:rPr>
                      <w:rFonts w:hint="default" w:ascii="Times New Roman" w:hAnsi="Times New Roman" w:eastAsia="宋体" w:cs="Times New Roman"/>
                      <w:color w:val="auto"/>
                      <w:kern w:val="2"/>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陶瓷纤维</w:t>
                  </w:r>
                </w:p>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气凝胶毡</w:t>
                  </w:r>
                </w:p>
              </w:tc>
              <w:tc>
                <w:tcPr>
                  <w:tcW w:w="7803" w:type="dxa"/>
                  <w:tcBorders>
                    <w:tl2br w:val="nil"/>
                    <w:tr2bl w:val="nil"/>
                  </w:tcBorders>
                  <w:vAlign w:val="center"/>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白色无味卷材或片状，化学成分及含量：SiO</w:t>
                  </w:r>
                  <w:r>
                    <w:rPr>
                      <w:rFonts w:hint="default" w:ascii="Times New Roman" w:hAnsi="Times New Roman" w:eastAsia="宋体" w:cs="Times New Roman"/>
                      <w:color w:val="auto"/>
                      <w:kern w:val="2"/>
                      <w:sz w:val="21"/>
                      <w:szCs w:val="21"/>
                      <w:vertAlign w:val="subscript"/>
                      <w:lang w:bidi="ar"/>
                    </w:rPr>
                    <w:t>2</w:t>
                  </w:r>
                  <w:r>
                    <w:rPr>
                      <w:rFonts w:hint="default" w:ascii="Times New Roman" w:hAnsi="Times New Roman" w:eastAsia="宋体" w:cs="Times New Roman"/>
                      <w:color w:val="auto"/>
                      <w:kern w:val="2"/>
                      <w:sz w:val="21"/>
                      <w:szCs w:val="21"/>
                      <w:lang w:bidi="ar"/>
                    </w:rPr>
                    <w:t>30%～40%、陶瓷纸60%～70%，不自然、不存在爆炸危险。无机材料，不溶于水、不积累。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PET膜</w:t>
                  </w:r>
                </w:p>
              </w:tc>
              <w:tc>
                <w:tcPr>
                  <w:tcW w:w="7803" w:type="dxa"/>
                  <w:tcBorders>
                    <w:tl2br w:val="nil"/>
                    <w:tr2bl w:val="nil"/>
                  </w:tcBorders>
                  <w:vAlign w:val="center"/>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透明PET薄膜40%～60%，离型膜19%～29%，环氧树脂粘合剂21%～31%。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val="zh-CN" w:bidi="ar"/>
                    </w:rPr>
                  </w:pPr>
                  <w:r>
                    <w:rPr>
                      <w:rFonts w:hint="default" w:ascii="Times New Roman" w:hAnsi="Times New Roman" w:eastAsia="宋体" w:cs="Times New Roman"/>
                      <w:color w:val="auto"/>
                      <w:kern w:val="2"/>
                      <w:sz w:val="21"/>
                      <w:szCs w:val="21"/>
                      <w:lang w:bidi="ar"/>
                    </w:rPr>
                    <w:t>炭黑</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一种</w:t>
                  </w:r>
                  <w:r>
                    <w:rPr>
                      <w:rFonts w:hint="default" w:ascii="Times New Roman" w:hAnsi="Times New Roman" w:eastAsia="宋体" w:cs="Times New Roman"/>
                      <w:color w:val="auto"/>
                      <w:kern w:val="2"/>
                      <w:sz w:val="21"/>
                      <w:szCs w:val="21"/>
                      <w:lang w:val="zh-CN" w:bidi="ar"/>
                    </w:rPr>
                    <w:t>轻、松而极细的无定形炭黑色粉末，</w:t>
                  </w:r>
                  <w:r>
                    <w:rPr>
                      <w:rFonts w:hint="default" w:ascii="Times New Roman" w:hAnsi="Times New Roman" w:eastAsia="宋体" w:cs="Times New Roman"/>
                      <w:color w:val="auto"/>
                      <w:kern w:val="2"/>
                      <w:sz w:val="21"/>
                      <w:szCs w:val="21"/>
                      <w:lang w:bidi="ar"/>
                    </w:rPr>
                    <w:t>表面积非常大，10~3000㎡/g</w:t>
                  </w:r>
                  <w:r>
                    <w:rPr>
                      <w:rFonts w:hint="default" w:ascii="Times New Roman" w:hAnsi="Times New Roman" w:eastAsia="宋体" w:cs="Times New Roman"/>
                      <w:color w:val="auto"/>
                      <w:kern w:val="2"/>
                      <w:sz w:val="21"/>
                      <w:szCs w:val="21"/>
                      <w:lang w:val="zh-CN" w:bidi="ar"/>
                    </w:rPr>
                    <w:t>。</w:t>
                  </w:r>
                  <w:r>
                    <w:rPr>
                      <w:rFonts w:hint="default" w:ascii="Times New Roman" w:hAnsi="Times New Roman" w:eastAsia="宋体" w:cs="Times New Roman"/>
                      <w:color w:val="auto"/>
                      <w:kern w:val="2"/>
                      <w:sz w:val="21"/>
                      <w:szCs w:val="21"/>
                      <w:lang w:bidi="ar"/>
                    </w:rPr>
                    <w:t>CAS：1333-86-4，分子式C，分子量12.01，初沸点和沸程4200℃，不溶于水，熔点/凝固点3550℃，</w:t>
                  </w:r>
                  <w:r>
                    <w:rPr>
                      <w:rFonts w:hint="default" w:ascii="Times New Roman" w:hAnsi="Times New Roman" w:eastAsia="宋体" w:cs="Times New Roman"/>
                      <w:color w:val="auto"/>
                      <w:kern w:val="2"/>
                      <w:sz w:val="21"/>
                      <w:szCs w:val="21"/>
                      <w:lang w:val="zh-CN" w:bidi="ar"/>
                    </w:rPr>
                    <w:t>相对密度1.</w:t>
                  </w:r>
                  <w:r>
                    <w:rPr>
                      <w:rFonts w:hint="default" w:ascii="Times New Roman" w:hAnsi="Times New Roman" w:eastAsia="宋体" w:cs="Times New Roman"/>
                      <w:color w:val="auto"/>
                      <w:kern w:val="2"/>
                      <w:sz w:val="21"/>
                      <w:szCs w:val="21"/>
                      <w:lang w:bidi="ar"/>
                    </w:rPr>
                    <w:t>7~1.9（20℃），闪点500℃（闭杯）。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碳酸钙</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白色粉末，CAS：471-34-1，分子式CaCO</w:t>
                  </w:r>
                  <w:r>
                    <w:rPr>
                      <w:rFonts w:hint="default" w:ascii="Times New Roman" w:hAnsi="Times New Roman" w:eastAsia="宋体" w:cs="Times New Roman"/>
                      <w:color w:val="auto"/>
                      <w:kern w:val="2"/>
                      <w:sz w:val="21"/>
                      <w:szCs w:val="21"/>
                      <w:vertAlign w:val="subscript"/>
                      <w:lang w:bidi="ar"/>
                    </w:rPr>
                    <w:t>3</w:t>
                  </w:r>
                  <w:r>
                    <w:rPr>
                      <w:rFonts w:hint="default" w:ascii="Times New Roman" w:hAnsi="Times New Roman" w:eastAsia="宋体" w:cs="Times New Roman"/>
                      <w:color w:val="auto"/>
                      <w:kern w:val="2"/>
                      <w:sz w:val="21"/>
                      <w:szCs w:val="21"/>
                      <w:lang w:bidi="ar"/>
                    </w:rPr>
                    <w:t>，分子量100.09，不溶于水，熔点/凝固点825℃（分解），</w:t>
                  </w:r>
                  <w:r>
                    <w:rPr>
                      <w:rFonts w:hint="default" w:ascii="Times New Roman" w:hAnsi="Times New Roman" w:eastAsia="宋体" w:cs="Times New Roman"/>
                      <w:color w:val="auto"/>
                      <w:kern w:val="2"/>
                      <w:sz w:val="21"/>
                      <w:szCs w:val="21"/>
                      <w:lang w:val="zh-CN" w:bidi="ar"/>
                    </w:rPr>
                    <w:t>相对密度</w:t>
                  </w:r>
                  <w:r>
                    <w:rPr>
                      <w:rFonts w:hint="default" w:ascii="Times New Roman" w:hAnsi="Times New Roman" w:eastAsia="宋体" w:cs="Times New Roman"/>
                      <w:color w:val="auto"/>
                      <w:kern w:val="2"/>
                      <w:sz w:val="21"/>
                      <w:szCs w:val="21"/>
                      <w:lang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三元乙丙橡胶</w:t>
                  </w:r>
                </w:p>
                <w:p>
                  <w:pPr>
                    <w:spacing w:after="0" w:line="260" w:lineRule="exact"/>
                    <w:jc w:val="center"/>
                    <w:rPr>
                      <w:rFonts w:hint="default" w:ascii="Times New Roman" w:hAnsi="Times New Roman" w:eastAsia="宋体" w:cs="Times New Roman"/>
                      <w:color w:val="auto"/>
                      <w:kern w:val="2"/>
                      <w:sz w:val="21"/>
                      <w:szCs w:val="21"/>
                      <w:lang w:val="zh-CN" w:bidi="ar"/>
                    </w:rPr>
                  </w:pPr>
                  <w:r>
                    <w:rPr>
                      <w:rFonts w:hint="default" w:ascii="Times New Roman" w:hAnsi="Times New Roman" w:eastAsia="宋体" w:cs="Times New Roman"/>
                      <w:color w:val="auto"/>
                      <w:kern w:val="2"/>
                      <w:sz w:val="21"/>
                      <w:szCs w:val="21"/>
                      <w:lang w:bidi="ar"/>
                    </w:rPr>
                    <w:t>（EPDM）</w:t>
                  </w:r>
                </w:p>
              </w:tc>
              <w:tc>
                <w:tcPr>
                  <w:tcW w:w="7803" w:type="dxa"/>
                  <w:tcBorders>
                    <w:tl2br w:val="nil"/>
                    <w:tr2bl w:val="nil"/>
                  </w:tcBorders>
                  <w:vAlign w:val="center"/>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是乙烯、丙烯和少量的非共轭二烯烃的共聚物，是乙丙橡胶的一种，因其主链是由化学稳定的饱和烃组成，只在侧链中含有不饱和双键，故其耐臭氧、耐热、耐候等耐老化性能优异固体，相对密度0.86~0.90，适用温度范围广，最低使用温度-40~-60℃，可长期在130℃条件下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val="zh-CN" w:bidi="ar"/>
                    </w:rPr>
                  </w:pPr>
                  <w:r>
                    <w:rPr>
                      <w:rFonts w:hint="default" w:ascii="Times New Roman" w:hAnsi="Times New Roman" w:cs="Times New Roman"/>
                      <w:color w:val="auto"/>
                      <w:sz w:val="21"/>
                      <w:szCs w:val="24"/>
                    </w:rPr>
                    <w:t>S-80</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全称硫磺预分散药胶S-80，是橡胶工业中最重要的硫化剂，价格低廉，在天然胶及合成橡胶中使用最广泛。它是通过80%硫磺和20%高聚物(三元乙丙橡胶、丙烯酸橡胶等)预分散制得的橡胶母粒，外观呈黄色，比重1.96-2.07g/cm3，熔点112.8-119.3℃，溶于二硫化碳、四氯化碳和苯，不溶于水，稍溶于乙醇和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促进剂</w:t>
                  </w:r>
                </w:p>
                <w:p>
                  <w:pPr>
                    <w:spacing w:after="0" w:line="260" w:lineRule="exact"/>
                    <w:jc w:val="center"/>
                    <w:rPr>
                      <w:rFonts w:hint="default" w:ascii="Times New Roman" w:hAnsi="Times New Roman" w:eastAsia="宋体" w:cs="Times New Roman"/>
                      <w:color w:val="auto"/>
                      <w:kern w:val="2"/>
                      <w:sz w:val="21"/>
                      <w:szCs w:val="21"/>
                      <w:lang w:val="zh-CN" w:bidi="ar"/>
                    </w:rPr>
                  </w:pPr>
                  <w:r>
                    <w:rPr>
                      <w:rFonts w:hint="default" w:ascii="Times New Roman" w:hAnsi="Times New Roman" w:eastAsia="宋体" w:cs="Times New Roman"/>
                      <w:color w:val="auto"/>
                      <w:kern w:val="2"/>
                      <w:sz w:val="21"/>
                      <w:szCs w:val="21"/>
                      <w:lang w:bidi="ar"/>
                    </w:rPr>
                    <w:t>（CZ）</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化学名：N-环己基-2-苯并噻唑次磺酰胺，白色或淡灰色粉末，CAS：95-33-0，分子式：C13H16N2S2，分子量：264.4，不溶于水，微溶于乙醇、汽油，溶 于苯、四氯化碳、丙酮、乙酸乙酯等，相对密度(水=1)：1.27(25℃)。熔点(℃)：93-100。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促进剂</w:t>
                  </w:r>
                </w:p>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（CG-3M）</w:t>
                  </w:r>
                </w:p>
              </w:tc>
              <w:tc>
                <w:tcPr>
                  <w:tcW w:w="7803" w:type="dxa"/>
                  <w:tcBorders>
                    <w:tl2br w:val="nil"/>
                    <w:tr2bl w:val="nil"/>
                  </w:tcBorders>
                </w:tcPr>
                <w:p>
                  <w:pPr>
                    <w:spacing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淡黄色固体，略有气味，密度约1.26g/cm</w:t>
                  </w:r>
                  <w:r>
                    <w:rPr>
                      <w:rFonts w:hint="default" w:ascii="Times New Roman" w:hAnsi="Times New Roman" w:eastAsia="宋体" w:cs="Times New Roman"/>
                      <w:color w:val="auto"/>
                      <w:kern w:val="2"/>
                      <w:sz w:val="21"/>
                      <w:szCs w:val="21"/>
                      <w:vertAlign w:val="superscript"/>
                      <w:lang w:bidi="ar"/>
                    </w:rPr>
                    <w:t>3</w:t>
                  </w:r>
                  <w:r>
                    <w:rPr>
                      <w:rFonts w:hint="default" w:ascii="Times New Roman" w:hAnsi="Times New Roman" w:eastAsia="宋体" w:cs="Times New Roman"/>
                      <w:color w:val="auto"/>
                      <w:kern w:val="2"/>
                      <w:sz w:val="21"/>
                      <w:szCs w:val="21"/>
                      <w:lang w:bidi="ar"/>
                    </w:rPr>
                    <w:t>，不溶于水，可部分溶于有机溶剂，成分组成及含量：噻唑类促进剂约30%、二硫代氨基甲酸盐类约15%、秋兰姆类约15%、硫脲类约15%、白油约5%、EPDM载体约20%。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防老剂</w:t>
                  </w:r>
                </w:p>
                <w:p>
                  <w:pPr>
                    <w:spacing w:after="0" w:line="260" w:lineRule="exact"/>
                    <w:jc w:val="center"/>
                    <w:rPr>
                      <w:rFonts w:hint="default" w:ascii="Times New Roman" w:hAnsi="Times New Roman" w:eastAsia="宋体" w:cs="Times New Roman"/>
                      <w:color w:val="auto"/>
                      <w:kern w:val="2"/>
                      <w:sz w:val="21"/>
                      <w:szCs w:val="21"/>
                      <w:lang w:val="zh-CN" w:bidi="ar"/>
                    </w:rPr>
                  </w:pPr>
                  <w:r>
                    <w:rPr>
                      <w:rFonts w:hint="default" w:ascii="Times New Roman" w:hAnsi="Times New Roman" w:eastAsia="宋体" w:cs="Times New Roman"/>
                      <w:color w:val="auto"/>
                      <w:kern w:val="2"/>
                      <w:sz w:val="21"/>
                      <w:szCs w:val="21"/>
                      <w:lang w:bidi="ar"/>
                    </w:rPr>
                    <w:t>（石蜡）</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石蜡是固态高级烷烃的混合物，主要成分的分子式为C</w:t>
                  </w:r>
                  <w:r>
                    <w:rPr>
                      <w:rFonts w:hint="default" w:ascii="Times New Roman" w:hAnsi="Times New Roman" w:eastAsia="宋体" w:cs="Times New Roman"/>
                      <w:color w:val="auto"/>
                      <w:kern w:val="2"/>
                      <w:sz w:val="21"/>
                      <w:szCs w:val="21"/>
                      <w:vertAlign w:val="subscript"/>
                      <w:lang w:bidi="ar"/>
                    </w:rPr>
                    <w:t>n</w:t>
                  </w:r>
                  <w:r>
                    <w:rPr>
                      <w:rFonts w:hint="default" w:ascii="Times New Roman" w:hAnsi="Times New Roman" w:eastAsia="宋体" w:cs="Times New Roman"/>
                      <w:color w:val="auto"/>
                      <w:kern w:val="2"/>
                      <w:sz w:val="21"/>
                      <w:szCs w:val="21"/>
                      <w:lang w:bidi="ar"/>
                    </w:rPr>
                    <w:t>H</w:t>
                  </w:r>
                  <w:r>
                    <w:rPr>
                      <w:rFonts w:hint="default" w:ascii="Times New Roman" w:hAnsi="Times New Roman" w:eastAsia="宋体" w:cs="Times New Roman"/>
                      <w:color w:val="auto"/>
                      <w:kern w:val="2"/>
                      <w:sz w:val="21"/>
                      <w:szCs w:val="21"/>
                      <w:vertAlign w:val="subscript"/>
                      <w:lang w:bidi="ar"/>
                    </w:rPr>
                    <w:t>2n+2</w:t>
                  </w:r>
                  <w:r>
                    <w:rPr>
                      <w:rFonts w:hint="default" w:ascii="Times New Roman" w:hAnsi="Times New Roman" w:eastAsia="宋体" w:cs="Times New Roman"/>
                      <w:color w:val="auto"/>
                      <w:kern w:val="2"/>
                      <w:sz w:val="21"/>
                      <w:szCs w:val="21"/>
                      <w:lang w:bidi="ar"/>
                    </w:rPr>
                    <w:t>，其中n=17~35。白色、无味的蜡状固体，CAS：8002-74-2，在47</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2"/>
                      <w:sz w:val="21"/>
                      <w:szCs w:val="21"/>
                      <w:lang w:bidi="ar"/>
                    </w:rPr>
                    <w:t>-64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2"/>
                      <w:sz w:val="21"/>
                      <w:szCs w:val="21"/>
                      <w:lang w:bidi="ar"/>
                    </w:rPr>
                    <w:t>熔化，密度约0.9g/cm</w:t>
                  </w:r>
                  <w:r>
                    <w:rPr>
                      <w:rFonts w:hint="default" w:ascii="Times New Roman" w:hAnsi="Times New Roman" w:eastAsia="宋体" w:cs="Times New Roman"/>
                      <w:color w:val="auto"/>
                      <w:kern w:val="2"/>
                      <w:sz w:val="21"/>
                      <w:szCs w:val="21"/>
                      <w:vertAlign w:val="superscript"/>
                      <w:lang w:bidi="ar"/>
                    </w:rPr>
                    <w:t>3</w:t>
                  </w:r>
                  <w:r>
                    <w:rPr>
                      <w:rFonts w:hint="default" w:ascii="Times New Roman" w:hAnsi="Times New Roman" w:eastAsia="宋体" w:cs="Times New Roman"/>
                      <w:color w:val="auto"/>
                      <w:kern w:val="2"/>
                      <w:sz w:val="21"/>
                      <w:szCs w:val="21"/>
                      <w:lang w:bidi="ar"/>
                    </w:rPr>
                    <w:t>，溶于</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"https://baike.so.com/doc/1617446-1709950.html" \t "https://baike.so.com/doc/_blank"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1"/>
                      <w:szCs w:val="21"/>
                      <w:lang w:bidi="ar"/>
                    </w:rPr>
                    <w:t>汽油</w:t>
                  </w:r>
                  <w:r>
                    <w:rPr>
                      <w:rFonts w:hint="default" w:ascii="Times New Roman" w:hAnsi="Times New Roman" w:eastAsia="宋体" w:cs="Times New Roman"/>
                      <w:color w:val="auto"/>
                      <w:kern w:val="2"/>
                      <w:sz w:val="21"/>
                      <w:szCs w:val="21"/>
                      <w:lang w:bidi="ar"/>
                    </w:rPr>
                    <w:fldChar w:fldCharType="end"/>
                  </w:r>
                  <w:r>
                    <w:rPr>
                      <w:rFonts w:hint="default" w:ascii="Times New Roman" w:hAnsi="Times New Roman" w:eastAsia="宋体" w:cs="Times New Roman"/>
                      <w:color w:val="auto"/>
                      <w:kern w:val="2"/>
                      <w:sz w:val="21"/>
                      <w:szCs w:val="21"/>
                      <w:lang w:bidi="ar"/>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"https://baike.so.com/doc/3452665-3633155.html" \t "https://baike.so.com/doc/_blank"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1"/>
                      <w:szCs w:val="21"/>
                      <w:lang w:bidi="ar"/>
                    </w:rPr>
                    <w:t>二硫化碳</w:t>
                  </w:r>
                  <w:r>
                    <w:rPr>
                      <w:rFonts w:hint="default" w:ascii="Times New Roman" w:hAnsi="Times New Roman" w:eastAsia="宋体" w:cs="Times New Roman"/>
                      <w:color w:val="auto"/>
                      <w:kern w:val="2"/>
                      <w:sz w:val="21"/>
                      <w:szCs w:val="21"/>
                      <w:lang w:bidi="ar"/>
                    </w:rPr>
                    <w:fldChar w:fldCharType="end"/>
                  </w:r>
                  <w:r>
                    <w:rPr>
                      <w:rFonts w:hint="default" w:ascii="Times New Roman" w:hAnsi="Times New Roman" w:eastAsia="宋体" w:cs="Times New Roman"/>
                      <w:color w:val="auto"/>
                      <w:kern w:val="2"/>
                      <w:sz w:val="21"/>
                      <w:szCs w:val="21"/>
                      <w:lang w:bidi="ar"/>
                    </w:rPr>
                    <w:t>、二甲苯、乙醚、</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"https://baike.so.com/doc/3194557-3366490.html" \t "https://baike.so.com/doc/_blank"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1"/>
                      <w:szCs w:val="21"/>
                      <w:lang w:bidi="ar"/>
                    </w:rPr>
                    <w:t>苯</w:t>
                  </w:r>
                  <w:r>
                    <w:rPr>
                      <w:rFonts w:hint="default" w:ascii="Times New Roman" w:hAnsi="Times New Roman" w:eastAsia="宋体" w:cs="Times New Roman"/>
                      <w:color w:val="auto"/>
                      <w:kern w:val="2"/>
                      <w:sz w:val="21"/>
                      <w:szCs w:val="21"/>
                      <w:lang w:bidi="ar"/>
                    </w:rPr>
                    <w:fldChar w:fldCharType="end"/>
                  </w:r>
                  <w:r>
                    <w:rPr>
                      <w:rFonts w:hint="default" w:ascii="Times New Roman" w:hAnsi="Times New Roman" w:eastAsia="宋体" w:cs="Times New Roman"/>
                      <w:color w:val="auto"/>
                      <w:kern w:val="2"/>
                      <w:sz w:val="21"/>
                      <w:szCs w:val="21"/>
                      <w:lang w:bidi="ar"/>
                    </w:rPr>
                    <w:t>、氯仿、</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"https://baike.so.com/doc/131852-139263.html" \t "https://baike.so.com/doc/_blank"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1"/>
                      <w:szCs w:val="21"/>
                      <w:lang w:bidi="ar"/>
                    </w:rPr>
                    <w:t>四氯化碳</w:t>
                  </w:r>
                  <w:r>
                    <w:rPr>
                      <w:rFonts w:hint="default" w:ascii="Times New Roman" w:hAnsi="Times New Roman" w:eastAsia="宋体" w:cs="Times New Roman"/>
                      <w:color w:val="auto"/>
                      <w:kern w:val="2"/>
                      <w:sz w:val="21"/>
                      <w:szCs w:val="21"/>
                      <w:lang w:bidi="ar"/>
                    </w:rPr>
                    <w:fldChar w:fldCharType="end"/>
                  </w:r>
                  <w:r>
                    <w:rPr>
                      <w:rFonts w:hint="default" w:ascii="Times New Roman" w:hAnsi="Times New Roman" w:eastAsia="宋体" w:cs="Times New Roman"/>
                      <w:color w:val="auto"/>
                      <w:kern w:val="2"/>
                      <w:sz w:val="21"/>
                      <w:szCs w:val="21"/>
                      <w:lang w:bidi="ar"/>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"https://baike.so.com/doc/720848-763169.html" \t "https://baike.so.com/doc/_blank"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1"/>
                      <w:szCs w:val="21"/>
                      <w:lang w:bidi="ar"/>
                    </w:rPr>
                    <w:t>石脑油</w:t>
                  </w:r>
                  <w:r>
                    <w:rPr>
                      <w:rFonts w:hint="default" w:ascii="Times New Roman" w:hAnsi="Times New Roman" w:eastAsia="宋体" w:cs="Times New Roman"/>
                      <w:color w:val="auto"/>
                      <w:kern w:val="2"/>
                      <w:sz w:val="21"/>
                      <w:szCs w:val="21"/>
                      <w:lang w:bidi="ar"/>
                    </w:rPr>
                    <w:fldChar w:fldCharType="end"/>
                  </w:r>
                  <w:r>
                    <w:rPr>
                      <w:rFonts w:hint="default" w:ascii="Times New Roman" w:hAnsi="Times New Roman" w:eastAsia="宋体" w:cs="Times New Roman"/>
                      <w:color w:val="auto"/>
                      <w:kern w:val="2"/>
                      <w:sz w:val="21"/>
                      <w:szCs w:val="21"/>
                      <w:lang w:bidi="ar"/>
                    </w:rPr>
                    <w:t>等一类非极性溶剂，不溶于</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"https://baike.so.com/doc/5342961-7116906.html" \t "https://baike.so.com/doc/_blank"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1"/>
                      <w:szCs w:val="21"/>
                      <w:lang w:bidi="ar"/>
                    </w:rPr>
                    <w:t>水</w:t>
                  </w:r>
                  <w:r>
                    <w:rPr>
                      <w:rFonts w:hint="default" w:ascii="Times New Roman" w:hAnsi="Times New Roman" w:eastAsia="宋体" w:cs="Times New Roman"/>
                      <w:color w:val="auto"/>
                      <w:kern w:val="2"/>
                      <w:sz w:val="21"/>
                      <w:szCs w:val="21"/>
                      <w:lang w:bidi="ar"/>
                    </w:rPr>
                    <w:fldChar w:fldCharType="end"/>
                  </w:r>
                  <w:r>
                    <w:rPr>
                      <w:rFonts w:hint="default" w:ascii="Times New Roman" w:hAnsi="Times New Roman" w:eastAsia="宋体" w:cs="Times New Roman"/>
                      <w:color w:val="auto"/>
                      <w:kern w:val="2"/>
                      <w:sz w:val="21"/>
                      <w:szCs w:val="21"/>
                      <w:lang w:bidi="ar"/>
                    </w:rPr>
                    <w:t>和甲醇等</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"https://baike.so.com/doc/5332557-5567924.html" \t "https://baike.so.com/doc/_blank"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1"/>
                      <w:szCs w:val="21"/>
                      <w:lang w:bidi="ar"/>
                    </w:rPr>
                    <w:t>极性溶剂</w:t>
                  </w:r>
                  <w:r>
                    <w:rPr>
                      <w:rFonts w:hint="default" w:ascii="Times New Roman" w:hAnsi="Times New Roman" w:eastAsia="宋体" w:cs="Times New Roman"/>
                      <w:color w:val="auto"/>
                      <w:kern w:val="2"/>
                      <w:sz w:val="21"/>
                      <w:szCs w:val="21"/>
                      <w:lang w:bidi="ar"/>
                    </w:rPr>
                    <w:fldChar w:fldCharType="end"/>
                  </w:r>
                  <w:r>
                    <w:rPr>
                      <w:rFonts w:hint="default" w:ascii="Times New Roman" w:hAnsi="Times New Roman" w:eastAsia="宋体" w:cs="Times New Roman"/>
                      <w:color w:val="auto"/>
                      <w:kern w:val="2"/>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硅橡胶</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Helvetica" w:cs="Times New Roman"/>
                      <w:i w:val="0"/>
                      <w:iCs w:val="0"/>
                      <w:caps w:val="0"/>
                      <w:color w:val="auto"/>
                      <w:spacing w:val="0"/>
                      <w:sz w:val="21"/>
                      <w:szCs w:val="21"/>
                      <w:shd w:val="clear" w:fill="FFFFFF"/>
                    </w:rPr>
                    <w:t>硅橡胶是指主链由硅和氧原子交替构成，硅原子上通常连有两个有机基团的橡胶。硅橡胶无毒，无味，无嗅，显著的特征是高温稳定性，虽然常温下硅橡胶的强度仅是天然橡胶或某些合成橡胶的一半，但在200℃以上的高温环境下，硅橡胶仍能保持一定的柔韧性、回弹性和表面硬度，且力学性能无明显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聚异丁烯（PIB）</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一种合成橡胶，聚合物基于异丁烯，分子式:（C</w:t>
                  </w:r>
                  <w:r>
                    <w:rPr>
                      <w:rFonts w:hint="default" w:ascii="Times New Roman" w:hAnsi="Times New Roman" w:eastAsia="宋体" w:cs="Times New Roman"/>
                      <w:color w:val="auto"/>
                      <w:kern w:val="2"/>
                      <w:sz w:val="21"/>
                      <w:szCs w:val="21"/>
                      <w:vertAlign w:val="subscript"/>
                      <w:lang w:bidi="ar"/>
                    </w:rPr>
                    <w:t>4</w:t>
                  </w:r>
                  <w:r>
                    <w:rPr>
                      <w:rFonts w:hint="default" w:ascii="Times New Roman" w:hAnsi="Times New Roman" w:eastAsia="宋体" w:cs="Times New Roman"/>
                      <w:color w:val="auto"/>
                      <w:kern w:val="2"/>
                      <w:sz w:val="21"/>
                      <w:szCs w:val="21"/>
                      <w:lang w:bidi="ar"/>
                    </w:rPr>
                    <w:t>H</w:t>
                  </w:r>
                  <w:r>
                    <w:rPr>
                      <w:rFonts w:hint="default" w:ascii="Times New Roman" w:hAnsi="Times New Roman" w:eastAsia="宋体" w:cs="Times New Roman"/>
                      <w:color w:val="auto"/>
                      <w:kern w:val="2"/>
                      <w:sz w:val="21"/>
                      <w:szCs w:val="21"/>
                      <w:vertAlign w:val="subscript"/>
                      <w:lang w:bidi="ar"/>
                    </w:rPr>
                    <w:t>8</w:t>
                  </w:r>
                  <w:r>
                    <w:rPr>
                      <w:rFonts w:hint="default" w:ascii="Times New Roman" w:hAnsi="Times New Roman" w:eastAsia="宋体" w:cs="Times New Roman"/>
                      <w:color w:val="auto"/>
                      <w:kern w:val="2"/>
                      <w:sz w:val="21"/>
                      <w:szCs w:val="21"/>
                      <w:lang w:bidi="ar"/>
                    </w:rPr>
                    <w:t>）n，分子量:56.1063n，CAS：9003-27-4，无色至淡黄色黏稠液体或有弹性的橡胶状半固体，具有产品特有的气味，不自燃，燃烧温度为373℃，无爆炸性无助燃性，密度为0.90g/cm</w:t>
                  </w:r>
                  <w:r>
                    <w:rPr>
                      <w:rFonts w:hint="default" w:ascii="Times New Roman" w:hAnsi="Times New Roman" w:eastAsia="宋体" w:cs="Times New Roman"/>
                      <w:color w:val="auto"/>
                      <w:kern w:val="2"/>
                      <w:sz w:val="21"/>
                      <w:szCs w:val="21"/>
                      <w:vertAlign w:val="superscript"/>
                      <w:lang w:bidi="ar"/>
                    </w:rPr>
                    <w:t>3</w:t>
                  </w:r>
                  <w:r>
                    <w:rPr>
                      <w:rFonts w:hint="default" w:ascii="Times New Roman" w:hAnsi="Times New Roman" w:eastAsia="宋体" w:cs="Times New Roman"/>
                      <w:color w:val="auto"/>
                      <w:kern w:val="2"/>
                      <w:sz w:val="21"/>
                      <w:szCs w:val="21"/>
                      <w:lang w:bidi="ar"/>
                    </w:rPr>
                    <w:t>（20℃），不溶于水。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硫化剂</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有机过氧化物，化学品名称：2,5-二甲基-2,5-双（过氧叔丁基）己烷，CAS：78-63-7，淡黄澄清液体，具有特征气味，熔点：1~10℃，会在沸点以下分解，闪点：68℃（在1013hPa）,蒸气压：&lt;0.01hPa（在20℃），相对密度：0.872（在20℃），活性氧含量：10.14%，有机过氧化物：&g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67"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陶土</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化学名：硅酸铝，CAS：92704-41-1，主要成分：SiO250%～55%，Al2O3》40%，水分0.1%，白色无味固体粉末、PH值：6~7、白度（%）：》88%、折射率：1.62、比重：2.53、烧失量（800℃）：&lt;0.3%、325目筛余物（%）：&lt;0.5%，吸油值（g/100g）:30～40,堆积密度（g/cm3）: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滑石粉</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白色或类白色、微细、无砂性的粉末，手摸有油腻感。无臭，无味。分子式：</w:t>
                  </w:r>
                </w:p>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Mg3〔Si4O10〕(OH)2，CAS：14807-96-6，熔点：800 °C，密度：2.7-2.8，在水、稀矿酸或稀氢氧化碱溶液中均不溶解。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PA66</w:t>
                  </w:r>
                </w:p>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(尼龙-66）</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又称尼龙66树脂、聚酰胺66，聚己二酰己二胺，常制成圆柱状粒料。尼龙-66的玻璃化温度(高分子的比容和比热容等温度特性值在某一温度可出现不规则的变化，这一温度就是玻璃化温度)为47C。熔点250-270°C，分解温度&gt;350°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TPE</w:t>
                  </w:r>
                </w:p>
                <w:p>
                  <w:pPr>
                    <w:spacing w:after="0" w:line="260" w:lineRule="exact"/>
                    <w:jc w:val="center"/>
                    <w:rPr>
                      <w:rFonts w:hint="default" w:ascii="Times New Roman" w:hAnsi="Times New Roman" w:eastAsia="宋体" w:cs="Times New Roman"/>
                      <w:color w:val="auto"/>
                      <w:kern w:val="2"/>
                      <w:sz w:val="21"/>
                      <w:szCs w:val="21"/>
                      <w:lang w:bidi="ar"/>
                    </w:rPr>
                  </w:pPr>
                </w:p>
              </w:tc>
              <w:tc>
                <w:tcPr>
                  <w:tcW w:w="7803" w:type="dxa"/>
                  <w:tcBorders>
                    <w:tl2br w:val="nil"/>
                    <w:tr2bl w:val="nil"/>
                  </w:tcBorders>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TPE</w:t>
                  </w:r>
                  <w:r>
                    <w:rPr>
                      <w:rStyle w:val="35"/>
                      <w:rFonts w:hint="default" w:ascii="Times New Roman" w:hAnsi="Times New Roman" w:eastAsia="宋体" w:cs="Times New Roman"/>
                      <w:color w:val="auto"/>
                      <w:sz w:val="21"/>
                      <w:szCs w:val="21"/>
                      <w:u w:val="none"/>
                      <w:shd w:val="clear" w:color="auto" w:fill="FFFFFF"/>
                    </w:rPr>
                    <w:t>是一种</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"https://upimg.baike.so.com/doc/5330269-5565443.html" \t "https://upimg.baike.so.com/doc/_blank" </w:instrText>
                  </w:r>
                  <w:r>
                    <w:rPr>
                      <w:rFonts w:hint="default" w:ascii="Times New Roman" w:hAnsi="Times New Roman" w:cs="Times New Roman"/>
                      <w:color w:val="auto"/>
                    </w:rPr>
                    <w:fldChar w:fldCharType="separate"/>
                  </w:r>
                  <w:r>
                    <w:rPr>
                      <w:rStyle w:val="35"/>
                      <w:rFonts w:hint="default" w:ascii="Times New Roman" w:hAnsi="Times New Roman" w:eastAsia="宋体" w:cs="Times New Roman"/>
                      <w:color w:val="auto"/>
                      <w:sz w:val="21"/>
                      <w:szCs w:val="21"/>
                      <w:u w:val="none"/>
                      <w:shd w:val="clear" w:color="auto" w:fill="FFFFFF"/>
                    </w:rPr>
                    <w:t>热塑性弹性体</w:t>
                  </w:r>
                  <w:r>
                    <w:rPr>
                      <w:rStyle w:val="35"/>
                      <w:rFonts w:hint="default" w:ascii="Times New Roman" w:hAnsi="Times New Roman" w:eastAsia="宋体" w:cs="Times New Roman"/>
                      <w:color w:val="auto"/>
                      <w:sz w:val="21"/>
                      <w:szCs w:val="21"/>
                      <w:u w:val="none"/>
                      <w:shd w:val="clear" w:color="auto" w:fill="FFFFFF"/>
                    </w:rPr>
                    <w:fldChar w:fldCharType="end"/>
                  </w:r>
                  <w:r>
                    <w:rPr>
                      <w:rStyle w:val="35"/>
                      <w:rFonts w:hint="default" w:ascii="Times New Roman" w:hAnsi="Times New Roman" w:eastAsia="宋体" w:cs="Times New Roman"/>
                      <w:color w:val="auto"/>
                      <w:sz w:val="21"/>
                      <w:szCs w:val="21"/>
                      <w:u w:val="none"/>
                      <w:shd w:val="clear" w:color="auto" w:fill="FFFFFF"/>
                    </w:rPr>
                    <w:t>材料，兼具了塑料和橡胶的优点，具有高</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"https://upimg.baike.so.com/doc/4753188-4968579.html" \t "https://upimg.baike.so.com/doc/_blank" </w:instrText>
                  </w:r>
                  <w:r>
                    <w:rPr>
                      <w:rFonts w:hint="default" w:ascii="Times New Roman" w:hAnsi="Times New Roman" w:cs="Times New Roman"/>
                      <w:color w:val="auto"/>
                    </w:rPr>
                    <w:fldChar w:fldCharType="separate"/>
                  </w:r>
                  <w:r>
                    <w:rPr>
                      <w:rStyle w:val="35"/>
                      <w:rFonts w:hint="default" w:ascii="Times New Roman" w:hAnsi="Times New Roman" w:eastAsia="宋体" w:cs="Times New Roman"/>
                      <w:color w:val="auto"/>
                      <w:sz w:val="21"/>
                      <w:szCs w:val="21"/>
                      <w:u w:val="none"/>
                      <w:shd w:val="clear" w:color="auto" w:fill="FFFFFF"/>
                    </w:rPr>
                    <w:t>强度</w:t>
                  </w:r>
                  <w:r>
                    <w:rPr>
                      <w:rStyle w:val="35"/>
                      <w:rFonts w:hint="default" w:ascii="Times New Roman" w:hAnsi="Times New Roman" w:eastAsia="宋体" w:cs="Times New Roman"/>
                      <w:color w:val="auto"/>
                      <w:sz w:val="21"/>
                      <w:szCs w:val="21"/>
                      <w:u w:val="none"/>
                      <w:shd w:val="clear" w:color="auto" w:fill="FFFFFF"/>
                    </w:rPr>
                    <w:fldChar w:fldCharType="end"/>
                  </w:r>
                  <w:r>
                    <w:rPr>
                      <w:rStyle w:val="35"/>
                      <w:rFonts w:hint="default" w:ascii="Times New Roman" w:hAnsi="Times New Roman" w:eastAsia="宋体" w:cs="Times New Roman"/>
                      <w:color w:val="auto"/>
                      <w:sz w:val="21"/>
                      <w:szCs w:val="21"/>
                      <w:u w:val="none"/>
                      <w:shd w:val="clear" w:color="auto" w:fill="FFFFFF"/>
                    </w:rPr>
                    <w:t>，高回弹性，可</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"https://upimg.baike.so.com/doc/5514224-5748475.html" \t "https://upimg.baike.so.com/doc/_blank" </w:instrText>
                  </w:r>
                  <w:r>
                    <w:rPr>
                      <w:rFonts w:hint="default" w:ascii="Times New Roman" w:hAnsi="Times New Roman" w:cs="Times New Roman"/>
                      <w:color w:val="auto"/>
                    </w:rPr>
                    <w:fldChar w:fldCharType="separate"/>
                  </w:r>
                  <w:r>
                    <w:rPr>
                      <w:rStyle w:val="35"/>
                      <w:rFonts w:hint="default" w:ascii="Times New Roman" w:hAnsi="Times New Roman" w:eastAsia="宋体" w:cs="Times New Roman"/>
                      <w:color w:val="auto"/>
                      <w:sz w:val="21"/>
                      <w:szCs w:val="21"/>
                      <w:u w:val="none"/>
                      <w:shd w:val="clear" w:color="auto" w:fill="FFFFFF"/>
                    </w:rPr>
                    <w:t>注塑</w:t>
                  </w:r>
                  <w:r>
                    <w:rPr>
                      <w:rStyle w:val="35"/>
                      <w:rFonts w:hint="default" w:ascii="Times New Roman" w:hAnsi="Times New Roman" w:eastAsia="宋体" w:cs="Times New Roman"/>
                      <w:color w:val="auto"/>
                      <w:sz w:val="21"/>
                      <w:szCs w:val="21"/>
                      <w:u w:val="none"/>
                      <w:shd w:val="clear" w:color="auto" w:fill="FFFFFF"/>
                    </w:rPr>
                    <w:fldChar w:fldCharType="end"/>
                  </w:r>
                  <w:r>
                    <w:rPr>
                      <w:rStyle w:val="35"/>
                      <w:rFonts w:hint="default" w:ascii="Times New Roman" w:hAnsi="Times New Roman" w:eastAsia="宋体" w:cs="Times New Roman"/>
                      <w:color w:val="auto"/>
                      <w:sz w:val="21"/>
                      <w:szCs w:val="21"/>
                      <w:u w:val="none"/>
                      <w:shd w:val="clear" w:color="auto" w:fill="FFFFFF"/>
                    </w:rPr>
                    <w:t>加工的特征，应用范围广泛，环保无毒安全，有优良的着色性，既可以二次注塑成型，与PP、PE、PC、PS、ABS等基体材料包覆粘合，也可以单独成型等优点。可以说是塑料和橡胶的结合体，可以理解为塑料的优点和橡胶的优点组合成的TPE弹性体。热塑</w:t>
                  </w:r>
                  <w:r>
                    <w:rPr>
                      <w:rFonts w:hint="default" w:ascii="Times New Roman" w:hAnsi="Times New Roman" w:eastAsia="宋体" w:cs="Times New Roman"/>
                      <w:color w:val="auto"/>
                      <w:sz w:val="21"/>
                      <w:szCs w:val="21"/>
                      <w:shd w:val="clear" w:color="auto" w:fill="FFFFFF"/>
                    </w:rPr>
                    <w:t>性弹性体可概括为通用TPE和工程TPE两个类型，</w:t>
                  </w:r>
                  <w:r>
                    <w:rPr>
                      <w:rFonts w:hint="eastAsia" w:ascii="Times New Roman" w:hAnsi="Times New Roman" w:eastAsia="宋体" w:cs="Times New Roman"/>
                      <w:color w:val="auto"/>
                      <w:sz w:val="21"/>
                      <w:szCs w:val="21"/>
                      <w:shd w:val="clear" w:color="auto" w:fill="FFFFFF"/>
                      <w:lang w:eastAsia="zh-CN"/>
                    </w:rPr>
                    <w:t>目前已</w:t>
                  </w:r>
                  <w:r>
                    <w:rPr>
                      <w:rFonts w:hint="default" w:ascii="Times New Roman" w:hAnsi="Times New Roman" w:eastAsia="宋体" w:cs="Times New Roman"/>
                      <w:color w:val="auto"/>
                      <w:sz w:val="21"/>
                      <w:szCs w:val="21"/>
                      <w:shd w:val="clear" w:color="auto" w:fill="FFFFFF"/>
                    </w:rPr>
                    <w:t>发展到10大类30多个品种。</w:t>
                  </w:r>
                  <w:r>
                    <w:rPr>
                      <w:rFonts w:hint="default" w:ascii="Times New Roman" w:hAnsi="Times New Roman" w:eastAsia="宋体" w:cs="Times New Roman"/>
                      <w:color w:val="auto"/>
                      <w:kern w:val="2"/>
                      <w:sz w:val="21"/>
                      <w:szCs w:val="21"/>
                      <w:lang w:bidi="ar"/>
                    </w:rPr>
                    <w:t>熔点:222-226°C，沸点:420°C，不溶于水。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石蜡油</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无色粘稠液体，CAS：8012-95-1，初沸点和沸程260℃，不溶于水，</w:t>
                  </w:r>
                  <w:r>
                    <w:rPr>
                      <w:rFonts w:hint="default" w:ascii="Times New Roman" w:hAnsi="Times New Roman" w:eastAsia="宋体" w:cs="Times New Roman"/>
                      <w:color w:val="auto"/>
                      <w:kern w:val="2"/>
                      <w:sz w:val="21"/>
                      <w:szCs w:val="21"/>
                      <w:lang w:val="zh-CN" w:bidi="ar"/>
                    </w:rPr>
                    <w:t>相对密度</w:t>
                  </w:r>
                  <w:r>
                    <w:rPr>
                      <w:rFonts w:hint="default" w:ascii="Times New Roman" w:hAnsi="Times New Roman" w:eastAsia="宋体" w:cs="Times New Roman"/>
                      <w:color w:val="auto"/>
                      <w:kern w:val="2"/>
                      <w:sz w:val="21"/>
                      <w:szCs w:val="21"/>
                      <w:lang w:bidi="ar"/>
                    </w:rPr>
                    <w:t>0.82~0.89，闪点215℃（闭杯）。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1"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ATS HPL</w:t>
                  </w:r>
                </w:p>
                <w:p>
                  <w:pPr>
                    <w:spacing w:after="0" w:line="26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sz w:val="21"/>
                      <w:szCs w:val="24"/>
                    </w:rPr>
                    <w:t>润滑脂</w:t>
                  </w:r>
                </w:p>
              </w:tc>
              <w:tc>
                <w:tcPr>
                  <w:tcW w:w="7803" w:type="dxa"/>
                  <w:tcBorders>
                    <w:tl2br w:val="nil"/>
                    <w:tr2bl w:val="nil"/>
                  </w:tcBorders>
                </w:tcPr>
                <w:p>
                  <w:pPr>
                    <w:spacing w:after="0" w:line="260" w:lineRule="exact"/>
                    <w:ind w:firstLine="420" w:firstLineChars="20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白色膏状，几乎无气味，不容水。在通常的储存和使用条件下，不会产生危险的分解产物。组成成分为：基础油（70-85%）、稠化剂（10-15%）、PTFE（4-7%）、PIB（8-13%）。</w:t>
                  </w:r>
                </w:p>
              </w:tc>
            </w:tr>
          </w:tbl>
          <w:p>
            <w:pPr>
              <w:spacing w:after="0" w:line="420" w:lineRule="exact"/>
              <w:ind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本项目资源能源及消耗情况见表2.1-10。</w:t>
            </w:r>
          </w:p>
          <w:p>
            <w:pPr>
              <w:spacing w:after="0" w:line="420" w:lineRule="exact"/>
              <w:jc w:val="center"/>
              <w:rPr>
                <w:rFonts w:hint="default" w:ascii="Times New Roman" w:hAnsi="Times New Roman" w:eastAsia="Times New Roman" w:cs="Times New Roman"/>
                <w:b/>
                <w:color w:val="auto"/>
                <w:kern w:val="2"/>
                <w:sz w:val="24"/>
                <w:szCs w:val="24"/>
              </w:rPr>
            </w:pPr>
            <w:r>
              <w:rPr>
                <w:rFonts w:hint="default" w:ascii="Times New Roman" w:hAnsi="Times New Roman" w:eastAsia="宋体" w:cs="Times New Roman"/>
                <w:b/>
                <w:color w:val="auto"/>
                <w:kern w:val="2"/>
                <w:sz w:val="24"/>
                <w:szCs w:val="24"/>
              </w:rPr>
              <w:t>表2.1-10</w:t>
            </w:r>
            <w:r>
              <w:rPr>
                <w:rFonts w:hint="default" w:ascii="Times New Roman" w:hAnsi="Times New Roman" w:eastAsia="Times New Roman" w:cs="Times New Roman"/>
                <w:b/>
                <w:color w:val="auto"/>
                <w:kern w:val="2"/>
                <w:sz w:val="24"/>
                <w:szCs w:val="24"/>
              </w:rPr>
              <w:t xml:space="preserve">  </w:t>
            </w:r>
            <w:r>
              <w:rPr>
                <w:rFonts w:hint="default" w:ascii="Times New Roman" w:hAnsi="Times New Roman" w:eastAsia="宋体" w:cs="Times New Roman"/>
                <w:b/>
                <w:color w:val="auto"/>
                <w:kern w:val="2"/>
                <w:sz w:val="24"/>
                <w:szCs w:val="24"/>
              </w:rPr>
              <w:t>资源能源及消耗情况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851"/>
              <w:gridCol w:w="1294"/>
              <w:gridCol w:w="2039"/>
              <w:gridCol w:w="2218"/>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19"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名称</w:t>
                  </w:r>
                </w:p>
              </w:tc>
              <w:tc>
                <w:tcPr>
                  <w:tcW w:w="1272"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单位</w:t>
                  </w:r>
                </w:p>
              </w:tc>
              <w:tc>
                <w:tcPr>
                  <w:tcW w:w="2005"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消耗量</w:t>
                  </w:r>
                </w:p>
              </w:tc>
              <w:tc>
                <w:tcPr>
                  <w:tcW w:w="2181"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来源</w:t>
                  </w:r>
                </w:p>
              </w:tc>
              <w:tc>
                <w:tcPr>
                  <w:tcW w:w="1819"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19"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电</w:t>
                  </w:r>
                </w:p>
              </w:tc>
              <w:tc>
                <w:tcPr>
                  <w:tcW w:w="1272"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kwh/a</w:t>
                  </w:r>
                </w:p>
              </w:tc>
              <w:tc>
                <w:tcPr>
                  <w:tcW w:w="2005"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2</w:t>
                  </w:r>
                  <w:r>
                    <w:rPr>
                      <w:rFonts w:hint="default" w:ascii="Times New Roman" w:hAnsi="Times New Roman" w:eastAsia="Times New Roman" w:cs="Times New Roman"/>
                      <w:color w:val="auto"/>
                      <w:kern w:val="2"/>
                      <w:sz w:val="21"/>
                      <w:szCs w:val="21"/>
                      <w:lang w:bidi="ar"/>
                    </w:rPr>
                    <w:t>×10</w:t>
                  </w:r>
                  <w:r>
                    <w:rPr>
                      <w:rFonts w:hint="default" w:ascii="Times New Roman" w:hAnsi="Times New Roman" w:eastAsia="宋体" w:cs="Times New Roman"/>
                      <w:color w:val="auto"/>
                      <w:kern w:val="2"/>
                      <w:sz w:val="21"/>
                      <w:szCs w:val="21"/>
                      <w:vertAlign w:val="superscript"/>
                      <w:lang w:bidi="ar"/>
                    </w:rPr>
                    <w:t>6</w:t>
                  </w:r>
                </w:p>
              </w:tc>
              <w:tc>
                <w:tcPr>
                  <w:tcW w:w="2181"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市政电网</w:t>
                  </w:r>
                </w:p>
              </w:tc>
              <w:tc>
                <w:tcPr>
                  <w:tcW w:w="1819"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生产、办公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19"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水</w:t>
                  </w:r>
                </w:p>
              </w:tc>
              <w:tc>
                <w:tcPr>
                  <w:tcW w:w="1272"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m³/a</w:t>
                  </w:r>
                </w:p>
              </w:tc>
              <w:tc>
                <w:tcPr>
                  <w:tcW w:w="2005" w:type="dxa"/>
                  <w:tcBorders>
                    <w:tl2br w:val="nil"/>
                    <w:tr2bl w:val="nil"/>
                  </w:tcBorders>
                  <w:vAlign w:val="center"/>
                </w:tcPr>
                <w:p>
                  <w:pPr>
                    <w:spacing w:after="0"/>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6.4</w:t>
                  </w:r>
                  <w:r>
                    <w:rPr>
                      <w:rFonts w:hint="default" w:ascii="Times New Roman" w:hAnsi="Times New Roman" w:eastAsia="Times New Roman" w:cs="Times New Roman"/>
                      <w:color w:val="auto"/>
                      <w:kern w:val="2"/>
                      <w:sz w:val="21"/>
                      <w:szCs w:val="21"/>
                      <w:lang w:bidi="ar"/>
                    </w:rPr>
                    <w:t>×10</w:t>
                  </w:r>
                  <w:r>
                    <w:rPr>
                      <w:rFonts w:hint="default" w:ascii="Times New Roman" w:hAnsi="Times New Roman" w:eastAsia="宋体" w:cs="Times New Roman"/>
                      <w:color w:val="auto"/>
                      <w:kern w:val="2"/>
                      <w:sz w:val="21"/>
                      <w:szCs w:val="21"/>
                      <w:vertAlign w:val="superscript"/>
                      <w:lang w:bidi="ar"/>
                    </w:rPr>
                    <w:t>4</w:t>
                  </w:r>
                </w:p>
              </w:tc>
              <w:tc>
                <w:tcPr>
                  <w:tcW w:w="2181"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市政自来水网</w:t>
                  </w:r>
                </w:p>
              </w:tc>
              <w:tc>
                <w:tcPr>
                  <w:tcW w:w="1819" w:type="dxa"/>
                  <w:tcBorders>
                    <w:tl2br w:val="nil"/>
                    <w:tr2bl w:val="nil"/>
                  </w:tcBorders>
                  <w:vAlign w:val="center"/>
                </w:tcPr>
                <w:p>
                  <w:pPr>
                    <w:spacing w:after="0"/>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生产、生活</w:t>
                  </w:r>
                </w:p>
              </w:tc>
            </w:tr>
          </w:tbl>
          <w:p>
            <w:pPr>
              <w:spacing w:after="0" w:line="420" w:lineRule="exact"/>
              <w:rPr>
                <w:rFonts w:hint="default" w:ascii="Times New Roman" w:hAnsi="Times New Roman" w:eastAsia="Times New Roman" w:cs="Times New Roman"/>
                <w:color w:val="auto"/>
                <w:kern w:val="2"/>
                <w:sz w:val="24"/>
                <w:szCs w:val="24"/>
              </w:rPr>
            </w:pPr>
            <w:r>
              <w:rPr>
                <w:rFonts w:hint="default" w:ascii="Times New Roman" w:hAnsi="Times New Roman" w:eastAsia="Times New Roman" w:cs="Times New Roman"/>
                <w:b/>
                <w:color w:val="auto"/>
                <w:kern w:val="2"/>
                <w:sz w:val="24"/>
                <w:szCs w:val="24"/>
              </w:rPr>
              <w:t>2.1.9</w:t>
            </w:r>
            <w:r>
              <w:rPr>
                <w:rFonts w:hint="default" w:ascii="Times New Roman" w:hAnsi="Times New Roman" w:eastAsia="宋体" w:cs="Times New Roman"/>
                <w:b/>
                <w:color w:val="auto"/>
                <w:kern w:val="2"/>
                <w:sz w:val="24"/>
                <w:szCs w:val="24"/>
              </w:rPr>
              <w:t>劳动定员及工作制度</w:t>
            </w:r>
          </w:p>
          <w:p>
            <w:pPr>
              <w:spacing w:after="0" w:line="420" w:lineRule="exact"/>
              <w:ind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本项目劳动定员300人；生产制度：全年工作</w:t>
            </w:r>
            <w:r>
              <w:rPr>
                <w:rFonts w:hint="default" w:ascii="Times New Roman" w:hAnsi="Times New Roman" w:eastAsia="Times New Roman" w:cs="Times New Roman"/>
                <w:color w:val="auto"/>
                <w:kern w:val="2"/>
                <w:sz w:val="24"/>
                <w:szCs w:val="24"/>
              </w:rPr>
              <w:t>300</w:t>
            </w:r>
            <w:r>
              <w:rPr>
                <w:rFonts w:hint="default" w:ascii="Times New Roman" w:hAnsi="Times New Roman" w:eastAsia="宋体" w:cs="Times New Roman"/>
                <w:color w:val="auto"/>
                <w:kern w:val="2"/>
                <w:sz w:val="24"/>
                <w:szCs w:val="24"/>
              </w:rPr>
              <w:t>天。密炼开炼工段实行1班制8h工作制；橡胶成型工段实行2班12</w:t>
            </w:r>
            <w:r>
              <w:rPr>
                <w:rFonts w:hint="default" w:ascii="Times New Roman" w:hAnsi="Times New Roman" w:eastAsia="Times New Roman" w:cs="Times New Roman"/>
                <w:color w:val="auto"/>
                <w:kern w:val="2"/>
                <w:sz w:val="24"/>
                <w:szCs w:val="24"/>
              </w:rPr>
              <w:t>h</w:t>
            </w:r>
            <w:r>
              <w:rPr>
                <w:rFonts w:hint="default" w:ascii="Times New Roman" w:hAnsi="Times New Roman" w:eastAsia="宋体" w:cs="Times New Roman"/>
                <w:color w:val="auto"/>
                <w:kern w:val="2"/>
                <w:sz w:val="24"/>
                <w:szCs w:val="24"/>
              </w:rPr>
              <w:t>工作制；其他工段实行都是1班12</w:t>
            </w:r>
            <w:r>
              <w:rPr>
                <w:rFonts w:hint="default" w:ascii="Times New Roman" w:hAnsi="Times New Roman" w:eastAsia="Times New Roman" w:cs="Times New Roman"/>
                <w:color w:val="auto"/>
                <w:kern w:val="2"/>
                <w:sz w:val="24"/>
                <w:szCs w:val="24"/>
              </w:rPr>
              <w:t>h</w:t>
            </w:r>
            <w:r>
              <w:rPr>
                <w:rFonts w:hint="default" w:ascii="Times New Roman" w:hAnsi="Times New Roman" w:eastAsia="宋体" w:cs="Times New Roman"/>
                <w:color w:val="auto"/>
                <w:kern w:val="2"/>
                <w:sz w:val="24"/>
                <w:szCs w:val="24"/>
              </w:rPr>
              <w:t>工作制。</w:t>
            </w:r>
          </w:p>
          <w:p>
            <w:pPr>
              <w:spacing w:after="0" w:line="420" w:lineRule="exact"/>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color w:val="auto"/>
                <w:kern w:val="2"/>
                <w:sz w:val="24"/>
                <w:szCs w:val="24"/>
              </w:rPr>
              <w:t>2.1.10总平面布置</w:t>
            </w:r>
          </w:p>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博盟公司所在地块呈规则矩形，地块西北侧为闲置荒地、西南侧为重庆针尖内燃机部件制造有限公司、东南侧为园区道路（农创路）、东北侧为重庆市巨亮机械制造有限责任公司，交通便捷，新建</w:t>
            </w:r>
            <w:r>
              <w:rPr>
                <w:rFonts w:hint="default" w:ascii="Times New Roman" w:hAnsi="Times New Roman" w:eastAsia="Times New Roman" w:cs="Times New Roman"/>
                <w:color w:val="auto"/>
                <w:kern w:val="2"/>
                <w:sz w:val="24"/>
                <w:szCs w:val="24"/>
              </w:rPr>
              <w:t>1</w:t>
            </w:r>
            <w:r>
              <w:rPr>
                <w:rFonts w:hint="default" w:ascii="Times New Roman" w:hAnsi="Times New Roman" w:eastAsia="宋体" w:cs="Times New Roman"/>
                <w:color w:val="auto"/>
                <w:kern w:val="2"/>
                <w:sz w:val="24"/>
                <w:szCs w:val="24"/>
                <w:vertAlign w:val="superscript"/>
              </w:rPr>
              <w:t>#</w:t>
            </w:r>
            <w:r>
              <w:rPr>
                <w:rFonts w:hint="default" w:ascii="Times New Roman" w:hAnsi="Times New Roman" w:eastAsia="宋体" w:cs="Times New Roman"/>
                <w:color w:val="auto"/>
                <w:kern w:val="2"/>
                <w:sz w:val="24"/>
                <w:szCs w:val="24"/>
              </w:rPr>
              <w:t>厂房（丙类）、2</w:t>
            </w:r>
            <w:r>
              <w:rPr>
                <w:rFonts w:hint="default" w:ascii="Times New Roman" w:hAnsi="Times New Roman" w:eastAsia="宋体" w:cs="Times New Roman"/>
                <w:color w:val="auto"/>
                <w:kern w:val="2"/>
                <w:sz w:val="24"/>
                <w:szCs w:val="24"/>
                <w:vertAlign w:val="superscript"/>
              </w:rPr>
              <w:t>#</w:t>
            </w:r>
            <w:r>
              <w:rPr>
                <w:rFonts w:hint="default" w:ascii="Times New Roman" w:hAnsi="Times New Roman" w:eastAsia="宋体" w:cs="Times New Roman"/>
                <w:color w:val="auto"/>
                <w:kern w:val="2"/>
                <w:sz w:val="24"/>
                <w:szCs w:val="24"/>
              </w:rPr>
              <w:t>宿舍楼、3</w:t>
            </w:r>
            <w:r>
              <w:rPr>
                <w:rFonts w:hint="default" w:ascii="Times New Roman" w:hAnsi="Times New Roman" w:eastAsia="宋体" w:cs="Times New Roman"/>
                <w:color w:val="auto"/>
                <w:kern w:val="2"/>
                <w:sz w:val="24"/>
                <w:szCs w:val="24"/>
                <w:vertAlign w:val="superscript"/>
              </w:rPr>
              <w:t>#</w:t>
            </w:r>
            <w:r>
              <w:rPr>
                <w:rFonts w:hint="default" w:ascii="Times New Roman" w:hAnsi="Times New Roman" w:eastAsia="宋体" w:cs="Times New Roman"/>
                <w:color w:val="auto"/>
                <w:kern w:val="2"/>
                <w:sz w:val="24"/>
                <w:szCs w:val="24"/>
              </w:rPr>
              <w:t>厂房（丙类），厂区东南侧设置出入口；沿厂界围墙，在西北侧、西南侧、东北侧设置地面停车位，东南侧绿地处设置生化池，就近接入厂区东南侧市政支路敷设的市政污水管网接口。</w:t>
            </w:r>
          </w:p>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总平面布置按照功能分区布置的原则，遵守国家安全、防火、卫生等规范，符合工艺生产流程的要求，使物料流程顺畅，输送距离短捷。结合场地地形、地貌和气候条件、主导风向条件，合理确定建构筑物的位置，使项目的功能分区明确，创造良好的生产和工作环境。</w:t>
            </w:r>
          </w:p>
          <w:p>
            <w:pPr>
              <w:spacing w:after="0" w:line="420" w:lineRule="exact"/>
              <w:rPr>
                <w:rFonts w:hint="default" w:ascii="Times New Roman" w:hAnsi="Times New Roman" w:eastAsia="Times New Roman" w:cs="Times New Roman"/>
                <w:color w:val="auto"/>
                <w:kern w:val="2"/>
                <w:sz w:val="24"/>
                <w:szCs w:val="24"/>
              </w:rPr>
            </w:pPr>
            <w:r>
              <w:rPr>
                <w:rFonts w:hint="default" w:ascii="Times New Roman" w:hAnsi="Times New Roman" w:eastAsia="Times New Roman" w:cs="Times New Roman"/>
                <w:b/>
                <w:color w:val="auto"/>
                <w:kern w:val="2"/>
                <w:sz w:val="24"/>
                <w:szCs w:val="24"/>
              </w:rPr>
              <w:t>2.1.11</w:t>
            </w:r>
            <w:r>
              <w:rPr>
                <w:rFonts w:hint="default" w:ascii="Times New Roman" w:hAnsi="Times New Roman" w:eastAsia="宋体" w:cs="Times New Roman"/>
                <w:b/>
                <w:color w:val="auto"/>
                <w:kern w:val="2"/>
                <w:sz w:val="24"/>
                <w:szCs w:val="24"/>
              </w:rPr>
              <w:t>主要技术经济指标</w:t>
            </w:r>
          </w:p>
          <w:p>
            <w:pPr>
              <w:spacing w:after="0" w:line="420" w:lineRule="exact"/>
              <w:ind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本项目主要技术经济指标见表2.1-11。</w:t>
            </w:r>
          </w:p>
          <w:p>
            <w:pPr>
              <w:spacing w:after="0" w:line="410" w:lineRule="exact"/>
              <w:jc w:val="center"/>
              <w:rPr>
                <w:rFonts w:hint="default" w:ascii="Times New Roman" w:hAnsi="Times New Roman" w:eastAsia="Times New Roman" w:cs="Times New Roman"/>
                <w:b/>
                <w:color w:val="auto"/>
                <w:kern w:val="2"/>
                <w:sz w:val="24"/>
                <w:szCs w:val="24"/>
              </w:rPr>
            </w:pPr>
            <w:r>
              <w:rPr>
                <w:rFonts w:hint="default" w:ascii="Times New Roman" w:hAnsi="Times New Roman" w:eastAsia="宋体" w:cs="Times New Roman"/>
                <w:b/>
                <w:color w:val="auto"/>
                <w:kern w:val="2"/>
                <w:sz w:val="24"/>
                <w:szCs w:val="24"/>
              </w:rPr>
              <w:t>表2.1-11</w:t>
            </w:r>
            <w:r>
              <w:rPr>
                <w:rFonts w:hint="default" w:ascii="Times New Roman" w:hAnsi="Times New Roman" w:eastAsia="Times New Roman" w:cs="Times New Roman"/>
                <w:b/>
                <w:color w:val="auto"/>
                <w:kern w:val="2"/>
                <w:sz w:val="24"/>
                <w:szCs w:val="24"/>
              </w:rPr>
              <w:t xml:space="preserve">  </w:t>
            </w:r>
            <w:r>
              <w:rPr>
                <w:rFonts w:hint="default" w:ascii="Times New Roman" w:hAnsi="Times New Roman" w:eastAsia="宋体" w:cs="Times New Roman"/>
                <w:b/>
                <w:color w:val="auto"/>
                <w:kern w:val="2"/>
                <w:sz w:val="24"/>
                <w:szCs w:val="24"/>
              </w:rPr>
              <w:t>主要技术经济指标</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72"/>
              <w:gridCol w:w="2478"/>
              <w:gridCol w:w="1339"/>
              <w:gridCol w:w="1325"/>
              <w:gridCol w:w="32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351" w:type="dxa"/>
                  <w:gridSpan w:val="2"/>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项目</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单位</w:t>
                  </w:r>
                </w:p>
              </w:tc>
              <w:tc>
                <w:tcPr>
                  <w:tcW w:w="132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数值</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251" w:type="dxa"/>
                  <w:gridSpan w:val="5"/>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生产规模及产品方案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3" w:type="dxa"/>
                  <w:vMerge w:val="restart"/>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其中</w:t>
                  </w:r>
                </w:p>
              </w:tc>
              <w:tc>
                <w:tcPr>
                  <w:tcW w:w="2478"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隔热垫</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万台套/a</w:t>
                  </w:r>
                </w:p>
              </w:tc>
              <w:tc>
                <w:tcPr>
                  <w:tcW w:w="132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15</w:t>
                  </w:r>
                </w:p>
              </w:tc>
              <w:tc>
                <w:tcPr>
                  <w:tcW w:w="3236" w:type="dxa"/>
                  <w:tcBorders>
                    <w:tl2br w:val="nil"/>
                    <w:tr2bl w:val="nil"/>
                  </w:tcBorders>
                  <w:vAlign w:val="center"/>
                </w:tcPr>
                <w:p>
                  <w:pPr>
                    <w:spacing w:after="0" w:line="300" w:lineRule="exact"/>
                    <w:jc w:val="both"/>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sz w:val="21"/>
                      <w:szCs w:val="21"/>
                      <w:shd w:val="clear" w:color="auto" w:fill="FFFFFF"/>
                      <w:lang w:bidi="ar"/>
                    </w:rPr>
                    <w:t>玻璃纤维隔热垫</w:t>
                  </w:r>
                  <w:r>
                    <w:rPr>
                      <w:rFonts w:hint="default" w:ascii="Times New Roman" w:hAnsi="Times New Roman" w:cs="Times New Roman"/>
                      <w:color w:val="auto"/>
                      <w:sz w:val="21"/>
                      <w:szCs w:val="21"/>
                      <w:shd w:val="clear" w:color="auto" w:fill="FFFFFF"/>
                      <w:lang w:bidi="ar"/>
                    </w:rPr>
                    <w:t>、</w:t>
                  </w:r>
                  <w:r>
                    <w:rPr>
                      <w:rFonts w:hint="default" w:ascii="Times New Roman" w:hAnsi="Times New Roman" w:eastAsia="宋体" w:cs="Times New Roman"/>
                      <w:color w:val="auto"/>
                      <w:sz w:val="21"/>
                      <w:szCs w:val="21"/>
                      <w:shd w:val="clear" w:color="auto" w:fill="FFFFFF"/>
                      <w:lang w:bidi="ar"/>
                    </w:rPr>
                    <w:t>陶瓷纤维气凝胶隔热垫各7.5万台套/a。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3"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2478"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sz w:val="21"/>
                      <w:szCs w:val="21"/>
                      <w:shd w:val="clear" w:color="auto" w:fill="FFFFFF"/>
                      <w:lang w:bidi="ar"/>
                    </w:rPr>
                    <w:t>新能源</w:t>
                  </w:r>
                  <w:r>
                    <w:rPr>
                      <w:rFonts w:hint="default" w:ascii="Times New Roman" w:hAnsi="Times New Roman" w:eastAsia="Times New Roman" w:cs="Times New Roman"/>
                      <w:color w:val="auto"/>
                      <w:kern w:val="2"/>
                      <w:sz w:val="21"/>
                      <w:szCs w:val="21"/>
                      <w:lang w:bidi="ar"/>
                    </w:rPr>
                    <w:t>线束</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万台套/a</w:t>
                  </w:r>
                </w:p>
              </w:tc>
              <w:tc>
                <w:tcPr>
                  <w:tcW w:w="132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20</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3"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2478"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车窗升降机</w:t>
                  </w:r>
                </w:p>
              </w:tc>
              <w:tc>
                <w:tcPr>
                  <w:tcW w:w="1339"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万台套/a</w:t>
                  </w:r>
                </w:p>
              </w:tc>
              <w:tc>
                <w:tcPr>
                  <w:tcW w:w="132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60</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3"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2478"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电器盒壳体注塑件</w:t>
                  </w:r>
                </w:p>
              </w:tc>
              <w:tc>
                <w:tcPr>
                  <w:tcW w:w="1339"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万台套/a</w:t>
                  </w:r>
                </w:p>
              </w:tc>
              <w:tc>
                <w:tcPr>
                  <w:tcW w:w="132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80</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3"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2478"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连接器密封件</w:t>
                  </w:r>
                </w:p>
              </w:tc>
              <w:tc>
                <w:tcPr>
                  <w:tcW w:w="1339"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万台套/a</w:t>
                  </w:r>
                </w:p>
              </w:tc>
              <w:tc>
                <w:tcPr>
                  <w:tcW w:w="132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25</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51" w:type="dxa"/>
                  <w:gridSpan w:val="2"/>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劳动定员</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人</w:t>
                  </w:r>
                </w:p>
              </w:tc>
              <w:tc>
                <w:tcPr>
                  <w:tcW w:w="132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rPr>
                    <w:t>300</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51" w:type="dxa"/>
                  <w:gridSpan w:val="2"/>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工作制度</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d/a</w:t>
                  </w:r>
                </w:p>
              </w:tc>
              <w:tc>
                <w:tcPr>
                  <w:tcW w:w="132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300</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51" w:type="dxa"/>
                  <w:gridSpan w:val="2"/>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建设用地面积</w:t>
                  </w:r>
                </w:p>
              </w:tc>
              <w:tc>
                <w:tcPr>
                  <w:tcW w:w="1339"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2</w:t>
                  </w:r>
                </w:p>
              </w:tc>
              <w:tc>
                <w:tcPr>
                  <w:tcW w:w="132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20095.00</w:t>
                  </w:r>
                </w:p>
              </w:tc>
              <w:tc>
                <w:tcPr>
                  <w:tcW w:w="3236"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全厂总占地面积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51" w:type="dxa"/>
                  <w:gridSpan w:val="2"/>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总建筑面积</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2</w:t>
                  </w:r>
                </w:p>
              </w:tc>
              <w:tc>
                <w:tcPr>
                  <w:tcW w:w="132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4"/>
                      <w:szCs w:val="24"/>
                    </w:rPr>
                    <w:t>28119.13</w:t>
                  </w:r>
                </w:p>
              </w:tc>
              <w:tc>
                <w:tcPr>
                  <w:tcW w:w="3236" w:type="dxa"/>
                  <w:tcBorders>
                    <w:tl2br w:val="nil"/>
                    <w:tr2bl w:val="nil"/>
                  </w:tcBorders>
                  <w:vAlign w:val="center"/>
                </w:tcPr>
                <w:p>
                  <w:pPr>
                    <w:spacing w:after="0" w:line="300" w:lineRule="exact"/>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新建1</w:t>
                  </w:r>
                  <w:r>
                    <w:rPr>
                      <w:rFonts w:hint="default" w:ascii="Times New Roman" w:hAnsi="Times New Roman" w:eastAsia="Times New Roman" w:cs="Times New Roman"/>
                      <w:color w:val="auto"/>
                      <w:kern w:val="2"/>
                      <w:sz w:val="21"/>
                      <w:szCs w:val="21"/>
                      <w:vertAlign w:val="superscript"/>
                      <w:lang w:bidi="ar"/>
                    </w:rPr>
                    <w:t>#</w:t>
                  </w:r>
                  <w:r>
                    <w:rPr>
                      <w:rFonts w:hint="default" w:ascii="Times New Roman" w:hAnsi="Times New Roman" w:eastAsia="Times New Roman" w:cs="Times New Roman"/>
                      <w:color w:val="auto"/>
                      <w:kern w:val="2"/>
                      <w:sz w:val="21"/>
                      <w:szCs w:val="21"/>
                      <w:lang w:bidi="ar"/>
                    </w:rPr>
                    <w:t>厂房（丙类）、2</w:t>
                  </w:r>
                  <w:r>
                    <w:rPr>
                      <w:rFonts w:hint="default" w:ascii="Times New Roman" w:hAnsi="Times New Roman" w:eastAsia="Times New Roman" w:cs="Times New Roman"/>
                      <w:color w:val="auto"/>
                      <w:kern w:val="2"/>
                      <w:sz w:val="21"/>
                      <w:szCs w:val="21"/>
                      <w:vertAlign w:val="superscript"/>
                      <w:lang w:bidi="ar"/>
                    </w:rPr>
                    <w:t>#</w:t>
                  </w:r>
                  <w:r>
                    <w:rPr>
                      <w:rFonts w:hint="default" w:ascii="Times New Roman" w:hAnsi="Times New Roman" w:eastAsia="Times New Roman" w:cs="Times New Roman"/>
                      <w:color w:val="auto"/>
                      <w:kern w:val="2"/>
                      <w:sz w:val="21"/>
                      <w:szCs w:val="21"/>
                      <w:lang w:bidi="ar"/>
                    </w:rPr>
                    <w:t>宿舍楼、3</w:t>
                  </w:r>
                  <w:r>
                    <w:rPr>
                      <w:rFonts w:hint="default" w:ascii="Times New Roman" w:hAnsi="Times New Roman" w:eastAsia="Times New Roman" w:cs="Times New Roman"/>
                      <w:color w:val="auto"/>
                      <w:kern w:val="2"/>
                      <w:sz w:val="21"/>
                      <w:szCs w:val="21"/>
                      <w:vertAlign w:val="superscript"/>
                      <w:lang w:bidi="ar"/>
                    </w:rPr>
                    <w:t>#</w:t>
                  </w:r>
                  <w:r>
                    <w:rPr>
                      <w:rFonts w:hint="default" w:ascii="Times New Roman" w:hAnsi="Times New Roman" w:eastAsia="Times New Roman" w:cs="Times New Roman"/>
                      <w:color w:val="auto"/>
                      <w:kern w:val="2"/>
                      <w:sz w:val="21"/>
                      <w:szCs w:val="21"/>
                      <w:lang w:bidi="ar"/>
                    </w:rPr>
                    <w:t>厂房（丙类）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3" w:type="dxa"/>
                  <w:vMerge w:val="restart"/>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其中</w:t>
                  </w:r>
                </w:p>
              </w:tc>
              <w:tc>
                <w:tcPr>
                  <w:tcW w:w="2478"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地上建筑面积</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2</w:t>
                  </w:r>
                </w:p>
              </w:tc>
              <w:tc>
                <w:tcPr>
                  <w:tcW w:w="132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27591.48</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73" w:type="dxa"/>
                  <w:vMerge w:val="continue"/>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c>
                <w:tcPr>
                  <w:tcW w:w="2478"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lang w:bidi="ar"/>
                    </w:rPr>
                    <w:t>地下建筑面积</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vertAlign w:val="superscript"/>
                    </w:rPr>
                    <w:t>2</w:t>
                  </w:r>
                </w:p>
              </w:tc>
              <w:tc>
                <w:tcPr>
                  <w:tcW w:w="132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527.65</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51" w:type="dxa"/>
                  <w:gridSpan w:val="2"/>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总投资</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万元</w:t>
                  </w:r>
                </w:p>
              </w:tc>
              <w:tc>
                <w:tcPr>
                  <w:tcW w:w="132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Times New Roman" w:cs="Times New Roman"/>
                      <w:color w:val="auto"/>
                      <w:kern w:val="2"/>
                      <w:sz w:val="21"/>
                      <w:szCs w:val="21"/>
                      <w:lang w:bidi="ar"/>
                    </w:rPr>
                    <w:t>20000</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51" w:type="dxa"/>
                  <w:gridSpan w:val="2"/>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其中：环保投资</w:t>
                  </w:r>
                </w:p>
              </w:tc>
              <w:tc>
                <w:tcPr>
                  <w:tcW w:w="1339"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宋体" w:cs="Times New Roman"/>
                      <w:color w:val="auto"/>
                      <w:kern w:val="2"/>
                      <w:sz w:val="21"/>
                      <w:szCs w:val="21"/>
                    </w:rPr>
                    <w:t>万元</w:t>
                  </w:r>
                </w:p>
              </w:tc>
              <w:tc>
                <w:tcPr>
                  <w:tcW w:w="1325"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150</w:t>
                  </w:r>
                </w:p>
              </w:tc>
              <w:tc>
                <w:tcPr>
                  <w:tcW w:w="3236" w:type="dxa"/>
                  <w:tcBorders>
                    <w:tl2br w:val="nil"/>
                    <w:tr2bl w:val="nil"/>
                  </w:tcBorders>
                  <w:vAlign w:val="center"/>
                </w:tcPr>
                <w:p>
                  <w:pPr>
                    <w:spacing w:after="0" w:line="300" w:lineRule="exact"/>
                    <w:jc w:val="center"/>
                    <w:rPr>
                      <w:rFonts w:hint="default" w:ascii="Times New Roman" w:hAnsi="Times New Roman" w:eastAsia="Times New Roman" w:cs="Times New Roman"/>
                      <w:color w:val="auto"/>
                      <w:kern w:val="2"/>
                      <w:sz w:val="21"/>
                      <w:szCs w:val="21"/>
                      <w:lang w:bidi="ar"/>
                    </w:rPr>
                  </w:pPr>
                  <w:r>
                    <w:rPr>
                      <w:rFonts w:hint="default" w:ascii="Times New Roman" w:hAnsi="Times New Roman" w:eastAsia="宋体" w:cs="Times New Roman"/>
                      <w:color w:val="auto"/>
                      <w:kern w:val="2"/>
                      <w:sz w:val="21"/>
                      <w:szCs w:val="21"/>
                    </w:rPr>
                    <w:t>占总投资比例0.75%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51" w:type="dxa"/>
                  <w:gridSpan w:val="2"/>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年产值</w:t>
                  </w:r>
                </w:p>
              </w:tc>
              <w:tc>
                <w:tcPr>
                  <w:tcW w:w="1339"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万元</w:t>
                  </w:r>
                </w:p>
              </w:tc>
              <w:tc>
                <w:tcPr>
                  <w:tcW w:w="1325"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5000</w:t>
                  </w:r>
                </w:p>
              </w:tc>
              <w:tc>
                <w:tcPr>
                  <w:tcW w:w="3236" w:type="dxa"/>
                  <w:tcBorders>
                    <w:tl2br w:val="nil"/>
                    <w:tr2bl w:val="nil"/>
                  </w:tcBorders>
                  <w:vAlign w:val="center"/>
                </w:tcPr>
                <w:p>
                  <w:pPr>
                    <w:spacing w:after="0" w:line="300" w:lineRule="exact"/>
                    <w:jc w:val="center"/>
                    <w:rPr>
                      <w:rFonts w:hint="default" w:ascii="Times New Roman" w:hAnsi="Times New Roman" w:eastAsia="宋体" w:cs="Times New Roman"/>
                      <w:color w:val="auto"/>
                      <w:kern w:val="2"/>
                      <w:sz w:val="21"/>
                      <w:szCs w:val="21"/>
                    </w:rPr>
                  </w:pPr>
                </w:p>
              </w:tc>
            </w:tr>
          </w:tbl>
          <w:p>
            <w:pPr>
              <w:spacing w:after="0" w:line="420" w:lineRule="exact"/>
              <w:jc w:val="both"/>
              <w:rPr>
                <w:rFonts w:hint="default" w:ascii="Times New Roman" w:hAnsi="Times New Roman" w:eastAsia="宋体" w:cs="Times New Roman"/>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4" w:hRule="atLeast"/>
          <w:jc w:val="center"/>
        </w:trPr>
        <w:tc>
          <w:tcPr>
            <w:tcW w:w="9253" w:type="dxa"/>
            <w:tcBorders>
              <w:tl2br w:val="nil"/>
              <w:tr2bl w:val="nil"/>
            </w:tcBorders>
            <w:tcMar>
              <w:top w:w="0" w:type="dxa"/>
              <w:left w:w="0" w:type="dxa"/>
              <w:bottom w:w="0" w:type="dxa"/>
              <w:right w:w="0" w:type="dxa"/>
            </w:tcMar>
            <w:vAlign w:val="center"/>
          </w:tcPr>
          <w:p>
            <w:pPr>
              <w:spacing w:after="0"/>
              <w:rPr>
                <w:rFonts w:hint="default" w:ascii="Times New Roman" w:hAnsi="Times New Roman" w:cs="Times New Roman"/>
              </w:rPr>
            </w:pPr>
            <w:r>
              <w:rPr>
                <w:rFonts w:hint="default" w:ascii="Times New Roman" w:hAnsi="Times New Roman" w:eastAsia="宋体" w:cs="Times New Roman"/>
                <w:b/>
                <w:bCs/>
                <w:sz w:val="28"/>
                <w:szCs w:val="28"/>
              </w:rPr>
              <w:t>2.2工艺流程和产排污环节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18" w:hRule="atLeast"/>
          <w:jc w:val="center"/>
        </w:trPr>
        <w:tc>
          <w:tcPr>
            <w:tcW w:w="9253" w:type="dxa"/>
            <w:tcBorders>
              <w:tl2br w:val="nil"/>
              <w:tr2bl w:val="nil"/>
            </w:tcBorders>
            <w:tcMar>
              <w:top w:w="0" w:type="dxa"/>
              <w:left w:w="0" w:type="dxa"/>
              <w:bottom w:w="0" w:type="dxa"/>
              <w:right w:w="0" w:type="dxa"/>
            </w:tcMar>
            <w:vAlign w:val="center"/>
          </w:tcPr>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2.2.1工艺流程和产排污环节</w:t>
            </w:r>
          </w:p>
          <w:p>
            <w:pPr>
              <w:spacing w:after="0" w:line="420" w:lineRule="exact"/>
              <w:rPr>
                <w:rFonts w:hint="default" w:ascii="Times New Roman" w:hAnsi="Times New Roman" w:eastAsia="宋体" w:cs="Times New Roman"/>
                <w:bCs/>
                <w:kern w:val="2"/>
                <w:sz w:val="24"/>
                <w:szCs w:val="24"/>
              </w:rPr>
            </w:pPr>
            <w:r>
              <w:rPr>
                <w:rFonts w:hint="default" w:ascii="Times New Roman" w:hAnsi="Times New Roman" w:eastAsia="宋体" w:cs="Times New Roman"/>
                <w:bCs/>
                <w:kern w:val="2"/>
                <w:sz w:val="24"/>
                <w:szCs w:val="24"/>
              </w:rPr>
              <w:t>2.2.1.1施工期工艺流程和产排污环节</w:t>
            </w:r>
          </w:p>
          <w:p>
            <w:pPr>
              <w:rPr>
                <w:rFonts w:hint="default" w:ascii="Times New Roman" w:hAnsi="Times New Roman" w:cs="Times New Roman"/>
              </w:rPr>
            </w:pPr>
            <w:r>
              <w:rPr>
                <w:rFonts w:hint="default" w:ascii="Times New Roman" w:hAnsi="Times New Roman" w:eastAsia="宋体" w:cs="Times New Roman"/>
                <w:kern w:val="2"/>
                <w:sz w:val="24"/>
                <w:szCs w:val="24"/>
              </w:rPr>
              <w:t>施工期间厂房的建设、设备的安装等工序将产生废气、废水、噪声、固体废弃物等污染物，施工期工艺流程及产排污节点示意图，见图2.2-1。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253" w:type="dxa"/>
            <w:tcBorders>
              <w:tl2br w:val="nil"/>
              <w:tr2bl w:val="nil"/>
            </w:tcBorders>
          </w:tcPr>
          <w:p>
            <w:pPr>
              <w:spacing w:before="120" w:beforeLines="50" w:after="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object>
                <v:shape id="_x0000_i1025" o:spt="75" type="#_x0000_t75" style="height:87pt;width:425.2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spacing w:after="0" w:line="420" w:lineRule="exact"/>
              <w:jc w:val="center"/>
              <w:rPr>
                <w:rFonts w:hint="default" w:ascii="Times New Roman" w:hAnsi="Times New Roman" w:eastAsia="宋体" w:cs="Times New Roman"/>
                <w:b/>
                <w:kern w:val="2"/>
                <w:sz w:val="24"/>
                <w:szCs w:val="24"/>
                <w:u w:val="single"/>
              </w:rPr>
            </w:pPr>
            <w:r>
              <w:rPr>
                <w:rFonts w:hint="default" w:ascii="Times New Roman" w:hAnsi="Times New Roman" w:eastAsia="宋体" w:cs="Times New Roman"/>
                <w:b/>
                <w:kern w:val="2"/>
                <w:sz w:val="24"/>
                <w:szCs w:val="24"/>
                <w:u w:val="single"/>
              </w:rPr>
              <w:t>图2.2-1  施工期工艺流程及产排污节点示意图</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施工方法：场地平整、主体建筑、道路等施工主要采用机械操作，辅以少量人工；管网的开挖、填筑敷设、绿化等主要是人工操作。先进行场地平整及基础填筑，其次进行主体建筑施工工作，最后完善厂区内的道路、各种管网和绿化等各种附属设施。本着挖填平衡及经济性的原则，优化土石方的调运方案，土石方开挖后及时回填及景观打造，表土剥离妥善堆存用于项目后期绿化。</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施工机械：场地平整以使用推土机、铲运机、挖掘机、载重汽车、塔吊等机械为主，辅以少量的人工。安装机械、器具主要有管道切割机、电动弯管机、埋弧焊机、卷板机、咬口机、管道除锈机等。室内外装饰主要器具有云石机、角磨机、木工电锯、电钻等。土石方调运及材料运输采用载重汽车运输。</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2.2.1.2运营期工艺流程和产排污环节</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本项目主要生产隔热垫、新能源线束、车窗升降机、电器盒壳体注塑件、连接器密封件等汽车零部件。具体工艺流程和产排污环节见图2.2-2~图2.2-6。</w:t>
            </w:r>
          </w:p>
          <w:p>
            <w:pPr>
              <w:spacing w:after="0" w:line="420" w:lineRule="exact"/>
              <w:ind w:firstLine="481" w:firstLineChars="200"/>
              <w:rPr>
                <w:rFonts w:hint="default" w:ascii="Times New Roman" w:hAnsi="Times New Roman" w:eastAsia="宋体" w:cs="Times New Roman"/>
                <w:b/>
                <w:bCs/>
                <w:sz w:val="24"/>
                <w:szCs w:val="24"/>
                <w:lang w:bidi="ar"/>
              </w:rPr>
            </w:pPr>
            <w:r>
              <w:rPr>
                <w:rFonts w:hint="default" w:ascii="Times New Roman" w:hAnsi="Times New Roman" w:eastAsia="宋体" w:cs="Times New Roman"/>
                <w:b/>
                <w:bCs/>
                <w:sz w:val="24"/>
                <w:szCs w:val="24"/>
                <w:lang w:bidi="ar"/>
              </w:rPr>
              <w:t>（1）隔热垫生产线</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隔热垫包括玻璃纤维气凝胶隔热垫和陶瓷纤维气凝胶隔热垫，均属于定制产品，其生产工艺一致，仅产品外形及内部结构不同，生产过程中不涉及噪声及废水。其生产工艺流程及产污节点见图2.2-2。</w:t>
            </w:r>
          </w:p>
          <w:p>
            <w:pPr>
              <w:jc w:val="center"/>
              <w:rPr>
                <w:rFonts w:hint="default" w:ascii="Times New Roman" w:hAnsi="Times New Roman" w:cs="Times New Roman"/>
              </w:rPr>
            </w:pPr>
            <w:r>
              <w:rPr>
                <w:rFonts w:hint="default" w:ascii="Times New Roman" w:hAnsi="Times New Roman" w:cs="Times New Roman"/>
              </w:rPr>
              <w:object>
                <v:shape id="_x0000_i1026" o:spt="75" type="#_x0000_t75" style="height:479.75pt;width:415.7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pPr>
              <w:spacing w:after="0" w:line="420" w:lineRule="exact"/>
              <w:jc w:val="center"/>
              <w:rPr>
                <w:rFonts w:hint="default" w:ascii="Times New Roman" w:hAnsi="Times New Roman" w:eastAsia="宋体" w:cs="Times New Roman"/>
                <w:kern w:val="2"/>
                <w:sz w:val="24"/>
                <w:szCs w:val="24"/>
                <w:lang w:bidi="ar"/>
              </w:rPr>
            </w:pPr>
            <w:r>
              <w:rPr>
                <w:rFonts w:hint="default" w:ascii="Times New Roman" w:hAnsi="Times New Roman" w:eastAsia="宋体" w:cs="Times New Roman"/>
                <w:b/>
                <w:kern w:val="2"/>
                <w:sz w:val="24"/>
                <w:szCs w:val="24"/>
                <w:u w:val="single"/>
              </w:rPr>
              <w:t>图2.2-2  隔热垫生产线工艺及产排污图</w:t>
            </w:r>
          </w:p>
          <w:p>
            <w:pPr>
              <w:spacing w:after="0" w:line="420" w:lineRule="exact"/>
              <w:ind w:firstLine="481"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工艺流程简述：</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开包、短切：外购的玻璃纤维经裁断机剪短为8-10cm左右的短切纱打包备用。人工将短切纱放入开松机前端的储料平台由人工进行开包，主要通过人工开包和人工投料达到短切纱初步散开。此过程产生玻璃纤维粉尘G1-1、玻璃纤维碎屑S1-1。</w:t>
            </w:r>
          </w:p>
          <w:p>
            <w:pPr>
              <w:spacing w:after="0" w:line="420" w:lineRule="exact"/>
              <w:ind w:firstLine="480" w:firstLineChars="200"/>
              <w:jc w:val="both"/>
              <w:rPr>
                <w:rFonts w:hint="default" w:ascii="Times New Roman" w:hAnsi="Times New Roman" w:eastAsia="宋体" w:cs="Times New Roman"/>
                <w:strike w:val="0"/>
                <w:dstrike w:val="0"/>
                <w:kern w:val="2"/>
                <w:sz w:val="24"/>
                <w:szCs w:val="24"/>
              </w:rPr>
            </w:pPr>
            <w:r>
              <w:rPr>
                <w:rFonts w:hint="default" w:ascii="Times New Roman" w:hAnsi="Times New Roman" w:eastAsia="宋体" w:cs="Times New Roman"/>
                <w:kern w:val="2"/>
                <w:sz w:val="24"/>
                <w:szCs w:val="24"/>
              </w:rPr>
              <w:t>◆开松、混棉：短切纱由传送带输送进入开松机，通过机器内部滚简上角钉和针齿机件的相对运动，对纤维块进行撕扯，从而达到再次开松的目的。通过风机抽取进入混棉一体机，使纤维纱混合均匀，同时，混棉机内部的角钉帘子等部件的高速抓取、撕扯对短切纱起到进一步的开松、混匀作用。开松、混棉过程主要在设备内部进行，逸出的玻璃纤维粉尘较少</w:t>
            </w:r>
            <w:r>
              <w:rPr>
                <w:rFonts w:hint="default" w:ascii="Times New Roman" w:hAnsi="Times New Roman" w:eastAsia="宋体" w:cs="Times New Roman"/>
                <w:strike w:val="0"/>
                <w:dstrike w:val="0"/>
                <w:kern w:val="2"/>
                <w:sz w:val="24"/>
                <w:szCs w:val="24"/>
              </w:rPr>
              <w:t>。产生玻璃纤维粉尘G1-2。</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梳理：混棉一体机按一定标准由传送带将物料输送至梳理机，通过梳理机滚筒前端的梳理辊将短切纱梳理成根根单丝形成薄毡网后，通过滚筒的转动输出至下一传送带。经梳理大致形成的薄毡网通过输送带进入铺网机，铺网机上的辊轴往复移动将薄毡网层层铺叠至预定厚度后输</w:t>
            </w:r>
            <w:r>
              <w:rPr>
                <w:rFonts w:hint="default" w:ascii="Times New Roman" w:hAnsi="Times New Roman" w:eastAsia="宋体" w:cs="Times New Roman"/>
                <w:strike w:val="0"/>
                <w:dstrike w:val="0"/>
                <w:kern w:val="2"/>
                <w:sz w:val="24"/>
                <w:szCs w:val="24"/>
              </w:rPr>
              <w:t>出</w:t>
            </w:r>
            <w:r>
              <w:rPr>
                <w:rFonts w:hint="default" w:ascii="Times New Roman" w:hAnsi="Times New Roman" w:eastAsia="宋体" w:cs="Times New Roman"/>
                <w:strike w:val="0"/>
                <w:dstrike w:val="0"/>
                <w:kern w:val="2"/>
                <w:sz w:val="24"/>
                <w:szCs w:val="24"/>
                <w:lang w:eastAsia="zh-CN"/>
              </w:rPr>
              <w:t>，</w:t>
            </w:r>
            <w:r>
              <w:rPr>
                <w:rFonts w:hint="default" w:ascii="Times New Roman" w:hAnsi="Times New Roman" w:eastAsia="宋体" w:cs="Times New Roman"/>
                <w:strike w:val="0"/>
                <w:dstrike w:val="0"/>
                <w:kern w:val="2"/>
                <w:sz w:val="24"/>
                <w:szCs w:val="24"/>
              </w:rPr>
              <w:t>产生玻璃纤维粉尘G1-3</w:t>
            </w:r>
            <w:r>
              <w:rPr>
                <w:rFonts w:hint="default" w:ascii="Times New Roman" w:hAnsi="Times New Roman" w:eastAsia="宋体" w:cs="Times New Roman"/>
                <w:strike w:val="0"/>
                <w:dstrike w:val="0"/>
                <w:kern w:val="2"/>
                <w:sz w:val="24"/>
                <w:szCs w:val="24"/>
                <w:lang w:eastAsia="zh-CN"/>
              </w:rPr>
              <w:t>较少。</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预刺、下刺：采用针刺机多次对毡网进行针刺，使纤维互相联结，成为具有一定强度的玻璃纤维针刺毡。预刺先将毡网大概进行针刺固定，下刺则是从下往上进行针刺定型。预刺的针刺方向为从上至下，下刺则为从下往上针刺。产生玻璃纤维粉尘G1-4、边角料S1-2回用。</w:t>
            </w:r>
          </w:p>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kern w:val="2"/>
                <w:sz w:val="24"/>
                <w:szCs w:val="24"/>
              </w:rPr>
              <w:t>◆切边、收卷：针刺后的毡网进入成卷机，通过成卷机两端的滚刀将毡网两侧的毛边去</w:t>
            </w:r>
            <w:r>
              <w:rPr>
                <w:rFonts w:hint="default" w:ascii="Times New Roman" w:hAnsi="Times New Roman" w:eastAsia="宋体" w:cs="Times New Roman"/>
                <w:color w:val="auto"/>
                <w:kern w:val="2"/>
                <w:sz w:val="24"/>
                <w:szCs w:val="24"/>
              </w:rPr>
              <w:t>掉，然后收卷成型，收卷至一定规格后由成卷机上的刀片切断。</w:t>
            </w:r>
          </w:p>
          <w:p>
            <w:pPr>
              <w:spacing w:after="0" w:line="420" w:lineRule="exact"/>
              <w:ind w:firstLine="480" w:firstLineChars="200"/>
              <w:jc w:val="both"/>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kern w:val="2"/>
                <w:sz w:val="24"/>
                <w:szCs w:val="24"/>
              </w:rPr>
              <w:t>◆膨化：外购膨化纱通过膨化机在高温下，</w:t>
            </w:r>
            <w:r>
              <w:rPr>
                <w:rFonts w:hint="default" w:ascii="Times New Roman" w:hAnsi="Times New Roman" w:eastAsia="宋体" w:cs="Times New Roman"/>
                <w:color w:val="auto"/>
                <w:sz w:val="24"/>
                <w:szCs w:val="24"/>
                <w:shd w:val="clear" w:color="auto" w:fill="FFFFFF"/>
              </w:rPr>
              <w:t>在纤维内部形成气泡，使得纤维变得轻盈且体积增大，同时保持了原始纤维的强度和刚性，从而达到膨化的效果，不产生废气。</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color w:val="auto"/>
                <w:kern w:val="2"/>
                <w:sz w:val="24"/>
                <w:szCs w:val="24"/>
              </w:rPr>
              <w:t>◆裁切：裁切机按刀模形</w:t>
            </w:r>
            <w:r>
              <w:rPr>
                <w:rFonts w:hint="default" w:ascii="Times New Roman" w:hAnsi="Times New Roman" w:eastAsia="宋体" w:cs="Times New Roman"/>
                <w:kern w:val="2"/>
                <w:sz w:val="24"/>
                <w:szCs w:val="24"/>
              </w:rPr>
              <w:t>状将陶瓷纤维毯、玻璃纤维毡进行裁切。产生玻璃/陶瓷纤维粉尘G1-5。</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贴膜、均匀填充、打包、外协：PET膜经裁纸刀裁切为指定尺寸，利用吸塑包装封口机贴合PET膜，将膨化后的膨化纱置于已打结好的网袋或已贴和好的PET膜内均匀填充，连同裁切好的陶瓷纤维毯及玻璃纤维毡一切外协处理，得到玻璃/陶瓷纤维气凝胶毡。</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◆裁切、贴合：玻璃/陶瓷纤维气凝胶毡经裁断机裁切为指定尺寸待用，并贴第二层PET膜，形成半成品气凝胶芯材</w:t>
            </w:r>
            <w:r>
              <w:rPr>
                <w:rFonts w:hint="default" w:ascii="Times New Roman" w:hAnsi="Times New Roman" w:eastAsia="宋体" w:cs="Times New Roman"/>
                <w:kern w:val="2"/>
                <w:sz w:val="24"/>
                <w:szCs w:val="24"/>
                <w:lang w:eastAsia="zh-CN"/>
              </w:rPr>
              <w:t>，</w:t>
            </w:r>
            <w:r>
              <w:rPr>
                <w:rFonts w:hint="default" w:ascii="Times New Roman" w:hAnsi="Times New Roman" w:eastAsia="宋体" w:cs="Times New Roman"/>
                <w:kern w:val="2"/>
                <w:sz w:val="24"/>
                <w:szCs w:val="24"/>
              </w:rPr>
              <w:t>产生</w:t>
            </w:r>
            <w:r>
              <w:rPr>
                <w:rFonts w:hint="default" w:ascii="Times New Roman" w:hAnsi="Times New Roman" w:eastAsia="宋体" w:cs="Times New Roman"/>
                <w:kern w:val="2"/>
                <w:sz w:val="24"/>
                <w:szCs w:val="24"/>
                <w:lang w:eastAsia="zh-CN"/>
              </w:rPr>
              <w:t>少量</w:t>
            </w:r>
            <w:r>
              <w:rPr>
                <w:rFonts w:hint="default" w:ascii="Times New Roman" w:hAnsi="Times New Roman" w:eastAsia="宋体" w:cs="Times New Roman"/>
                <w:kern w:val="2"/>
                <w:sz w:val="24"/>
                <w:szCs w:val="24"/>
              </w:rPr>
              <w:t>气凝胶毡粉尘。</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◆封装、压合：人工将硅胶框、切好的气凝胶芯材按照要求组装成型，放置入真空自动平板机进行抽真空压合作业，使原本松散的材料压制成密实的材料。此过程主要在真空自动平板机内部进行。</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◆总成裁切：压合好的复合材料，放入裁断机，进行修边裁切，得到所需尺寸的半成品。产生废PET膜及硅胶S1-3</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◆背胶：将双面胶一层离型纸撕掉，并将其粘贴至上工序裁切好的半成品表面，正反两面背胶后得到成品。产生废离型纸S1-4</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◆检验、包装：将上工序得到的最终成品进行尺寸，外观检验，人工作业。将上工序得到的最终成品进行尺寸，外观检验，人工作业。</w:t>
            </w:r>
          </w:p>
          <w:p>
            <w:pPr>
              <w:spacing w:after="0" w:line="420" w:lineRule="exact"/>
              <w:ind w:firstLine="481"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（2）新能源线束生产线</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新能源线束包括：宗申车辆主电缆、电缆组件，FORD大线、小线。其生产工艺完全一致，仅产品外形和用途不同，其生产工艺流程见图2.2-3。</w:t>
            </w:r>
          </w:p>
          <w:p>
            <w:pPr>
              <w:spacing w:after="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object>
                <v:shape id="_x0000_i1027" o:spt="75" type="#_x0000_t75" style="height:107.25pt;width:457.5pt;" o:ole="t" filled="f" o:preferrelative="t" stroked="f" coordsize="21600,21600">
                  <v:path/>
                  <v:fill on="f" focussize="0,0"/>
                  <v:stroke on="f" joinstyle="miter"/>
                  <v:imagedata r:id="rId13" o:title=""/>
                  <o:lock v:ext="edit" aspectratio="f"/>
                  <w10:wrap type="none"/>
                  <w10:anchorlock/>
                </v:shape>
                <o:OLEObject Type="Embed" ProgID="Visio.Drawing.15" ShapeID="_x0000_i1027" DrawAspect="Content" ObjectID="_1468075727" r:id="rId12">
                  <o:LockedField>false</o:LockedField>
                </o:OLEObject>
              </w:object>
            </w:r>
          </w:p>
          <w:p>
            <w:pPr>
              <w:spacing w:after="0"/>
              <w:ind w:firstLine="481" w:firstLineChars="200"/>
              <w:jc w:val="center"/>
              <w:rPr>
                <w:rFonts w:hint="default" w:ascii="Times New Roman" w:hAnsi="Times New Roman" w:eastAsia="宋体" w:cs="Times New Roman"/>
                <w:kern w:val="2"/>
                <w:sz w:val="24"/>
                <w:szCs w:val="24"/>
                <w:lang w:bidi="ar"/>
              </w:rPr>
            </w:pPr>
            <w:r>
              <w:rPr>
                <w:rFonts w:hint="default" w:ascii="Times New Roman" w:hAnsi="Times New Roman" w:eastAsia="宋体" w:cs="Times New Roman"/>
                <w:b/>
                <w:kern w:val="2"/>
                <w:sz w:val="24"/>
                <w:szCs w:val="24"/>
                <w:u w:val="single"/>
              </w:rPr>
              <w:t>图2.2-3  新能源线束生产线工艺及产排污图</w:t>
            </w:r>
          </w:p>
          <w:p>
            <w:pPr>
              <w:spacing w:after="0" w:line="420" w:lineRule="exact"/>
              <w:ind w:firstLine="481" w:firstLineChars="20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工艺流程简述：</w:t>
            </w:r>
          </w:p>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kern w:val="2"/>
                <w:sz w:val="24"/>
                <w:szCs w:val="24"/>
              </w:rPr>
              <w:t>外购的继电器、电线、PVC管、端子按照生产BOM(物料清单 Bill of Material)配置后进行人</w:t>
            </w:r>
            <w:r>
              <w:rPr>
                <w:rFonts w:hint="default" w:ascii="Times New Roman" w:hAnsi="Times New Roman" w:eastAsia="宋体" w:cs="Times New Roman"/>
                <w:color w:val="auto"/>
                <w:kern w:val="2"/>
                <w:sz w:val="24"/>
                <w:szCs w:val="24"/>
              </w:rPr>
              <w:t>工转配，再通过套管裁管机、端子压接、超声波焊接进行加工，制作完成部分零配件，再加入连接器密封件进行装配、成品组装、导通检测，制作完成成品。</w:t>
            </w:r>
          </w:p>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◆套管：装配好原件进行波纹管套管，为电线、电缆和电线端子提供</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"https://baike.so.com/doc/7562516-26811762.html" \t "https://baike.so.com/doc/_blank" </w:instrText>
            </w:r>
            <w:r>
              <w:rPr>
                <w:rFonts w:hint="default" w:ascii="Times New Roman" w:hAnsi="Times New Roman" w:cs="Times New Roman"/>
                <w:color w:val="auto"/>
              </w:rPr>
              <w:fldChar w:fldCharType="separate"/>
            </w:r>
            <w:r>
              <w:rPr>
                <w:rFonts w:hint="default" w:ascii="Times New Roman" w:hAnsi="Times New Roman" w:eastAsia="宋体" w:cs="Times New Roman"/>
                <w:color w:val="auto"/>
                <w:kern w:val="2"/>
                <w:sz w:val="24"/>
                <w:szCs w:val="24"/>
              </w:rPr>
              <w:t>绝缘</w:t>
            </w:r>
            <w:r>
              <w:rPr>
                <w:rFonts w:hint="default" w:ascii="Times New Roman" w:hAnsi="Times New Roman" w:eastAsia="宋体" w:cs="Times New Roman"/>
                <w:color w:val="auto"/>
                <w:kern w:val="2"/>
                <w:sz w:val="24"/>
                <w:szCs w:val="24"/>
              </w:rPr>
              <w:fldChar w:fldCharType="end"/>
            </w:r>
            <w:r>
              <w:rPr>
                <w:rFonts w:hint="default" w:ascii="Times New Roman" w:hAnsi="Times New Roman" w:eastAsia="宋体" w:cs="Times New Roman"/>
                <w:color w:val="auto"/>
                <w:kern w:val="2"/>
                <w:sz w:val="24"/>
                <w:szCs w:val="24"/>
              </w:rPr>
              <w:t>保护。</w:t>
            </w:r>
          </w:p>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◆端子压接：电线和端子进行的一种连接方式，通过施加一定的机械外力(指剥去电线的绝缘体，压着端子咬和指导体上)，使2种材料精密的结合，从而达到电性导体或牢固接合的目的。</w:t>
            </w:r>
          </w:p>
          <w:p>
            <w:pPr>
              <w:spacing w:after="0" w:line="420" w:lineRule="exact"/>
              <w:ind w:firstLine="480" w:firstLineChars="200"/>
              <w:jc w:val="both"/>
              <w:rPr>
                <w:rFonts w:hint="default" w:ascii="Times New Roman" w:hAnsi="Times New Roman" w:eastAsia="宋体" w:cs="Times New Roman"/>
                <w:color w:val="auto"/>
                <w:kern w:val="2"/>
                <w:sz w:val="24"/>
                <w:szCs w:val="24"/>
                <w:lang w:bidi="ar"/>
              </w:rPr>
            </w:pPr>
            <w:r>
              <w:rPr>
                <w:rFonts w:hint="default" w:ascii="Times New Roman" w:hAnsi="Times New Roman" w:eastAsia="宋体" w:cs="Times New Roman"/>
                <w:color w:val="auto"/>
                <w:kern w:val="2"/>
                <w:sz w:val="24"/>
                <w:szCs w:val="24"/>
              </w:rPr>
              <w:t>◆超声波焊接：通过超声波发生器将50/60赫兹电流转换成15、20、30或40 KHz 电能。被转换的高频电能通过换能器再次被转换成为同等频率的机械运动，随后机械运动通过一套可以改变振幅的变幅杆装置传递到焊头。焊头将接收到的振动能量传递到待焊接工件的接合部，在该区域，振动能量被通过摩擦方式转换成热能，将端子连接。</w:t>
            </w:r>
          </w:p>
          <w:p>
            <w:pPr>
              <w:spacing w:after="0" w:line="420" w:lineRule="exact"/>
              <w:ind w:firstLine="481" w:firstLineChars="200"/>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（3）车窗升降机生产线</w:t>
            </w:r>
          </w:p>
          <w:p>
            <w:pPr>
              <w:ind w:firstLine="480"/>
              <w:jc w:val="center"/>
              <w:rPr>
                <w:rFonts w:hint="default" w:ascii="Times New Roman" w:hAnsi="Times New Roman" w:eastAsia="宋体" w:cs="Times New Roman"/>
                <w:b/>
                <w:color w:val="auto"/>
                <w:kern w:val="2"/>
                <w:sz w:val="21"/>
                <w:szCs w:val="21"/>
                <w:u w:val="single"/>
              </w:rPr>
            </w:pPr>
            <w:r>
              <w:rPr>
                <w:rFonts w:hint="default" w:ascii="Times New Roman" w:hAnsi="Times New Roman" w:eastAsia="宋体" w:cs="Times New Roman"/>
                <w:b/>
                <w:color w:val="auto"/>
                <w:kern w:val="2"/>
                <w:sz w:val="21"/>
                <w:szCs w:val="21"/>
              </w:rPr>
              <w:object>
                <v:shape id="_x0000_i1028" o:spt="75" type="#_x0000_t75" style="height:132.75pt;width:474.75pt;" o:ole="t" filled="f" o:preferrelative="t" stroked="f" coordsize="21600,21600">
                  <v:path/>
                  <v:fill on="f" focussize="0,0"/>
                  <v:stroke on="f" joinstyle="miter"/>
                  <v:imagedata r:id="rId15" o:title=""/>
                  <o:lock v:ext="edit" aspectratio="f"/>
                  <w10:wrap type="none"/>
                  <w10:anchorlock/>
                </v:shape>
                <o:OLEObject Type="Embed" ProgID="Visio.Drawing.11" ShapeID="_x0000_i1028" DrawAspect="Content" ObjectID="_1468075728" r:id="rId14">
                  <o:LockedField>false</o:LockedField>
                </o:OLEObject>
              </w:object>
            </w:r>
            <w:r>
              <w:rPr>
                <w:rFonts w:hint="default" w:ascii="Times New Roman" w:hAnsi="Times New Roman" w:eastAsia="宋体" w:cs="Times New Roman"/>
                <w:b/>
                <w:color w:val="auto"/>
                <w:kern w:val="2"/>
                <w:sz w:val="24"/>
                <w:szCs w:val="24"/>
                <w:u w:val="single"/>
              </w:rPr>
              <w:t>图</w:t>
            </w:r>
            <w:r>
              <w:rPr>
                <w:rFonts w:hint="default" w:ascii="Times New Roman" w:hAnsi="Times New Roman" w:eastAsia="宋体" w:cs="Times New Roman"/>
                <w:b/>
                <w:color w:val="auto"/>
                <w:kern w:val="2"/>
                <w:sz w:val="24"/>
                <w:szCs w:val="24"/>
                <w:u w:val="single"/>
              </w:rPr>
              <w:fldChar w:fldCharType="begin"/>
            </w:r>
            <w:r>
              <w:rPr>
                <w:rFonts w:hint="default" w:ascii="Times New Roman" w:hAnsi="Times New Roman" w:eastAsia="宋体" w:cs="Times New Roman"/>
                <w:b/>
                <w:color w:val="auto"/>
                <w:kern w:val="2"/>
                <w:sz w:val="24"/>
                <w:szCs w:val="24"/>
                <w:u w:val="single"/>
              </w:rPr>
              <w:instrText xml:space="preserve"> STYLEREF 2 \s </w:instrText>
            </w:r>
            <w:r>
              <w:rPr>
                <w:rFonts w:hint="default" w:ascii="Times New Roman" w:hAnsi="Times New Roman" w:eastAsia="宋体" w:cs="Times New Roman"/>
                <w:b/>
                <w:color w:val="auto"/>
                <w:kern w:val="2"/>
                <w:sz w:val="24"/>
                <w:szCs w:val="24"/>
                <w:u w:val="single"/>
              </w:rPr>
              <w:fldChar w:fldCharType="separate"/>
            </w:r>
            <w:r>
              <w:rPr>
                <w:rFonts w:hint="default" w:ascii="Times New Roman" w:hAnsi="Times New Roman" w:eastAsia="宋体" w:cs="Times New Roman"/>
                <w:b/>
                <w:color w:val="auto"/>
                <w:kern w:val="2"/>
                <w:sz w:val="24"/>
                <w:szCs w:val="24"/>
                <w:u w:val="single"/>
              </w:rPr>
              <w:t>2.3</w:t>
            </w:r>
            <w:r>
              <w:rPr>
                <w:rFonts w:hint="default" w:ascii="Times New Roman" w:hAnsi="Times New Roman" w:eastAsia="宋体" w:cs="Times New Roman"/>
                <w:b/>
                <w:color w:val="auto"/>
                <w:kern w:val="2"/>
                <w:sz w:val="24"/>
                <w:szCs w:val="24"/>
                <w:u w:val="single"/>
              </w:rPr>
              <w:fldChar w:fldCharType="end"/>
            </w:r>
            <w:r>
              <w:rPr>
                <w:rFonts w:hint="default" w:ascii="Times New Roman" w:hAnsi="Times New Roman" w:eastAsia="宋体" w:cs="Times New Roman"/>
                <w:b/>
                <w:color w:val="auto"/>
                <w:kern w:val="2"/>
                <w:sz w:val="24"/>
                <w:szCs w:val="24"/>
                <w:u w:val="single"/>
              </w:rPr>
              <w:noBreakHyphen/>
            </w:r>
            <w:r>
              <w:rPr>
                <w:rFonts w:hint="default" w:ascii="Times New Roman" w:hAnsi="Times New Roman" w:eastAsia="宋体" w:cs="Times New Roman"/>
                <w:b/>
                <w:color w:val="auto"/>
                <w:kern w:val="2"/>
                <w:sz w:val="24"/>
                <w:szCs w:val="24"/>
                <w:u w:val="single"/>
              </w:rPr>
              <w:t>4  车窗升降机生产线工艺及产排污图</w:t>
            </w:r>
          </w:p>
          <w:p>
            <w:pPr>
              <w:spacing w:after="0" w:line="42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工艺流程简述：外购的电气元件、电线、辅助材料、接插件按照生产BOM配置后进行零件检测，再通过焊接、激光打码、压接、旋铆等进行加工，制作完成部分零配件，再加入连接器密封件进行装配、成品组装、导通检测，制作完成车窗升降机。</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color w:val="auto"/>
                <w:kern w:val="2"/>
                <w:sz w:val="24"/>
                <w:szCs w:val="24"/>
              </w:rPr>
              <w:t>◆焊接：利用电阻焊机进行焊接，主要有点焊、缝焊、凸焊、对焊。它是将被焊工件压紧于两电极之间，并施以电流，利用电流流经工</w:t>
            </w:r>
            <w:r>
              <w:rPr>
                <w:rFonts w:hint="default" w:ascii="Times New Roman" w:hAnsi="Times New Roman" w:eastAsia="宋体" w:cs="Times New Roman"/>
                <w:kern w:val="2"/>
                <w:sz w:val="24"/>
                <w:szCs w:val="24"/>
              </w:rPr>
              <w:t>件接触面及邻近区域产生的电阻热效应将其加热到熔化或塑性状态，使之形成金属结合的一种机器，该过程无烟尘产生。</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◆激光打码：利用激光打码机进行激光打码。</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◆压接：将电子</w:t>
            </w:r>
            <w:r>
              <w:rPr>
                <w:rFonts w:hint="eastAsia" w:ascii="Times New Roman" w:hAnsi="Times New Roman" w:eastAsia="宋体" w:cs="Times New Roman"/>
                <w:kern w:val="2"/>
                <w:sz w:val="24"/>
                <w:szCs w:val="24"/>
                <w:lang w:eastAsia="zh-CN"/>
              </w:rPr>
              <w:t>元件</w:t>
            </w:r>
            <w:r>
              <w:rPr>
                <w:rFonts w:hint="default" w:ascii="Times New Roman" w:hAnsi="Times New Roman" w:eastAsia="宋体" w:cs="Times New Roman"/>
                <w:kern w:val="2"/>
                <w:sz w:val="24"/>
                <w:szCs w:val="24"/>
              </w:rPr>
              <w:t>压接在电线上。</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◆旋铆：通过铆头的偏心旋转过程，不断对工件圆周进行碾压。</w:t>
            </w:r>
          </w:p>
          <w:p>
            <w:pPr>
              <w:spacing w:after="0" w:line="42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kern w:val="2"/>
                <w:sz w:val="24"/>
                <w:szCs w:val="24"/>
              </w:rPr>
              <w:t>◆装配、成品组装</w:t>
            </w:r>
            <w:r>
              <w:rPr>
                <w:rFonts w:hint="default" w:ascii="Times New Roman" w:hAnsi="Times New Roman" w:eastAsia="宋体" w:cs="Times New Roman"/>
                <w:color w:val="auto"/>
                <w:kern w:val="2"/>
                <w:sz w:val="24"/>
                <w:szCs w:val="24"/>
                <w:highlight w:val="none"/>
              </w:rPr>
              <w:t>：零部件、连接器密封件进行装配和组装。</w:t>
            </w:r>
          </w:p>
          <w:p>
            <w:pPr>
              <w:spacing w:after="0" w:line="42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◆检测、包装入库：移到电检测导通仪进行全电路导通电检测，并进行尺寸外观检测，包装入库。</w:t>
            </w:r>
          </w:p>
          <w:p>
            <w:pPr>
              <w:pStyle w:val="97"/>
              <w:numPr>
                <w:ilvl w:val="0"/>
                <w:numId w:val="0"/>
              </w:numPr>
              <w:spacing w:line="440" w:lineRule="exact"/>
              <w:ind w:firstLine="481" w:firstLineChars="200"/>
              <w:rPr>
                <w:rFonts w:hint="default" w:ascii="Times New Roman" w:hAnsi="Times New Roman" w:cs="Times New Roman"/>
                <w:bCs/>
                <w:color w:val="auto"/>
                <w:sz w:val="24"/>
                <w:szCs w:val="32"/>
                <w:highlight w:val="none"/>
              </w:rPr>
            </w:pPr>
            <w:r>
              <w:rPr>
                <w:rFonts w:hint="default" w:ascii="Times New Roman" w:hAnsi="Times New Roman" w:eastAsia="宋体" w:cs="Times New Roman"/>
                <w:bCs/>
                <w:color w:val="auto"/>
                <w:sz w:val="24"/>
                <w:szCs w:val="24"/>
                <w:highlight w:val="none"/>
                <w:lang w:bidi="ar"/>
              </w:rPr>
              <w:t>（4）</w:t>
            </w:r>
            <w:r>
              <w:rPr>
                <w:rFonts w:hint="default" w:ascii="Times New Roman" w:hAnsi="Times New Roman" w:eastAsia="宋体" w:cs="Times New Roman"/>
                <w:bCs/>
                <w:color w:val="auto"/>
                <w:kern w:val="0"/>
                <w:sz w:val="24"/>
                <w:szCs w:val="24"/>
                <w:highlight w:val="none"/>
                <w:lang w:bidi="ar"/>
              </w:rPr>
              <w:t>电器盒壳体注塑件生产线</w:t>
            </w:r>
          </w:p>
          <w:p>
            <w:pPr>
              <w:ind w:firstLine="480"/>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object>
                <v:shape id="_x0000_i1029" o:spt="75" type="#_x0000_t75" style="height:100.5pt;width:421.5pt;" o:ole="t" filled="f" o:preferrelative="t" stroked="f" coordsize="21600,21600">
                  <v:path/>
                  <v:fill on="f" focussize="0,0"/>
                  <v:stroke on="f" joinstyle="miter"/>
                  <v:imagedata r:id="rId17" o:title=""/>
                  <o:lock v:ext="edit" aspectratio="f"/>
                  <w10:wrap type="none"/>
                  <w10:anchorlock/>
                </v:shape>
                <o:OLEObject Type="Embed" ProgID="Visio.Drawing.11" ShapeID="_x0000_i1029" DrawAspect="Content" ObjectID="_1468075729" r:id="rId16">
                  <o:LockedField>false</o:LockedField>
                </o:OLEObject>
              </w:object>
            </w:r>
          </w:p>
          <w:p>
            <w:pPr>
              <w:ind w:firstLine="480"/>
              <w:jc w:val="center"/>
              <w:rPr>
                <w:rFonts w:hint="default" w:ascii="Times New Roman" w:hAnsi="Times New Roman" w:eastAsia="宋体" w:cs="Times New Roman"/>
                <w:b/>
                <w:color w:val="auto"/>
                <w:kern w:val="2"/>
                <w:sz w:val="24"/>
                <w:szCs w:val="24"/>
                <w:highlight w:val="none"/>
                <w:u w:val="single"/>
              </w:rPr>
            </w:pPr>
            <w:r>
              <w:rPr>
                <w:rFonts w:hint="default" w:ascii="Times New Roman" w:hAnsi="Times New Roman" w:eastAsia="宋体" w:cs="Times New Roman"/>
                <w:b/>
                <w:color w:val="auto"/>
                <w:kern w:val="2"/>
                <w:sz w:val="24"/>
                <w:szCs w:val="24"/>
                <w:highlight w:val="none"/>
                <w:u w:val="single"/>
              </w:rPr>
              <w:t>图</w:t>
            </w:r>
            <w:r>
              <w:rPr>
                <w:rFonts w:hint="default" w:ascii="Times New Roman" w:hAnsi="Times New Roman" w:eastAsia="宋体" w:cs="Times New Roman"/>
                <w:b/>
                <w:color w:val="auto"/>
                <w:kern w:val="2"/>
                <w:sz w:val="24"/>
                <w:szCs w:val="24"/>
                <w:highlight w:val="none"/>
                <w:u w:val="single"/>
              </w:rPr>
              <w:fldChar w:fldCharType="begin"/>
            </w:r>
            <w:r>
              <w:rPr>
                <w:rFonts w:hint="default" w:ascii="Times New Roman" w:hAnsi="Times New Roman" w:eastAsia="宋体" w:cs="Times New Roman"/>
                <w:b/>
                <w:color w:val="auto"/>
                <w:kern w:val="2"/>
                <w:sz w:val="24"/>
                <w:szCs w:val="24"/>
                <w:highlight w:val="none"/>
                <w:u w:val="single"/>
              </w:rPr>
              <w:instrText xml:space="preserve"> STYLEREF 2 \s </w:instrText>
            </w:r>
            <w:r>
              <w:rPr>
                <w:rFonts w:hint="default" w:ascii="Times New Roman" w:hAnsi="Times New Roman" w:eastAsia="宋体" w:cs="Times New Roman"/>
                <w:b/>
                <w:color w:val="auto"/>
                <w:kern w:val="2"/>
                <w:sz w:val="24"/>
                <w:szCs w:val="24"/>
                <w:highlight w:val="none"/>
                <w:u w:val="single"/>
              </w:rPr>
              <w:fldChar w:fldCharType="separate"/>
            </w:r>
            <w:r>
              <w:rPr>
                <w:rFonts w:hint="default" w:ascii="Times New Roman" w:hAnsi="Times New Roman" w:eastAsia="宋体" w:cs="Times New Roman"/>
                <w:b/>
                <w:color w:val="auto"/>
                <w:kern w:val="2"/>
                <w:sz w:val="24"/>
                <w:szCs w:val="24"/>
                <w:highlight w:val="none"/>
                <w:u w:val="single"/>
              </w:rPr>
              <w:t>2.3</w:t>
            </w:r>
            <w:r>
              <w:rPr>
                <w:rFonts w:hint="default" w:ascii="Times New Roman" w:hAnsi="Times New Roman" w:eastAsia="宋体" w:cs="Times New Roman"/>
                <w:b/>
                <w:color w:val="auto"/>
                <w:kern w:val="2"/>
                <w:sz w:val="24"/>
                <w:szCs w:val="24"/>
                <w:highlight w:val="none"/>
                <w:u w:val="single"/>
              </w:rPr>
              <w:fldChar w:fldCharType="end"/>
            </w:r>
            <w:r>
              <w:rPr>
                <w:rFonts w:hint="default" w:ascii="Times New Roman" w:hAnsi="Times New Roman" w:eastAsia="宋体" w:cs="Times New Roman"/>
                <w:b/>
                <w:color w:val="auto"/>
                <w:kern w:val="2"/>
                <w:sz w:val="24"/>
                <w:szCs w:val="24"/>
                <w:highlight w:val="none"/>
                <w:u w:val="single"/>
              </w:rPr>
              <w:noBreakHyphen/>
            </w:r>
            <w:r>
              <w:rPr>
                <w:rFonts w:hint="default" w:ascii="Times New Roman" w:hAnsi="Times New Roman" w:eastAsia="宋体" w:cs="Times New Roman"/>
                <w:b/>
                <w:color w:val="auto"/>
                <w:kern w:val="2"/>
                <w:sz w:val="24"/>
                <w:szCs w:val="24"/>
                <w:highlight w:val="none"/>
                <w:u w:val="single"/>
              </w:rPr>
              <w:t>6  电器盒壳体注塑件生产工艺及产排污图</w:t>
            </w:r>
          </w:p>
          <w:p>
            <w:pPr>
              <w:spacing w:after="0" w:line="420" w:lineRule="exact"/>
              <w:ind w:firstLine="481" w:firstLineChars="200"/>
              <w:jc w:val="both"/>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工艺流程简述：</w:t>
            </w:r>
          </w:p>
          <w:p>
            <w:pPr>
              <w:spacing w:after="0" w:line="42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◆投料：外购的PA66或TPE投放至注塑机料箱内，由吸料机将塑料粒子等送入料筒加热。</w:t>
            </w:r>
          </w:p>
          <w:p>
            <w:pPr>
              <w:spacing w:after="0" w:line="42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◆注塑成型：塑料粒子受热软化（全部采用电加热），</w:t>
            </w:r>
            <w:r>
              <w:rPr>
                <w:rFonts w:hint="default" w:ascii="Times New Roman" w:hAnsi="Times New Roman" w:eastAsia="宋体" w:cs="Times New Roman"/>
                <w:color w:val="auto"/>
                <w:sz w:val="24"/>
                <w:szCs w:val="24"/>
                <w:highlight w:val="none"/>
              </w:rPr>
              <w:t>PA66注塑加热温度在2</w:t>
            </w:r>
            <w:r>
              <w:rPr>
                <w:rFonts w:hint="default" w:ascii="Times New Roman" w:hAnsi="Times New Roman" w:cs="Times New Roman"/>
                <w:color w:val="auto"/>
                <w:sz w:val="24"/>
                <w:szCs w:val="24"/>
                <w:highlight w:val="none"/>
              </w:rPr>
              <w:t>3</w:t>
            </w:r>
            <w:r>
              <w:rPr>
                <w:rFonts w:hint="default" w:ascii="Times New Roman" w:hAnsi="Times New Roman" w:eastAsia="宋体" w:cs="Times New Roman"/>
                <w:color w:val="auto"/>
                <w:sz w:val="24"/>
                <w:szCs w:val="24"/>
                <w:highlight w:val="none"/>
              </w:rPr>
              <w:t>0~2</w:t>
            </w:r>
            <w:r>
              <w:rPr>
                <w:rFonts w:hint="default" w:ascii="Times New Roman" w:hAnsi="Times New Roman" w:cs="Times New Roman"/>
                <w:color w:val="auto"/>
                <w:sz w:val="24"/>
                <w:szCs w:val="24"/>
                <w:highlight w:val="none"/>
              </w:rPr>
              <w:t>8</w:t>
            </w:r>
            <w:r>
              <w:rPr>
                <w:rFonts w:hint="default" w:ascii="Times New Roman" w:hAnsi="Times New Roman" w:eastAsia="宋体" w:cs="Times New Roman"/>
                <w:color w:val="auto"/>
                <w:sz w:val="24"/>
                <w:szCs w:val="24"/>
                <w:highlight w:val="none"/>
              </w:rPr>
              <w:t>0℃范围内</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TPE注塑加热温度在200~240℃范围内，</w:t>
            </w:r>
            <w:r>
              <w:rPr>
                <w:rFonts w:hint="default" w:ascii="Times New Roman" w:hAnsi="Times New Roman" w:eastAsia="宋体" w:cs="Times New Roman"/>
                <w:color w:val="auto"/>
                <w:kern w:val="2"/>
                <w:sz w:val="24"/>
                <w:szCs w:val="24"/>
                <w:highlight w:val="none"/>
              </w:rPr>
              <w:t>使塑料粒子变成熔融状态，然后在一定的压力下通过相应的模具注塑成型，得到注塑件。注塑机冷却水循环使用，该过程为间接冷却，不排放只需定期补充蒸发损耗。该过程产生注塑废气G2-1、噪声N。</w:t>
            </w:r>
          </w:p>
          <w:p>
            <w:pPr>
              <w:widowControl w:val="0"/>
              <w:kinsoku w:val="0"/>
              <w:overflowPunct w:val="0"/>
              <w:autoSpaceDE w:val="0"/>
              <w:autoSpaceDN w:val="0"/>
              <w:spacing w:after="0" w:line="42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修剪、外观检查：注塑体经过裁剪、修整，使注塑体符合要求；人工观察产品表面是否存在拉伤、气泡、裂纹变形等。外观检查合格，装配入库；外观检查不合格，进入粉料工序进行破碎，不合格品率控制2%左右。</w:t>
            </w:r>
          </w:p>
          <w:p>
            <w:pPr>
              <w:pStyle w:val="97"/>
              <w:widowControl w:val="0"/>
              <w:numPr>
                <w:ilvl w:val="0"/>
                <w:numId w:val="0"/>
              </w:numPr>
              <w:kinsoku w:val="0"/>
              <w:overflowPunct w:val="0"/>
              <w:autoSpaceDE w:val="0"/>
              <w:autoSpaceDN w:val="0"/>
              <w:spacing w:after="0" w:line="420" w:lineRule="exact"/>
              <w:ind w:firstLine="481" w:firstLineChars="200"/>
              <w:rPr>
                <w:rFonts w:hint="default" w:ascii="Times New Roman" w:hAnsi="Times New Roman" w:eastAsia="宋体" w:cs="Times New Roman"/>
                <w:b w:val="0"/>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color w:val="auto"/>
                <w:sz w:val="24"/>
                <w:szCs w:val="24"/>
                <w:highlight w:val="none"/>
              </w:rPr>
              <w:t>粉碎：修剪过程中产生的边角料、不合格品S4经过粉碎机粉碎后作为原料，继续投放至注塑机进行注塑，无废塑料产生，破碎过程中有噪声N、粉尘G2-2产生。</w:t>
            </w:r>
          </w:p>
          <w:p>
            <w:pPr>
              <w:pStyle w:val="97"/>
              <w:numPr>
                <w:ilvl w:val="0"/>
                <w:numId w:val="0"/>
              </w:numPr>
              <w:spacing w:after="0" w:line="420" w:lineRule="exact"/>
              <w:ind w:firstLine="481" w:firstLineChars="200"/>
              <w:rPr>
                <w:rFonts w:hint="default" w:ascii="Times New Roman" w:hAnsi="Times New Roman" w:eastAsia="宋体" w:cs="Times New Roman"/>
                <w:bCs/>
                <w:color w:val="auto"/>
                <w:kern w:val="0"/>
                <w:sz w:val="24"/>
                <w:szCs w:val="24"/>
                <w:highlight w:val="none"/>
                <w:lang w:bidi="ar"/>
              </w:rPr>
            </w:pPr>
            <w:r>
              <w:rPr>
                <w:rFonts w:hint="default" w:ascii="Times New Roman" w:hAnsi="Times New Roman" w:eastAsia="宋体" w:cs="Times New Roman"/>
                <w:bCs/>
                <w:color w:val="auto"/>
                <w:sz w:val="24"/>
                <w:szCs w:val="24"/>
                <w:highlight w:val="none"/>
                <w:lang w:bidi="ar"/>
              </w:rPr>
              <w:t>（5）</w:t>
            </w:r>
            <w:r>
              <w:rPr>
                <w:rFonts w:hint="default" w:ascii="Times New Roman" w:hAnsi="Times New Roman" w:eastAsia="宋体" w:cs="Times New Roman"/>
                <w:color w:val="auto"/>
                <w:sz w:val="24"/>
                <w:szCs w:val="24"/>
                <w:highlight w:val="none"/>
              </w:rPr>
              <w:t>连接器密封件</w:t>
            </w:r>
            <w:r>
              <w:rPr>
                <w:rFonts w:hint="default" w:ascii="Times New Roman" w:hAnsi="Times New Roman" w:eastAsia="宋体" w:cs="Times New Roman"/>
                <w:bCs/>
                <w:color w:val="auto"/>
                <w:kern w:val="0"/>
                <w:sz w:val="24"/>
                <w:szCs w:val="24"/>
                <w:highlight w:val="none"/>
                <w:lang w:bidi="ar"/>
              </w:rPr>
              <w:t>生产线</w:t>
            </w:r>
          </w:p>
          <w:p>
            <w:pPr>
              <w:ind w:firstLine="480"/>
              <w:jc w:val="center"/>
              <w:rPr>
                <w:rFonts w:hint="default" w:ascii="Times New Roman" w:hAnsi="Times New Roman" w:eastAsia="宋体" w:cs="Times New Roman"/>
                <w:b/>
                <w:color w:val="auto"/>
                <w:kern w:val="2"/>
                <w:sz w:val="21"/>
                <w:szCs w:val="21"/>
                <w:highlight w:val="none"/>
                <w:u w:val="single"/>
              </w:rPr>
            </w:pPr>
            <w:r>
              <w:rPr>
                <w:rFonts w:hint="default" w:ascii="Times New Roman" w:hAnsi="Times New Roman" w:eastAsia="宋体" w:cs="Times New Roman"/>
                <w:b/>
                <w:color w:val="auto"/>
                <w:kern w:val="2"/>
                <w:sz w:val="21"/>
                <w:szCs w:val="21"/>
                <w:highlight w:val="none"/>
              </w:rPr>
              <w:object>
                <v:shape id="_x0000_i1030" o:spt="75" type="#_x0000_t75" style="height:319.5pt;width:388.5pt;" o:ole="t" filled="f" o:preferrelative="t" stroked="f" coordsize="21600,21600">
                  <v:path/>
                  <v:fill on="f" focussize="0,0"/>
                  <v:stroke on="f" joinstyle="miter"/>
                  <v:imagedata r:id="rId19" o:title=""/>
                  <o:lock v:ext="edit" aspectratio="f"/>
                  <w10:wrap type="none"/>
                  <w10:anchorlock/>
                </v:shape>
                <o:OLEObject Type="Embed" ProgID="Visio.Drawing.11" ShapeID="_x0000_i1030" DrawAspect="Content" ObjectID="_1468075730" r:id="rId18">
                  <o:LockedField>false</o:LockedField>
                </o:OLEObject>
              </w:object>
            </w:r>
          </w:p>
          <w:p>
            <w:pPr>
              <w:spacing w:after="0"/>
              <w:jc w:val="center"/>
              <w:rPr>
                <w:rFonts w:hint="default" w:ascii="Times New Roman" w:hAnsi="Times New Roman" w:eastAsia="宋体" w:cs="Times New Roman"/>
                <w:b/>
                <w:color w:val="auto"/>
                <w:kern w:val="2"/>
                <w:sz w:val="24"/>
                <w:szCs w:val="24"/>
                <w:highlight w:val="none"/>
                <w:u w:val="single"/>
              </w:rPr>
            </w:pPr>
            <w:r>
              <w:rPr>
                <w:rFonts w:hint="default" w:ascii="Times New Roman" w:hAnsi="Times New Roman" w:eastAsia="宋体" w:cs="Times New Roman"/>
                <w:b/>
                <w:color w:val="auto"/>
                <w:kern w:val="2"/>
                <w:sz w:val="24"/>
                <w:szCs w:val="24"/>
                <w:highlight w:val="none"/>
                <w:u w:val="single"/>
              </w:rPr>
              <w:t>图</w:t>
            </w:r>
            <w:r>
              <w:rPr>
                <w:rFonts w:hint="default" w:ascii="Times New Roman" w:hAnsi="Times New Roman" w:eastAsia="宋体" w:cs="Times New Roman"/>
                <w:b/>
                <w:color w:val="auto"/>
                <w:kern w:val="2"/>
                <w:sz w:val="24"/>
                <w:szCs w:val="24"/>
                <w:highlight w:val="none"/>
                <w:u w:val="single"/>
              </w:rPr>
              <w:fldChar w:fldCharType="begin"/>
            </w:r>
            <w:r>
              <w:rPr>
                <w:rFonts w:hint="default" w:ascii="Times New Roman" w:hAnsi="Times New Roman" w:eastAsia="宋体" w:cs="Times New Roman"/>
                <w:b/>
                <w:color w:val="auto"/>
                <w:kern w:val="2"/>
                <w:sz w:val="24"/>
                <w:szCs w:val="24"/>
                <w:highlight w:val="none"/>
                <w:u w:val="single"/>
              </w:rPr>
              <w:instrText xml:space="preserve"> STYLEREF 2 \s </w:instrText>
            </w:r>
            <w:r>
              <w:rPr>
                <w:rFonts w:hint="default" w:ascii="Times New Roman" w:hAnsi="Times New Roman" w:eastAsia="宋体" w:cs="Times New Roman"/>
                <w:b/>
                <w:color w:val="auto"/>
                <w:kern w:val="2"/>
                <w:sz w:val="24"/>
                <w:szCs w:val="24"/>
                <w:highlight w:val="none"/>
                <w:u w:val="single"/>
              </w:rPr>
              <w:fldChar w:fldCharType="separate"/>
            </w:r>
            <w:r>
              <w:rPr>
                <w:rFonts w:hint="default" w:ascii="Times New Roman" w:hAnsi="Times New Roman" w:eastAsia="宋体" w:cs="Times New Roman"/>
                <w:b/>
                <w:color w:val="auto"/>
                <w:kern w:val="2"/>
                <w:sz w:val="24"/>
                <w:szCs w:val="24"/>
                <w:highlight w:val="none"/>
                <w:u w:val="single"/>
              </w:rPr>
              <w:t>2.3</w:t>
            </w:r>
            <w:r>
              <w:rPr>
                <w:rFonts w:hint="default" w:ascii="Times New Roman" w:hAnsi="Times New Roman" w:eastAsia="宋体" w:cs="Times New Roman"/>
                <w:b/>
                <w:color w:val="auto"/>
                <w:kern w:val="2"/>
                <w:sz w:val="24"/>
                <w:szCs w:val="24"/>
                <w:highlight w:val="none"/>
                <w:u w:val="single"/>
              </w:rPr>
              <w:fldChar w:fldCharType="end"/>
            </w:r>
            <w:r>
              <w:rPr>
                <w:rFonts w:hint="default" w:ascii="Times New Roman" w:hAnsi="Times New Roman" w:eastAsia="宋体" w:cs="Times New Roman"/>
                <w:b/>
                <w:color w:val="auto"/>
                <w:kern w:val="2"/>
                <w:sz w:val="24"/>
                <w:szCs w:val="24"/>
                <w:highlight w:val="none"/>
                <w:u w:val="single"/>
              </w:rPr>
              <w:noBreakHyphen/>
            </w:r>
            <w:r>
              <w:rPr>
                <w:rFonts w:hint="default" w:ascii="Times New Roman" w:hAnsi="Times New Roman" w:eastAsia="宋体" w:cs="Times New Roman"/>
                <w:b/>
                <w:color w:val="auto"/>
                <w:kern w:val="2"/>
                <w:sz w:val="24"/>
                <w:szCs w:val="24"/>
                <w:highlight w:val="none"/>
                <w:u w:val="single"/>
              </w:rPr>
              <w:t>5  连接器密封件生产工艺及产排污图</w:t>
            </w:r>
          </w:p>
          <w:p>
            <w:pPr>
              <w:spacing w:after="0" w:line="420" w:lineRule="exact"/>
              <w:ind w:firstLine="481" w:firstLineChars="200"/>
              <w:jc w:val="both"/>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工艺流程简述：</w:t>
            </w:r>
          </w:p>
          <w:p>
            <w:pPr>
              <w:spacing w:after="0" w:line="42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称重配料：原料主要为硅橡胶、聚异丁烯、三元乙丙橡胶、炭黑等。根据产品配方，需对粉料（炭黑、碳酸钙、促进剂、防老剂、成型剂、陶土、滑石粉）进行解包、计量、配料，粉料由于颗粒直径很小（通常小于100微米，比重较轻，起尘风速低，容易溢散而造成颗粒污染。粉料主要采用塑编袋包装，为人工解包投料，经粉料配料系统称量后包装成袋，整袋投入捏炼机。粉料在解包、配料时因受到扰动会有极少量解包配料粉尘G3-1产生。</w:t>
            </w:r>
          </w:p>
          <w:p>
            <w:pPr>
              <w:spacing w:after="0" w:line="420" w:lineRule="exact"/>
              <w:ind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炼胶：炼胶工序由密炼和开炼组成；原材料经称量配料后，投料进入捏炼机中进行密炼，使胶块、炭黑、防老剂等完全均匀地分散于橡胶中，温度约140℃；密炼机其密炼腔体为密封结构，密炼机进出口密闭。进料口进料时有少量颗粒物产生，卸料时卸料口有热胶废气产生。</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color w:val="auto"/>
                <w:kern w:val="2"/>
                <w:sz w:val="24"/>
                <w:szCs w:val="24"/>
                <w:highlight w:val="none"/>
              </w:rPr>
              <w:t>混合好的胶料及成型剂、促进剂排入小车通过小车输送至开炼机，开炼温度约60℃~70℃左右，开炼机为开敞结构，通过两个辊筒间对胶料的挤压和剪切完成开炼，辊筒处有热胶废气产生，开炼机主要起压片作用，压片完毕后</w:t>
            </w:r>
            <w:r>
              <w:rPr>
                <w:rFonts w:hint="default" w:ascii="Times New Roman" w:hAnsi="Times New Roman" w:eastAsia="宋体" w:cs="Times New Roman"/>
                <w:kern w:val="2"/>
                <w:sz w:val="24"/>
                <w:szCs w:val="24"/>
              </w:rPr>
              <w:t>部分胶料直接进入胶片冷却装置冷却，此处胶片冷却采用循环水冷却(间接冷却)。投料过程中产生颗粒物(G3-2)，炼胶过程中会产生密炼废气（G3-3，卸料时卸料口处排出）、开炼废气（G3-4）。</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◆冷却、风干：经冷却水间接冷却之后，胶片利用晾干机进行风干。</w:t>
            </w:r>
          </w:p>
          <w:p>
            <w:pPr>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成型、修剪：成型分为橡胶成型和二次成型。切片后的胶片需要通过成型机和模具进行加热受压成型，一般橡胶的成型温度在130℃~210℃的范围，在加热条件下，胶料中的生胶和含硫颗粒物发生化学反应，由线型结构的大分子交联成为立体网状结构的大分子，并使胶料的物料机械性能及其他性能随之发生变化。成型后的胶体进行裁剪、修整，使胶体符合要求，产生边角料S4-1，边角料产生率为11%。修剪成型后的胶体进入电烘箱进行加热。二次成型指橡胶制品达到一定硫化程度，除去热源继续加热的工艺，橡胶制品仍可在余热的作用下，继续加深硫化程序，改善橡胶制品的力学性能和压缩永久变形性能等。根据硫化情况采取加温（170℃~190℃，电加热）或不加温。成型废气（G3-5、G3-6）主要有颗粒物和热胶废气组成，热胶废气主要污染物是非甲烷总烃、二硫化碳、硫化氢、臭气浓度。产生设备噪声N。</w:t>
            </w:r>
          </w:p>
          <w:p>
            <w:pPr>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三元乙丙橡胶过氧化物硫化原理：</w:t>
            </w:r>
          </w:p>
          <w:p>
            <w:pPr>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过氧化物在加热条件下分解产生烷氧基自由基，烷氧基自由基夺氢产生聚合物自由基，相邻聚合物链上的自由基偶合形成C-C交联键。EPDM在用过氧化物硫化时，由于侧链上还有双键，烯丙基位上的氢原子更活泼，更易与过氧化物自由基进行加成反应，由于位阻作用，不能继续进行链增长反应，另外由于丙烯结构单元中侧甲基的存在，有断裂发生。因此在过氧化物硫化体系中加入助硫化剂。由于助硫化剂具有反应活性，增加了过氧化物自由基的利用效率，抑制了硫化期间非网络形成的副反应。</w:t>
            </w:r>
          </w:p>
          <w:p>
            <w:pPr>
              <w:spacing w:after="0" w:line="440" w:lineRule="exact"/>
              <w:ind w:firstLine="441" w:firstLineChars="200"/>
              <w:jc w:val="center"/>
              <w:rPr>
                <w:rFonts w:hint="default" w:ascii="Times New Roman" w:hAnsi="Times New Roman" w:eastAsia="宋体" w:cs="Times New Roman"/>
                <w:b/>
                <w:bCs/>
                <w:color w:val="auto"/>
                <w:kern w:val="2"/>
                <w:sz w:val="24"/>
                <w:szCs w:val="24"/>
              </w:rPr>
            </w:pPr>
            <w:r>
              <w:rPr>
                <w:rFonts w:hint="default" w:ascii="Times New Roman" w:hAnsi="Times New Roman" w:cs="Times New Roman"/>
                <w:b/>
                <w:bCs/>
                <w:color w:val="auto"/>
              </w:rPr>
              <w:drawing>
                <wp:anchor distT="0" distB="0" distL="114300" distR="114300" simplePos="0" relativeHeight="251662336" behindDoc="0" locked="0" layoutInCell="1" allowOverlap="1">
                  <wp:simplePos x="0" y="0"/>
                  <wp:positionH relativeFrom="column">
                    <wp:posOffset>947420</wp:posOffset>
                  </wp:positionH>
                  <wp:positionV relativeFrom="paragraph">
                    <wp:posOffset>48260</wp:posOffset>
                  </wp:positionV>
                  <wp:extent cx="3665855" cy="3310255"/>
                  <wp:effectExtent l="0" t="0" r="10795" b="4445"/>
                  <wp:wrapTopAndBottom/>
                  <wp:docPr id="9"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true"/>
                          </pic:cNvPicPr>
                        </pic:nvPicPr>
                        <pic:blipFill>
                          <a:blip r:embed="rId20"/>
                          <a:stretch>
                            <a:fillRect/>
                          </a:stretch>
                        </pic:blipFill>
                        <pic:spPr>
                          <a:xfrm>
                            <a:off x="0" y="0"/>
                            <a:ext cx="3665855" cy="3310255"/>
                          </a:xfrm>
                          <a:prstGeom prst="rect">
                            <a:avLst/>
                          </a:prstGeom>
                          <a:noFill/>
                          <a:ln>
                            <a:noFill/>
                          </a:ln>
                        </pic:spPr>
                      </pic:pic>
                    </a:graphicData>
                  </a:graphic>
                </wp:anchor>
              </w:drawing>
            </w:r>
            <w:r>
              <w:rPr>
                <w:rFonts w:hint="default" w:ascii="Times New Roman" w:hAnsi="Times New Roman" w:cs="Times New Roman"/>
                <w:b/>
                <w:bCs/>
                <w:color w:val="auto"/>
              </w:rPr>
              <w:drawing>
                <wp:anchor distT="0" distB="0" distL="114300" distR="114300" simplePos="0" relativeHeight="251661312" behindDoc="0" locked="0" layoutInCell="1" allowOverlap="1">
                  <wp:simplePos x="0" y="0"/>
                  <wp:positionH relativeFrom="column">
                    <wp:posOffset>1221740</wp:posOffset>
                  </wp:positionH>
                  <wp:positionV relativeFrom="paragraph">
                    <wp:posOffset>142875</wp:posOffset>
                  </wp:positionV>
                  <wp:extent cx="3391535" cy="3061970"/>
                  <wp:effectExtent l="0" t="0" r="18415" b="5080"/>
                  <wp:wrapTopAndBottom/>
                  <wp:docPr id="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true"/>
                          </pic:cNvPicPr>
                        </pic:nvPicPr>
                        <pic:blipFill>
                          <a:blip r:embed="rId20"/>
                          <a:stretch>
                            <a:fillRect/>
                          </a:stretch>
                        </pic:blipFill>
                        <pic:spPr>
                          <a:xfrm>
                            <a:off x="0" y="0"/>
                            <a:ext cx="3391535" cy="3061970"/>
                          </a:xfrm>
                          <a:prstGeom prst="rect">
                            <a:avLst/>
                          </a:prstGeom>
                          <a:noFill/>
                          <a:ln>
                            <a:noFill/>
                          </a:ln>
                        </pic:spPr>
                      </pic:pic>
                    </a:graphicData>
                  </a:graphic>
                </wp:anchor>
              </w:drawing>
            </w:r>
            <w:r>
              <w:rPr>
                <w:rFonts w:hint="default" w:ascii="Times New Roman" w:hAnsi="Times New Roman" w:eastAsia="宋体" w:cs="Times New Roman"/>
                <w:b/>
                <w:bCs/>
                <w:color w:val="auto"/>
                <w:kern w:val="2"/>
                <w:sz w:val="24"/>
                <w:szCs w:val="24"/>
              </w:rPr>
              <w:t>三元乙丙橡胶过氧化物的硫化机理</w:t>
            </w:r>
          </w:p>
          <w:p>
            <w:pPr>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PIB硫化原理：在加热或辐照的条件下，胶片中的橡胶与配合剂发生化学反应，使胶由线性结构的大分子交联成立体网状的大分子，从而使橡胶胶料的物理一力学性能和化学性能都发生的明显改变和质的变化。硫磺反应即硫磺在高于临界聚合温度(159℃)下按照反应机理开环聚合而成，反应结束后形成两端为自由基的链状分子(硫交联键)硫化前线型结构的材料两个链之间只有分子间作用力，没有化学键;硫化后高分子链的侧链不饱和双键跟交联键发生反应，分子链之间形成化学键产生交联反应从而形成网状结构。</w:t>
            </w:r>
          </w:p>
          <w:p>
            <w:pPr>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促进剂的加入，降低了硫环的断裂活化能，由于促进剂本身的裂解，增加了体系中的自由基或离子的浓度，加速了硫化链反应的引发和链增长反应，提高了硫化反应速度，与此同时，也改善了硫化胶的结构和性能，如耐老性能。</w:t>
            </w:r>
          </w:p>
          <w:p>
            <w:pPr>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在硫化过程中，硫直接起到交联键的作用。</w:t>
            </w:r>
          </w:p>
          <w:p>
            <w:pPr>
              <w:spacing w:after="0"/>
              <w:ind w:firstLine="440" w:firstLineChars="200"/>
              <w:jc w:val="center"/>
              <w:rPr>
                <w:rFonts w:hint="default" w:ascii="Times New Roman" w:hAnsi="Times New Roman" w:eastAsia="宋体" w:cs="Times New Roman"/>
                <w:color w:val="auto"/>
                <w:kern w:val="2"/>
                <w:sz w:val="24"/>
                <w:szCs w:val="24"/>
              </w:rPr>
            </w:pPr>
            <w:r>
              <w:rPr>
                <w:rFonts w:hint="default" w:ascii="Times New Roman" w:hAnsi="Times New Roman" w:cs="Times New Roman"/>
                <w:color w:val="auto"/>
              </w:rPr>
              <w:drawing>
                <wp:inline distT="0" distB="0" distL="114300" distR="114300">
                  <wp:extent cx="2628265" cy="975360"/>
                  <wp:effectExtent l="0" t="0" r="635" b="15240"/>
                  <wp:docPr id="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true"/>
                          </pic:cNvPicPr>
                        </pic:nvPicPr>
                        <pic:blipFill>
                          <a:blip r:embed="rId21"/>
                          <a:stretch>
                            <a:fillRect/>
                          </a:stretch>
                        </pic:blipFill>
                        <pic:spPr>
                          <a:xfrm>
                            <a:off x="0" y="0"/>
                            <a:ext cx="2628265" cy="975360"/>
                          </a:xfrm>
                          <a:prstGeom prst="rect">
                            <a:avLst/>
                          </a:prstGeom>
                          <a:noFill/>
                          <a:ln>
                            <a:noFill/>
                          </a:ln>
                        </pic:spPr>
                      </pic:pic>
                    </a:graphicData>
                  </a:graphic>
                </wp:inline>
              </w:drawing>
            </w:r>
          </w:p>
          <w:p>
            <w:pPr>
              <w:spacing w:after="0" w:line="440" w:lineRule="exact"/>
              <w:ind w:firstLine="481" w:firstLineChars="20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rPr>
              <w:t>硫磺硫化PIB的硫化机理</w:t>
            </w:r>
          </w:p>
          <w:p>
            <w:pPr>
              <w:spacing w:after="0" w:line="440" w:lineRule="exact"/>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◆组装：将塑料件和成型的橡胶件组装，即为连接器密封件。</w:t>
            </w:r>
          </w:p>
          <w:p>
            <w:pPr>
              <w:spacing w:after="0" w:line="44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◆检验、包装入库：经检验合格的产品进行包装入库，不合格的产品及边角料外售。产生不合格品S4-2、废包装纸S4-3，不合格品率为3%。</w:t>
            </w:r>
          </w:p>
          <w:p>
            <w:pPr>
              <w:spacing w:after="0" w:line="420" w:lineRule="exact"/>
              <w:ind w:firstLine="480" w:firstLineChars="200"/>
              <w:jc w:val="both"/>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本项目具体产污环节及处理方式见表2.2-1。</w:t>
            </w:r>
          </w:p>
          <w:p>
            <w:pPr>
              <w:spacing w:after="0" w:line="420" w:lineRule="exact"/>
              <w:ind w:firstLine="481" w:firstLineChars="20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表2.2-1  主要产污环节及污染防治措施</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673"/>
              <w:gridCol w:w="2036"/>
              <w:gridCol w:w="1886"/>
              <w:gridCol w:w="3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95" w:type="pct"/>
                  <w:tcBorders>
                    <w:tl2br w:val="nil"/>
                    <w:tr2bl w:val="nil"/>
                  </w:tcBorders>
                  <w:vAlign w:val="center"/>
                </w:tcPr>
                <w:p>
                  <w:pPr>
                    <w:spacing w:after="0"/>
                    <w:jc w:val="center"/>
                    <w:rPr>
                      <w:rFonts w:hint="default" w:ascii="Times New Roman" w:hAnsi="Times New Roman" w:eastAsia="宋体" w:cs="Times New Roman"/>
                      <w:b/>
                      <w:bCs/>
                      <w:kern w:val="2"/>
                      <w:sz w:val="21"/>
                      <w:szCs w:val="21"/>
                      <w:lang w:bidi="ar"/>
                    </w:rPr>
                  </w:pPr>
                  <w:r>
                    <w:rPr>
                      <w:rFonts w:hint="default" w:ascii="Times New Roman" w:hAnsi="Times New Roman" w:eastAsia="宋体" w:cs="Times New Roman"/>
                      <w:b/>
                      <w:bCs/>
                      <w:kern w:val="2"/>
                      <w:sz w:val="21"/>
                      <w:szCs w:val="21"/>
                      <w:lang w:bidi="ar"/>
                    </w:rPr>
                    <w:t>类别</w:t>
                  </w:r>
                </w:p>
              </w:tc>
              <w:tc>
                <w:tcPr>
                  <w:tcW w:w="367" w:type="pct"/>
                  <w:tcBorders>
                    <w:tl2br w:val="nil"/>
                    <w:tr2bl w:val="nil"/>
                  </w:tcBorders>
                  <w:vAlign w:val="center"/>
                </w:tcPr>
                <w:p>
                  <w:pPr>
                    <w:spacing w:after="0"/>
                    <w:jc w:val="center"/>
                    <w:rPr>
                      <w:rFonts w:hint="default" w:ascii="Times New Roman" w:hAnsi="Times New Roman" w:eastAsia="宋体" w:cs="Times New Roman"/>
                      <w:b/>
                      <w:bCs/>
                      <w:kern w:val="2"/>
                      <w:sz w:val="21"/>
                      <w:szCs w:val="21"/>
                      <w:lang w:bidi="ar"/>
                    </w:rPr>
                  </w:pPr>
                  <w:r>
                    <w:rPr>
                      <w:rFonts w:hint="default" w:ascii="Times New Roman" w:hAnsi="Times New Roman" w:eastAsia="宋体" w:cs="Times New Roman"/>
                      <w:b/>
                      <w:bCs/>
                      <w:kern w:val="2"/>
                      <w:sz w:val="21"/>
                      <w:szCs w:val="21"/>
                      <w:lang w:bidi="ar"/>
                    </w:rPr>
                    <w:t>序号</w:t>
                  </w:r>
                </w:p>
              </w:tc>
              <w:tc>
                <w:tcPr>
                  <w:tcW w:w="1112" w:type="pct"/>
                  <w:tcBorders>
                    <w:tl2br w:val="nil"/>
                    <w:tr2bl w:val="nil"/>
                  </w:tcBorders>
                  <w:vAlign w:val="center"/>
                </w:tcPr>
                <w:p>
                  <w:pPr>
                    <w:spacing w:after="0"/>
                    <w:jc w:val="center"/>
                    <w:rPr>
                      <w:rFonts w:hint="default" w:ascii="Times New Roman" w:hAnsi="Times New Roman" w:eastAsia="宋体" w:cs="Times New Roman"/>
                      <w:b/>
                      <w:bCs/>
                      <w:kern w:val="2"/>
                      <w:sz w:val="21"/>
                      <w:szCs w:val="21"/>
                      <w:lang w:bidi="ar"/>
                    </w:rPr>
                  </w:pPr>
                  <w:r>
                    <w:rPr>
                      <w:rFonts w:hint="default" w:ascii="Times New Roman" w:hAnsi="Times New Roman" w:eastAsia="宋体" w:cs="Times New Roman"/>
                      <w:b/>
                      <w:bCs/>
                      <w:kern w:val="2"/>
                      <w:sz w:val="21"/>
                      <w:szCs w:val="21"/>
                      <w:lang w:bidi="ar"/>
                    </w:rPr>
                    <w:t>污染源</w:t>
                  </w:r>
                </w:p>
              </w:tc>
              <w:tc>
                <w:tcPr>
                  <w:tcW w:w="1030" w:type="pct"/>
                  <w:tcBorders>
                    <w:tl2br w:val="nil"/>
                    <w:tr2bl w:val="nil"/>
                  </w:tcBorders>
                  <w:vAlign w:val="center"/>
                </w:tcPr>
                <w:p>
                  <w:pPr>
                    <w:spacing w:after="0"/>
                    <w:jc w:val="center"/>
                    <w:rPr>
                      <w:rFonts w:hint="default" w:ascii="Times New Roman" w:hAnsi="Times New Roman" w:eastAsia="宋体" w:cs="Times New Roman"/>
                      <w:b/>
                      <w:bCs/>
                      <w:kern w:val="2"/>
                      <w:sz w:val="21"/>
                      <w:szCs w:val="21"/>
                      <w:lang w:bidi="ar"/>
                    </w:rPr>
                  </w:pPr>
                  <w:r>
                    <w:rPr>
                      <w:rFonts w:hint="default" w:ascii="Times New Roman" w:hAnsi="Times New Roman" w:eastAsia="宋体" w:cs="Times New Roman"/>
                      <w:b/>
                      <w:bCs/>
                      <w:kern w:val="2"/>
                      <w:sz w:val="21"/>
                      <w:szCs w:val="21"/>
                      <w:lang w:bidi="ar"/>
                    </w:rPr>
                    <w:t>主要污染因子</w:t>
                  </w:r>
                </w:p>
              </w:tc>
              <w:tc>
                <w:tcPr>
                  <w:tcW w:w="2092" w:type="pct"/>
                  <w:tcBorders>
                    <w:tl2br w:val="nil"/>
                    <w:tr2bl w:val="nil"/>
                  </w:tcBorders>
                  <w:vAlign w:val="center"/>
                </w:tcPr>
                <w:p>
                  <w:pPr>
                    <w:spacing w:after="0"/>
                    <w:jc w:val="center"/>
                    <w:rPr>
                      <w:rFonts w:hint="default" w:ascii="Times New Roman" w:hAnsi="Times New Roman" w:eastAsia="宋体" w:cs="Times New Roman"/>
                      <w:b/>
                      <w:bCs/>
                      <w:kern w:val="2"/>
                      <w:sz w:val="21"/>
                      <w:szCs w:val="21"/>
                      <w:lang w:bidi="ar"/>
                    </w:rPr>
                  </w:pPr>
                  <w:r>
                    <w:rPr>
                      <w:rFonts w:hint="default" w:ascii="Times New Roman" w:hAnsi="Times New Roman" w:eastAsia="宋体" w:cs="Times New Roman"/>
                      <w:b/>
                      <w:bCs/>
                      <w:kern w:val="2"/>
                      <w:sz w:val="21"/>
                      <w:szCs w:val="21"/>
                      <w:lang w:bidi="ar"/>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395" w:type="pct"/>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废气</w:t>
                  </w: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G1-1</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玻璃纤维粉尘</w:t>
                  </w:r>
                </w:p>
              </w:tc>
              <w:tc>
                <w:tcPr>
                  <w:tcW w:w="1030" w:type="pct"/>
                  <w:tcBorders>
                    <w:tl2br w:val="nil"/>
                    <w:tr2bl w:val="nil"/>
                  </w:tcBorders>
                  <w:vAlign w:val="center"/>
                </w:tcPr>
                <w:p>
                  <w:pPr>
                    <w:spacing w:after="0"/>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颗粒物</w:t>
                  </w:r>
                </w:p>
              </w:tc>
              <w:tc>
                <w:tcPr>
                  <w:tcW w:w="2092" w:type="pct"/>
                  <w:vMerge w:val="restart"/>
                  <w:tcBorders>
                    <w:tl2br w:val="nil"/>
                    <w:tr2bl w:val="nil"/>
                  </w:tcBorders>
                  <w:vAlign w:val="center"/>
                </w:tcPr>
                <w:p>
                  <w:pPr>
                    <w:spacing w:after="0"/>
                    <w:jc w:val="center"/>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设置集气罩，经集气罩收集后经“布袋除尘”处理后通过25m高排气筒DA00</w:t>
                  </w:r>
                  <w:r>
                    <w:rPr>
                      <w:rFonts w:hint="default" w:ascii="Times New Roman" w:hAnsi="Times New Roman" w:eastAsia="宋体" w:cs="Times New Roman"/>
                      <w:color w:val="auto"/>
                      <w:kern w:val="2"/>
                      <w:sz w:val="21"/>
                      <w:szCs w:val="21"/>
                      <w:lang w:val="en-US" w:eastAsia="zh-CN" w:bidi="ar"/>
                    </w:rPr>
                    <w:t>5</w:t>
                  </w:r>
                  <w:r>
                    <w:rPr>
                      <w:rFonts w:hint="default" w:ascii="Times New Roman" w:hAnsi="Times New Roman" w:eastAsia="宋体" w:cs="Times New Roman"/>
                      <w:color w:val="auto"/>
                      <w:kern w:val="2"/>
                      <w:sz w:val="21"/>
                      <w:szCs w:val="21"/>
                      <w:lang w:bidi="ar"/>
                    </w:rPr>
                    <w:t>排放</w:t>
                  </w:r>
                </w:p>
                <w:p>
                  <w:pPr>
                    <w:spacing w:after="0"/>
                    <w:jc w:val="center"/>
                    <w:rPr>
                      <w:rFonts w:hint="default" w:ascii="Times New Roman" w:hAnsi="Times New Roman" w:eastAsia="宋体" w:cs="Times New Roman"/>
                      <w:color w:val="auto"/>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G1-2</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玻璃纤维粉尘</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颗粒物</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G1-3</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玻璃纤维粉尘</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颗粒物</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G1-4</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玻璃纤维粉尘</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颗粒物</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G1-5</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玻璃/陶瓷纤维粉尘</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颗粒物</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G2-1</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注塑废气</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非甲烷总烃、氨、恶臭气体</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设置集气罩，经集气罩收集后经“二级活性炭吸附”处理后通过25m高排气筒（DA001）排放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b/>
                      <w:bCs/>
                      <w:kern w:val="2"/>
                      <w:sz w:val="21"/>
                      <w:szCs w:val="21"/>
                      <w:lang w:bidi="ar"/>
                    </w:rPr>
                  </w:pPr>
                  <w:r>
                    <w:rPr>
                      <w:rFonts w:hint="default" w:ascii="Times New Roman" w:hAnsi="Times New Roman" w:eastAsia="Times New Roman" w:cs="Times New Roman"/>
                      <w:kern w:val="2"/>
                      <w:sz w:val="21"/>
                      <w:szCs w:val="21"/>
                      <w:lang w:bidi="ar"/>
                    </w:rPr>
                    <w:t>G</w:t>
                  </w:r>
                  <w:r>
                    <w:rPr>
                      <w:rFonts w:hint="default" w:ascii="Times New Roman" w:hAnsi="Times New Roman" w:eastAsia="宋体" w:cs="Times New Roman"/>
                      <w:kern w:val="2"/>
                      <w:sz w:val="21"/>
                      <w:szCs w:val="21"/>
                      <w:lang w:bidi="ar"/>
                    </w:rPr>
                    <w:t>2-2</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粉碎粉尘</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颗粒物</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粉料过程中产生的粉料很少，且粉料机上端自带有布袋搜集粉尘，无需额外收集治理。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G3-1</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解包配料粉尘</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颗粒物</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设置集气罩，经集气罩收集后经“布袋除尘”处理后通过25m高排气筒DA002排放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G3-2</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投料粉尘</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颗粒物</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设置集气罩，经集气罩收集后经“布袋除尘”处理后通过25m高排气筒DA002排放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G3-3</w:t>
                  </w:r>
                </w:p>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G3-4</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炼胶废气</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非甲烷总烃、二硫化碳、硫化氢、颗粒物</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设置集气罩，经集气罩收集后经“布袋除尘+二级活性炭吸附”处理后通过25m高排气筒DA003排放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G3-5</w:t>
                  </w:r>
                </w:p>
                <w:p>
                  <w:pPr>
                    <w:jc w:val="center"/>
                    <w:rPr>
                      <w:rFonts w:hint="default" w:ascii="Times New Roman" w:hAnsi="Times New Roman" w:cs="Times New Roman"/>
                    </w:rPr>
                  </w:pPr>
                  <w:r>
                    <w:rPr>
                      <w:rFonts w:hint="default" w:ascii="Times New Roman" w:hAnsi="Times New Roman" w:eastAsia="宋体" w:cs="Times New Roman"/>
                      <w:kern w:val="2"/>
                      <w:sz w:val="21"/>
                      <w:szCs w:val="21"/>
                      <w:lang w:bidi="ar"/>
                    </w:rPr>
                    <w:t>G3-6</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成型废气</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非甲烷总烃、二硫化碳、硫化氢、颗粒物</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设置集气罩，经集气罩收集后经“二级活性炭吸附”处理后通过25m高排气筒（DA004）排放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G4</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食堂油烟</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非甲烷总烃、油烟</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经油烟净化器处理后引至楼顶排放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废水</w:t>
                  </w:r>
                </w:p>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W1</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注塑循环冷却水</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水温</w:t>
                  </w:r>
                </w:p>
              </w:tc>
              <w:tc>
                <w:tcPr>
                  <w:tcW w:w="2092" w:type="pct"/>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W2</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开炼循环冷却水</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水温</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W3</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地面清洁废水</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COD、SS</w:t>
                  </w:r>
                </w:p>
              </w:tc>
              <w:tc>
                <w:tcPr>
                  <w:tcW w:w="2092" w:type="pct"/>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食堂废水先经隔油沉渣预处理，与</w:t>
                  </w:r>
                  <w:r>
                    <w:rPr>
                      <w:rFonts w:hint="eastAsia" w:ascii="Times New Roman" w:hAnsi="Times New Roman" w:eastAsia="宋体" w:cs="Times New Roman"/>
                      <w:kern w:val="2"/>
                      <w:sz w:val="21"/>
                      <w:szCs w:val="21"/>
                      <w:lang w:eastAsia="zh-CN" w:bidi="ar"/>
                    </w:rPr>
                    <w:t>其他</w:t>
                  </w:r>
                  <w:r>
                    <w:rPr>
                      <w:rFonts w:hint="default" w:ascii="Times New Roman" w:hAnsi="Times New Roman" w:eastAsia="宋体" w:cs="Times New Roman"/>
                      <w:kern w:val="2"/>
                      <w:sz w:val="21"/>
                      <w:szCs w:val="21"/>
                      <w:lang w:bidi="ar"/>
                    </w:rPr>
                    <w:t>生活污水、地面清洁废水一并经厂区新建生化池处理达到GB8978-1996三级标准，排入市政污水管网进入农创园污水处理厂处理，达标后排入嘉陵江。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W4</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生活污水</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COD、BOD5、SS、NH3-N、总磷</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W5</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食堂废水</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COD、BOD5、SS、NH3-N、总磷、动植物油</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噪声</w:t>
                  </w: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N</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生产设备</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噪声</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选用低噪声设备，墙体隔声、基础隔振减震。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固废</w:t>
                  </w: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S1-1</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玻璃纤维短切</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玻璃纤维碎屑</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收集于一般工业固废暂存间，定期送生产厂家回用。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S1-2</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玻璃纤维裁切</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玻璃纤维边角料</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作为原材料回用于生产。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S1-3</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总成裁切</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废PET膜及硅胶</w:t>
                  </w:r>
                </w:p>
              </w:tc>
              <w:tc>
                <w:tcPr>
                  <w:tcW w:w="2092" w:type="pct"/>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收集于一般工业固废暂存间，定期处置回收利用。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S1-4</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背胶</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废离型纸</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S1-5</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包装</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废包装纸</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S2-1</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导通检测</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不合格品</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作为原材料回用于生产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S2-2</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尺寸外观检测</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不合格品</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作为原材料回用于生产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S2-3</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包装</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废包装纸</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收集于一般工业固废暂存间，定期处置，回收利用。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S3-1</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零件检测</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不合格品</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返厂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S3-2</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导通检测</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不合格品</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作为原材料回用于生产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S3-3</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尺寸外观检测</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不合格品</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作为原材料回用于生产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S3-4</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包装</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废包装纸</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收集于一般工业固废暂存间，定期处置，回收利用。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S4</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修剪</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边角料、不合格品</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S5-1</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裁边修剪</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边角料</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收集于一般工业固废暂存间，定期处置，回收利用。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S5-2</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检验</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不合格品</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收集于一般工业固废暂存间，定期处置，回收利用。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S5-3</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包装</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废包装纸</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收集于一般工业固废暂存间，定期处置，回收利用。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S6</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油桶</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废油桶</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规范移交有危废处理资质的单位处理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S7</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袋式除尘</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除尘灰</w:t>
                  </w:r>
                </w:p>
              </w:tc>
              <w:tc>
                <w:tcPr>
                  <w:tcW w:w="2092" w:type="pct"/>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收集于一般工业固废暂存间，定期处置。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S8</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更换滤袋</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废滤袋</w:t>
                  </w:r>
                </w:p>
              </w:tc>
              <w:tc>
                <w:tcPr>
                  <w:tcW w:w="209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S9</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设备用模具</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报废模具</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定期处置，回收利用。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S10</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液压设备</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废液压油</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交由有危废处理资质的单位处理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S11</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更换活性炭</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废活性炭</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交由有危废处理资质的单位处理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sz w:val="21"/>
                      <w:szCs w:val="21"/>
                    </w:rPr>
                    <w:t>S12</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模具维修设备维保</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含油棉纱手套</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交由有危废处理资质的单位处理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p>
              </w:tc>
              <w:tc>
                <w:tcPr>
                  <w:tcW w:w="367"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sz w:val="21"/>
                      <w:szCs w:val="21"/>
                    </w:rPr>
                    <w:t>S13</w:t>
                  </w:r>
                </w:p>
              </w:tc>
              <w:tc>
                <w:tcPr>
                  <w:tcW w:w="111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全厂</w:t>
                  </w:r>
                </w:p>
              </w:tc>
              <w:tc>
                <w:tcPr>
                  <w:tcW w:w="1030"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生活垃圾</w:t>
                  </w:r>
                </w:p>
              </w:tc>
              <w:tc>
                <w:tcPr>
                  <w:tcW w:w="2092" w:type="pct"/>
                  <w:tcBorders>
                    <w:tl2br w:val="nil"/>
                    <w:tr2bl w:val="nil"/>
                  </w:tcBorders>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收集后交由环卫清运处置</w:t>
                  </w:r>
                </w:p>
              </w:tc>
            </w:tr>
          </w:tbl>
          <w:p>
            <w:pPr>
              <w:spacing w:after="0" w:line="44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2.2.2物料平衡和水平衡</w:t>
            </w:r>
          </w:p>
          <w:p>
            <w:pPr>
              <w:spacing w:after="0" w:line="44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2.2.2.1水平衡</w:t>
            </w:r>
          </w:p>
          <w:p>
            <w:pPr>
              <w:spacing w:after="0" w:line="420" w:lineRule="exact"/>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项目用水主要包括生产用水和生活用水，其中生产用水主要是用于设备冷却循环补水。</w:t>
            </w:r>
          </w:p>
          <w:p>
            <w:pPr>
              <w:spacing w:after="0" w:line="42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本项目劳动定员300人，</w:t>
            </w:r>
            <w:r>
              <w:rPr>
                <w:rFonts w:hint="default" w:ascii="Times New Roman" w:hAnsi="Times New Roman" w:eastAsia="宋体" w:cs="Times New Roman"/>
                <w:color w:val="auto"/>
                <w:kern w:val="2"/>
                <w:sz w:val="24"/>
                <w:szCs w:val="24"/>
              </w:rPr>
              <w:t>厂内设置食堂和宿舍，住宿定员200人。住宿人员生活用水量按</w:t>
            </w:r>
            <w:r>
              <w:rPr>
                <w:rFonts w:hint="default" w:ascii="Times New Roman" w:hAnsi="Times New Roman" w:eastAsia="宋体" w:cs="Times New Roman"/>
                <w:color w:val="auto"/>
                <w:kern w:val="2"/>
                <w:sz w:val="21"/>
                <w:szCs w:val="21"/>
                <w:lang w:val="pt-BR"/>
              </w:rPr>
              <w:t>150L/人•天，其他人员按</w:t>
            </w:r>
            <w:r>
              <w:rPr>
                <w:rFonts w:hint="default" w:ascii="Times New Roman" w:hAnsi="Times New Roman" w:eastAsia="宋体" w:cs="Times New Roman"/>
                <w:color w:val="auto"/>
                <w:kern w:val="2"/>
                <w:sz w:val="21"/>
                <w:szCs w:val="21"/>
              </w:rPr>
              <w:t>7</w:t>
            </w:r>
            <w:r>
              <w:rPr>
                <w:rFonts w:hint="default" w:ascii="Times New Roman" w:hAnsi="Times New Roman" w:eastAsia="宋体" w:cs="Times New Roman"/>
                <w:color w:val="auto"/>
                <w:kern w:val="2"/>
                <w:sz w:val="21"/>
                <w:szCs w:val="21"/>
                <w:lang w:val="pt-BR"/>
              </w:rPr>
              <w:t>0L/人·d，食堂用水按20L/人•餐，一日三餐。</w:t>
            </w:r>
          </w:p>
          <w:p>
            <w:pPr>
              <w:spacing w:after="0" w:line="42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用排水情况见表2.1-13。</w:t>
            </w:r>
          </w:p>
          <w:p>
            <w:pPr>
              <w:spacing w:after="0" w:line="420" w:lineRule="exact"/>
              <w:ind w:firstLine="481" w:firstLineChars="20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表2.1-13  项目用水及排水情况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484"/>
              <w:gridCol w:w="1354"/>
              <w:gridCol w:w="743"/>
              <w:gridCol w:w="754"/>
              <w:gridCol w:w="1056"/>
              <w:gridCol w:w="796"/>
              <w:gridCol w:w="880"/>
              <w:gridCol w:w="1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57" w:type="pct"/>
                  <w:gridSpan w:val="2"/>
                  <w:vMerge w:val="restar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用水类别</w:t>
                  </w:r>
                </w:p>
              </w:tc>
              <w:tc>
                <w:tcPr>
                  <w:tcW w:w="739" w:type="pct"/>
                  <w:vMerge w:val="restar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用水标准</w:t>
                  </w:r>
                </w:p>
              </w:tc>
              <w:tc>
                <w:tcPr>
                  <w:tcW w:w="818" w:type="pct"/>
                  <w:gridSpan w:val="2"/>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用水量</w:t>
                  </w:r>
                </w:p>
              </w:tc>
              <w:tc>
                <w:tcPr>
                  <w:tcW w:w="577"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排水系数</w:t>
                  </w:r>
                </w:p>
              </w:tc>
              <w:tc>
                <w:tcPr>
                  <w:tcW w:w="916" w:type="pct"/>
                  <w:gridSpan w:val="2"/>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排水量</w:t>
                  </w:r>
                </w:p>
              </w:tc>
              <w:tc>
                <w:tcPr>
                  <w:tcW w:w="690" w:type="pct"/>
                  <w:vMerge w:val="restar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57" w:type="pct"/>
                  <w:gridSpan w:val="2"/>
                  <w:vMerge w:val="continue"/>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p>
              </w:tc>
              <w:tc>
                <w:tcPr>
                  <w:tcW w:w="739" w:type="pct"/>
                  <w:vMerge w:val="continue"/>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p>
              </w:tc>
              <w:tc>
                <w:tcPr>
                  <w:tcW w:w="406"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m³/d</w:t>
                  </w:r>
                </w:p>
              </w:tc>
              <w:tc>
                <w:tcPr>
                  <w:tcW w:w="412"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m³/a</w:t>
                  </w:r>
                </w:p>
              </w:tc>
              <w:tc>
                <w:tcPr>
                  <w:tcW w:w="577"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p>
              </w:tc>
              <w:tc>
                <w:tcPr>
                  <w:tcW w:w="435"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m³/d</w:t>
                  </w:r>
                </w:p>
              </w:tc>
              <w:tc>
                <w:tcPr>
                  <w:tcW w:w="48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m³/a</w:t>
                  </w:r>
                </w:p>
              </w:tc>
              <w:tc>
                <w:tcPr>
                  <w:tcW w:w="690" w:type="pct"/>
                  <w:vMerge w:val="continue"/>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1257" w:type="pct"/>
                  <w:gridSpan w:val="2"/>
                  <w:tcBorders>
                    <w:tl2br w:val="nil"/>
                    <w:tr2bl w:val="nil"/>
                  </w:tcBorders>
                  <w:tcMar>
                    <w:top w:w="0" w:type="dxa"/>
                    <w:left w:w="0" w:type="dxa"/>
                    <w:bottom w:w="0" w:type="dxa"/>
                    <w:right w:w="0" w:type="dxa"/>
                  </w:tcMar>
                  <w:vAlign w:val="bottom"/>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冷却循环水（注塑、开炼）</w:t>
                  </w:r>
                  <w:r>
                    <w:rPr>
                      <w:rFonts w:hint="default" w:ascii="Times New Roman" w:hAnsi="Times New Roman" w:eastAsia="宋体" w:cs="Times New Roman"/>
                      <w:color w:val="auto"/>
                      <w:kern w:val="2"/>
                      <w:sz w:val="21"/>
                      <w:szCs w:val="21"/>
                    </w:rPr>
                    <w:t>补水</w:t>
                  </w:r>
                </w:p>
              </w:tc>
              <w:tc>
                <w:tcPr>
                  <w:tcW w:w="739"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150</w:t>
                  </w:r>
                  <w:r>
                    <w:rPr>
                      <w:rFonts w:hint="default" w:ascii="Times New Roman" w:hAnsi="Times New Roman" w:eastAsia="宋体" w:cs="Times New Roman"/>
                      <w:color w:val="auto"/>
                      <w:kern w:val="2"/>
                      <w:sz w:val="21"/>
                      <w:szCs w:val="21"/>
                      <w:lang w:val="pt-BR"/>
                    </w:rPr>
                    <w:t>m³/d</w:t>
                  </w:r>
                </w:p>
              </w:tc>
              <w:tc>
                <w:tcPr>
                  <w:tcW w:w="406"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150</w:t>
                  </w:r>
                </w:p>
              </w:tc>
              <w:tc>
                <w:tcPr>
                  <w:tcW w:w="412"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45000</w:t>
                  </w:r>
                </w:p>
              </w:tc>
              <w:tc>
                <w:tcPr>
                  <w:tcW w:w="577"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w:t>
                  </w:r>
                </w:p>
              </w:tc>
              <w:tc>
                <w:tcPr>
                  <w:tcW w:w="435"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48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69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57" w:type="pct"/>
                  <w:gridSpan w:val="2"/>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地面清洁用水</w:t>
                  </w:r>
                </w:p>
              </w:tc>
              <w:tc>
                <w:tcPr>
                  <w:tcW w:w="739"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0.8</w:t>
                  </w:r>
                  <w:r>
                    <w:rPr>
                      <w:rFonts w:hint="default" w:ascii="Times New Roman" w:hAnsi="Times New Roman" w:eastAsia="宋体" w:cs="Times New Roman"/>
                      <w:color w:val="auto"/>
                      <w:kern w:val="2"/>
                      <w:sz w:val="21"/>
                      <w:szCs w:val="21"/>
                      <w:lang w:val="pt-BR"/>
                    </w:rPr>
                    <w:t>L/m²•次</w:t>
                  </w:r>
                </w:p>
              </w:tc>
              <w:tc>
                <w:tcPr>
                  <w:tcW w:w="406"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5.76</w:t>
                  </w:r>
                </w:p>
              </w:tc>
              <w:tc>
                <w:tcPr>
                  <w:tcW w:w="412"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1728</w:t>
                  </w:r>
                </w:p>
              </w:tc>
              <w:tc>
                <w:tcPr>
                  <w:tcW w:w="577"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0.9</w:t>
                  </w:r>
                </w:p>
              </w:tc>
              <w:tc>
                <w:tcPr>
                  <w:tcW w:w="435"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5.18</w:t>
                  </w:r>
                </w:p>
              </w:tc>
              <w:tc>
                <w:tcPr>
                  <w:tcW w:w="48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1554</w:t>
                  </w:r>
                </w:p>
              </w:tc>
              <w:tc>
                <w:tcPr>
                  <w:tcW w:w="690" w:type="pct"/>
                  <w:vMerge w:val="restar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446" w:type="pct"/>
                  <w:vMerge w:val="restar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生活</w:t>
                  </w:r>
                </w:p>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用</w:t>
                  </w:r>
                  <w:r>
                    <w:rPr>
                      <w:rFonts w:hint="default" w:ascii="Times New Roman" w:hAnsi="Times New Roman" w:eastAsia="宋体" w:cs="Times New Roman"/>
                      <w:color w:val="auto"/>
                      <w:kern w:val="2"/>
                      <w:sz w:val="21"/>
                      <w:szCs w:val="21"/>
                      <w:lang w:val="pt-BR"/>
                    </w:rPr>
                    <w:t>水</w:t>
                  </w:r>
                </w:p>
              </w:tc>
              <w:tc>
                <w:tcPr>
                  <w:tcW w:w="811"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住宿</w:t>
                  </w:r>
                </w:p>
              </w:tc>
              <w:tc>
                <w:tcPr>
                  <w:tcW w:w="739"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150L/人•天</w:t>
                  </w:r>
                </w:p>
              </w:tc>
              <w:tc>
                <w:tcPr>
                  <w:tcW w:w="406"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30</w:t>
                  </w:r>
                </w:p>
              </w:tc>
              <w:tc>
                <w:tcPr>
                  <w:tcW w:w="412"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9000</w:t>
                  </w:r>
                </w:p>
              </w:tc>
              <w:tc>
                <w:tcPr>
                  <w:tcW w:w="577"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0.9</w:t>
                  </w:r>
                </w:p>
              </w:tc>
              <w:tc>
                <w:tcPr>
                  <w:tcW w:w="435"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27</w:t>
                  </w:r>
                </w:p>
              </w:tc>
              <w:tc>
                <w:tcPr>
                  <w:tcW w:w="48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8100</w:t>
                  </w:r>
                </w:p>
              </w:tc>
              <w:tc>
                <w:tcPr>
                  <w:tcW w:w="690" w:type="pct"/>
                  <w:vMerge w:val="continue"/>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46" w:type="pct"/>
                  <w:vMerge w:val="continue"/>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p>
              </w:tc>
              <w:tc>
                <w:tcPr>
                  <w:tcW w:w="811"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生活</w:t>
                  </w:r>
                  <w:r>
                    <w:rPr>
                      <w:rFonts w:hint="default" w:ascii="Times New Roman" w:hAnsi="Times New Roman" w:eastAsia="宋体" w:cs="Times New Roman"/>
                      <w:color w:val="auto"/>
                      <w:kern w:val="2"/>
                      <w:sz w:val="21"/>
                      <w:szCs w:val="21"/>
                    </w:rPr>
                    <w:t>(含</w:t>
                  </w:r>
                  <w:r>
                    <w:rPr>
                      <w:rFonts w:hint="default" w:ascii="Times New Roman" w:hAnsi="Times New Roman" w:eastAsia="宋体" w:cs="Times New Roman"/>
                      <w:color w:val="auto"/>
                      <w:kern w:val="2"/>
                      <w:sz w:val="21"/>
                      <w:szCs w:val="21"/>
                      <w:lang w:val="pt-BR"/>
                    </w:rPr>
                    <w:t>洗手）</w:t>
                  </w:r>
                </w:p>
              </w:tc>
              <w:tc>
                <w:tcPr>
                  <w:tcW w:w="739"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7</w:t>
                  </w:r>
                  <w:r>
                    <w:rPr>
                      <w:rFonts w:hint="default" w:ascii="Times New Roman" w:hAnsi="Times New Roman" w:eastAsia="宋体" w:cs="Times New Roman"/>
                      <w:color w:val="auto"/>
                      <w:kern w:val="2"/>
                      <w:sz w:val="21"/>
                      <w:szCs w:val="21"/>
                      <w:lang w:val="pt-BR"/>
                    </w:rPr>
                    <w:t>0L/人·d</w:t>
                  </w:r>
                </w:p>
              </w:tc>
              <w:tc>
                <w:tcPr>
                  <w:tcW w:w="406"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w:t>
                  </w:r>
                </w:p>
              </w:tc>
              <w:tc>
                <w:tcPr>
                  <w:tcW w:w="412"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2100</w:t>
                  </w:r>
                </w:p>
              </w:tc>
              <w:tc>
                <w:tcPr>
                  <w:tcW w:w="577"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0.9</w:t>
                  </w:r>
                </w:p>
              </w:tc>
              <w:tc>
                <w:tcPr>
                  <w:tcW w:w="435"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6.3</w:t>
                  </w:r>
                </w:p>
              </w:tc>
              <w:tc>
                <w:tcPr>
                  <w:tcW w:w="48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1890</w:t>
                  </w:r>
                </w:p>
              </w:tc>
              <w:tc>
                <w:tcPr>
                  <w:tcW w:w="690" w:type="pct"/>
                  <w:vMerge w:val="continue"/>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57" w:type="pct"/>
                  <w:gridSpan w:val="2"/>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食堂</w:t>
                  </w:r>
                </w:p>
              </w:tc>
              <w:tc>
                <w:tcPr>
                  <w:tcW w:w="739"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20L/人•餐</w:t>
                  </w:r>
                </w:p>
              </w:tc>
              <w:tc>
                <w:tcPr>
                  <w:tcW w:w="406"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18</w:t>
                  </w:r>
                </w:p>
              </w:tc>
              <w:tc>
                <w:tcPr>
                  <w:tcW w:w="412"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5400</w:t>
                  </w:r>
                </w:p>
              </w:tc>
              <w:tc>
                <w:tcPr>
                  <w:tcW w:w="577"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0.9</w:t>
                  </w:r>
                </w:p>
              </w:tc>
              <w:tc>
                <w:tcPr>
                  <w:tcW w:w="435"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16.2</w:t>
                  </w:r>
                </w:p>
              </w:tc>
              <w:tc>
                <w:tcPr>
                  <w:tcW w:w="48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4860</w:t>
                  </w:r>
                </w:p>
              </w:tc>
              <w:tc>
                <w:tcPr>
                  <w:tcW w:w="69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隔油池、生化池、污水处理站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97" w:type="pct"/>
                  <w:gridSpan w:val="3"/>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合计</w:t>
                  </w:r>
                </w:p>
              </w:tc>
              <w:tc>
                <w:tcPr>
                  <w:tcW w:w="406"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210.76</w:t>
                  </w:r>
                </w:p>
              </w:tc>
              <w:tc>
                <w:tcPr>
                  <w:tcW w:w="412"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63228</w:t>
                  </w:r>
                </w:p>
              </w:tc>
              <w:tc>
                <w:tcPr>
                  <w:tcW w:w="577"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435"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54.68</w:t>
                  </w:r>
                </w:p>
              </w:tc>
              <w:tc>
                <w:tcPr>
                  <w:tcW w:w="48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16404</w:t>
                  </w:r>
                </w:p>
              </w:tc>
              <w:tc>
                <w:tcPr>
                  <w:tcW w:w="690" w:type="pct"/>
                  <w:tcBorders>
                    <w:tl2br w:val="nil"/>
                    <w:tr2bl w:val="nil"/>
                  </w:tcBorders>
                  <w:tcMar>
                    <w:top w:w="0" w:type="dxa"/>
                    <w:left w:w="0" w:type="dxa"/>
                    <w:bottom w:w="0" w:type="dxa"/>
                    <w:right w:w="0" w:type="dxa"/>
                  </w:tcMar>
                  <w:vAlign w:val="center"/>
                </w:tcPr>
                <w:p>
                  <w:pPr>
                    <w:topLinePunct/>
                    <w:spacing w:after="0" w:line="260" w:lineRule="exact"/>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5000" w:type="pct"/>
                  <w:gridSpan w:val="9"/>
                  <w:tcBorders>
                    <w:tl2br w:val="nil"/>
                    <w:tr2bl w:val="nil"/>
                  </w:tcBorders>
                  <w:tcMar>
                    <w:top w:w="0" w:type="dxa"/>
                    <w:left w:w="0" w:type="dxa"/>
                    <w:bottom w:w="0" w:type="dxa"/>
                    <w:right w:w="0" w:type="dxa"/>
                  </w:tcMar>
                  <w:vAlign w:val="center"/>
                </w:tcPr>
                <w:p>
                  <w:pPr>
                    <w:topLinePunct/>
                    <w:spacing w:after="0" w:line="260" w:lineRule="exact"/>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pt-BR"/>
                    </w:rPr>
                    <w:t>注：</w:t>
                  </w:r>
                  <w:r>
                    <w:rPr>
                      <w:rFonts w:hint="default" w:ascii="Times New Roman" w:hAnsi="Times New Roman" w:eastAsia="宋体" w:cs="Times New Roman"/>
                      <w:color w:val="auto"/>
                      <w:kern w:val="2"/>
                      <w:sz w:val="21"/>
                      <w:szCs w:val="21"/>
                    </w:rPr>
                    <w:t>(1)</w:t>
                  </w:r>
                  <w:r>
                    <w:rPr>
                      <w:rFonts w:hint="default" w:ascii="Times New Roman" w:hAnsi="Times New Roman" w:eastAsia="宋体" w:cs="Times New Roman"/>
                      <w:color w:val="auto"/>
                      <w:kern w:val="2"/>
                      <w:sz w:val="21"/>
                      <w:szCs w:val="21"/>
                      <w:lang w:val="pt-BR"/>
                    </w:rPr>
                    <w:t>地面清洁面积按总建筑面积</w:t>
                  </w:r>
                  <w:r>
                    <w:rPr>
                      <w:rFonts w:hint="default" w:ascii="Times New Roman" w:hAnsi="Times New Roman" w:eastAsia="宋体" w:cs="Times New Roman"/>
                      <w:color w:val="auto"/>
                      <w:kern w:val="2"/>
                      <w:sz w:val="21"/>
                      <w:szCs w:val="21"/>
                    </w:rPr>
                    <w:t>18002.83</w:t>
                  </w:r>
                  <w:r>
                    <w:rPr>
                      <w:rFonts w:hint="default" w:ascii="Times New Roman" w:hAnsi="Times New Roman" w:eastAsia="宋体" w:cs="Times New Roman"/>
                      <w:color w:val="auto"/>
                      <w:kern w:val="2"/>
                      <w:sz w:val="21"/>
                      <w:szCs w:val="21"/>
                      <w:lang w:val="pt-BR"/>
                    </w:rPr>
                    <w:t>m²</w:t>
                  </w:r>
                  <w:r>
                    <w:rPr>
                      <w:rFonts w:hint="default" w:ascii="Times New Roman" w:hAnsi="Times New Roman" w:eastAsia="宋体" w:cs="Times New Roman"/>
                      <w:color w:val="auto"/>
                      <w:kern w:val="2"/>
                      <w:sz w:val="21"/>
                      <w:szCs w:val="21"/>
                    </w:rPr>
                    <w:t>粗略估算</w:t>
                  </w:r>
                  <w:r>
                    <w:rPr>
                      <w:rFonts w:hint="default" w:ascii="Times New Roman" w:hAnsi="Times New Roman" w:eastAsia="宋体" w:cs="Times New Roman"/>
                      <w:color w:val="auto"/>
                      <w:kern w:val="2"/>
                      <w:sz w:val="21"/>
                      <w:szCs w:val="21"/>
                      <w:lang w:val="pt-BR"/>
                    </w:rPr>
                    <w:t>，清洁频率为</w:t>
                  </w:r>
                  <w:r>
                    <w:rPr>
                      <w:rFonts w:hint="default" w:ascii="Times New Roman" w:hAnsi="Times New Roman" w:eastAsia="宋体" w:cs="Times New Roman"/>
                      <w:color w:val="auto"/>
                      <w:kern w:val="2"/>
                      <w:sz w:val="21"/>
                      <w:szCs w:val="21"/>
                    </w:rPr>
                    <w:t>2</w:t>
                  </w:r>
                  <w:r>
                    <w:rPr>
                      <w:rFonts w:hint="default" w:ascii="Times New Roman" w:hAnsi="Times New Roman" w:eastAsia="宋体" w:cs="Times New Roman"/>
                      <w:color w:val="auto"/>
                      <w:kern w:val="2"/>
                      <w:sz w:val="21"/>
                      <w:szCs w:val="21"/>
                      <w:lang w:val="pt-BR"/>
                    </w:rPr>
                    <w:t>次</w:t>
                  </w:r>
                  <w:r>
                    <w:rPr>
                      <w:rFonts w:hint="default" w:ascii="Times New Roman" w:hAnsi="Times New Roman" w:eastAsia="宋体" w:cs="Times New Roman"/>
                      <w:color w:val="auto"/>
                      <w:kern w:val="2"/>
                      <w:sz w:val="21"/>
                      <w:szCs w:val="21"/>
                    </w:rPr>
                    <w:t>/</w:t>
                  </w:r>
                  <w:r>
                    <w:rPr>
                      <w:rFonts w:hint="default" w:ascii="Times New Roman" w:hAnsi="Times New Roman" w:eastAsia="宋体" w:cs="Times New Roman"/>
                      <w:color w:val="auto"/>
                      <w:kern w:val="2"/>
                      <w:sz w:val="21"/>
                      <w:szCs w:val="21"/>
                      <w:lang w:val="pt-BR"/>
                    </w:rPr>
                    <w:t>周。</w:t>
                  </w:r>
                </w:p>
                <w:p>
                  <w:pPr>
                    <w:numPr>
                      <w:ilvl w:val="0"/>
                      <w:numId w:val="3"/>
                    </w:numPr>
                    <w:spacing w:after="0" w:line="260" w:lineRule="exact"/>
                    <w:jc w:val="both"/>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年用水量、年排水量按</w:t>
                  </w:r>
                  <w:r>
                    <w:rPr>
                      <w:rFonts w:hint="default" w:ascii="Times New Roman" w:hAnsi="Times New Roman" w:eastAsia="宋体" w:cs="Times New Roman"/>
                      <w:color w:val="auto"/>
                      <w:kern w:val="2"/>
                      <w:sz w:val="21"/>
                      <w:szCs w:val="21"/>
                    </w:rPr>
                    <w:t>300</w:t>
                  </w:r>
                  <w:r>
                    <w:rPr>
                      <w:rFonts w:hint="default" w:ascii="Times New Roman" w:hAnsi="Times New Roman" w:eastAsia="宋体" w:cs="Times New Roman"/>
                      <w:color w:val="auto"/>
                      <w:kern w:val="2"/>
                      <w:sz w:val="21"/>
                      <w:szCs w:val="21"/>
                      <w:lang w:val="pt-BR"/>
                    </w:rPr>
                    <w:t>d/a</w:t>
                  </w:r>
                  <w:r>
                    <w:rPr>
                      <w:rFonts w:hint="default" w:ascii="Times New Roman" w:hAnsi="Times New Roman" w:eastAsia="宋体" w:cs="Times New Roman"/>
                      <w:color w:val="auto"/>
                      <w:kern w:val="2"/>
                      <w:sz w:val="21"/>
                      <w:szCs w:val="21"/>
                    </w:rPr>
                    <w:t>估</w:t>
                  </w:r>
                  <w:r>
                    <w:rPr>
                      <w:rFonts w:hint="default" w:ascii="Times New Roman" w:hAnsi="Times New Roman" w:eastAsia="宋体" w:cs="Times New Roman"/>
                      <w:color w:val="auto"/>
                      <w:kern w:val="2"/>
                      <w:sz w:val="21"/>
                      <w:szCs w:val="21"/>
                      <w:lang w:val="pt-BR"/>
                    </w:rPr>
                    <w:t>算。</w:t>
                  </w:r>
                </w:p>
                <w:p>
                  <w:pPr>
                    <w:numPr>
                      <w:ilvl w:val="0"/>
                      <w:numId w:val="3"/>
                    </w:numPr>
                    <w:spacing w:after="0" w:line="260" w:lineRule="exact"/>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pt-BR"/>
                    </w:rPr>
                    <w:t>住宿人数按</w:t>
                  </w:r>
                  <w:r>
                    <w:rPr>
                      <w:rFonts w:hint="default" w:ascii="Times New Roman" w:hAnsi="Times New Roman" w:eastAsia="宋体" w:cs="Times New Roman"/>
                      <w:color w:val="auto"/>
                      <w:kern w:val="2"/>
                      <w:sz w:val="21"/>
                      <w:szCs w:val="21"/>
                    </w:rPr>
                    <w:t>200人估算。</w:t>
                  </w:r>
                </w:p>
              </w:tc>
            </w:tr>
          </w:tbl>
          <w:p>
            <w:pPr>
              <w:spacing w:after="0" w:line="420" w:lineRule="exact"/>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本项目水平衡图见图2.2-5。</w:t>
            </w:r>
          </w:p>
          <w:p>
            <w:pPr>
              <w:pStyle w:val="17"/>
              <w:spacing w:line="240" w:lineRule="auto"/>
              <w:ind w:left="440"/>
              <w:rPr>
                <w:rFonts w:hint="default" w:ascii="Times New Roman" w:hAnsi="Times New Roman" w:cs="Times New Roman"/>
              </w:rPr>
            </w:pPr>
            <w:r>
              <w:rPr>
                <w:rFonts w:hint="default" w:ascii="Times New Roman" w:hAnsi="Times New Roman" w:cs="Times New Roman"/>
              </w:rPr>
              <w:object>
                <v:shape id="_x0000_i1031" o:spt="75" type="#_x0000_t75" style="height:172.5pt;width:418.5pt;" o:ole="t" filled="f" o:preferrelative="t" stroked="f" coordsize="21600,21600">
                  <v:path/>
                  <v:fill on="f" focussize="0,0"/>
                  <v:stroke on="f" joinstyle="miter"/>
                  <v:imagedata r:id="rId23" o:title=""/>
                  <o:lock v:ext="edit" aspectratio="f"/>
                  <w10:wrap type="none"/>
                  <w10:anchorlock/>
                </v:shape>
                <o:OLEObject Type="Embed" ProgID="Visio.Drawing.15" ShapeID="_x0000_i1031" DrawAspect="Content" ObjectID="_1468075731" r:id="rId22">
                  <o:LockedField>false</o:LockedField>
                </o:OLEObject>
              </w:object>
            </w:r>
          </w:p>
          <w:p>
            <w:pPr>
              <w:spacing w:after="0" w:line="420" w:lineRule="exact"/>
              <w:jc w:val="center"/>
              <w:rPr>
                <w:rFonts w:hint="default" w:ascii="Times New Roman" w:hAnsi="Times New Roman" w:eastAsia="宋体" w:cs="Times New Roman"/>
                <w:b/>
                <w:bCs/>
                <w:sz w:val="24"/>
                <w:szCs w:val="24"/>
                <w:lang w:bidi="ar"/>
              </w:rPr>
            </w:pPr>
            <w:r>
              <w:rPr>
                <w:rFonts w:hint="default" w:ascii="Times New Roman" w:hAnsi="Times New Roman" w:eastAsia="宋体" w:cs="Times New Roman"/>
                <w:b/>
                <w:bCs/>
                <w:sz w:val="24"/>
                <w:szCs w:val="24"/>
                <w:lang w:bidi="ar"/>
              </w:rPr>
              <w:t>图2.2-5  水平衡图（单位：m³/d）</w:t>
            </w:r>
          </w:p>
          <w:p>
            <w:pPr>
              <w:spacing w:after="0" w:line="420" w:lineRule="exact"/>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本项目非甲烷总烃平衡图如下：</w:t>
            </w:r>
          </w:p>
          <w:p>
            <w:pPr>
              <w:pStyle w:val="17"/>
              <w:spacing w:after="0" w:line="240" w:lineRule="auto"/>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800725" cy="2598420"/>
                  <wp:effectExtent l="0" t="0" r="9525" b="11430"/>
                  <wp:docPr id="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true"/>
                          </pic:cNvPicPr>
                        </pic:nvPicPr>
                        <pic:blipFill>
                          <a:blip r:embed="rId24"/>
                          <a:stretch>
                            <a:fillRect/>
                          </a:stretch>
                        </pic:blipFill>
                        <pic:spPr>
                          <a:xfrm>
                            <a:off x="0" y="0"/>
                            <a:ext cx="5800725" cy="2598420"/>
                          </a:xfrm>
                          <a:prstGeom prst="rect">
                            <a:avLst/>
                          </a:prstGeom>
                          <a:noFill/>
                          <a:ln>
                            <a:noFill/>
                          </a:ln>
                        </pic:spPr>
                      </pic:pic>
                    </a:graphicData>
                  </a:graphic>
                </wp:inline>
              </w:drawing>
            </w:r>
          </w:p>
          <w:p>
            <w:pPr>
              <w:pStyle w:val="17"/>
              <w:ind w:left="440"/>
              <w:jc w:val="center"/>
              <w:rPr>
                <w:rFonts w:hint="default" w:ascii="Times New Roman" w:hAnsi="Times New Roman" w:eastAsia="宋体" w:cs="Times New Roman"/>
                <w:b/>
                <w:bCs/>
                <w:sz w:val="24"/>
                <w:u w:val="single"/>
                <w:lang w:bidi="ar"/>
              </w:rPr>
            </w:pPr>
            <w:r>
              <w:rPr>
                <w:rFonts w:hint="default" w:ascii="Times New Roman" w:hAnsi="Times New Roman" w:eastAsia="宋体" w:cs="Times New Roman"/>
                <w:b/>
                <w:bCs/>
                <w:color w:val="auto"/>
                <w:sz w:val="24"/>
                <w:lang w:bidi="ar"/>
              </w:rPr>
              <w:t>图2.1-2 本项目非甲烷总烃平衡图（t/a）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 w:hRule="atLeast"/>
          <w:jc w:val="center"/>
        </w:trPr>
        <w:tc>
          <w:tcPr>
            <w:tcW w:w="9253" w:type="dxa"/>
            <w:tcBorders>
              <w:tl2br w:val="nil"/>
              <w:tr2bl w:val="nil"/>
            </w:tcBorders>
          </w:tcPr>
          <w:p>
            <w:pPr>
              <w:pStyle w:val="17"/>
              <w:spacing w:after="0" w:line="240" w:lineRule="auto"/>
              <w:ind w:left="0" w:leftChars="0"/>
              <w:rPr>
                <w:rFonts w:hint="default" w:ascii="Times New Roman" w:hAnsi="Times New Roman" w:eastAsia="宋体" w:cs="Times New Roman"/>
                <w:b/>
                <w:bCs/>
                <w:sz w:val="24"/>
                <w:lang w:bidi="ar"/>
              </w:rPr>
            </w:pPr>
            <w:r>
              <w:rPr>
                <w:rFonts w:hint="default" w:ascii="Times New Roman" w:hAnsi="Times New Roman" w:eastAsia="宋体" w:cs="Times New Roman"/>
                <w:b/>
                <w:kern w:val="2"/>
                <w:sz w:val="28"/>
                <w:szCs w:val="28"/>
              </w:rPr>
              <w:t>2.3与项目有关的原有环境污染问题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92" w:hRule="atLeast"/>
          <w:jc w:val="center"/>
        </w:trPr>
        <w:tc>
          <w:tcPr>
            <w:tcW w:w="9253" w:type="dxa"/>
            <w:tcBorders>
              <w:tl2br w:val="nil"/>
              <w:tr2bl w:val="nil"/>
            </w:tcBorders>
          </w:tcPr>
          <w:p>
            <w:pPr>
              <w:spacing w:after="0" w:line="420" w:lineRule="exact"/>
              <w:ind w:firstLine="480" w:firstLineChars="200"/>
              <w:jc w:val="both"/>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本项目位于合川工业园南溪组团B区内，建设地块北面、东面、南面、西面均为M1一类工业用地，距农创园污水处理厂直线距离约3600m，距西北侧及西南侧嘉陵江岸线直线距离超过1500m；建设地块原为农业用地，无遗留环境问题；园区道路已建成且埋设有公用工程管网，农创园污水处理厂已建成投用。本项目废水经预处理后，通过市政污水管网排入农创园污水处理厂进一步处理，处理达标后排入嘉陵江。</w:t>
            </w:r>
          </w:p>
          <w:p>
            <w:pPr>
              <w:pStyle w:val="17"/>
              <w:ind w:left="440"/>
              <w:jc w:val="center"/>
              <w:rPr>
                <w:rFonts w:hint="default" w:ascii="Times New Roman" w:hAnsi="Times New Roman" w:eastAsia="宋体" w:cs="Times New Roman"/>
                <w:b/>
                <w:bCs/>
                <w:sz w:val="24"/>
                <w:lang w:bidi="ar"/>
              </w:rPr>
            </w:pPr>
          </w:p>
        </w:tc>
      </w:tr>
    </w:tbl>
    <w:p>
      <w:pPr>
        <w:rPr>
          <w:rFonts w:hint="default" w:ascii="Times New Roman" w:hAnsi="Times New Roman" w:cs="Times New Roman"/>
        </w:rPr>
      </w:pPr>
    </w:p>
    <w:p>
      <w:pPr>
        <w:spacing w:after="0" w:line="420" w:lineRule="exact"/>
        <w:jc w:val="both"/>
        <w:rPr>
          <w:rFonts w:hint="default" w:ascii="Times New Roman" w:hAnsi="Times New Roman" w:eastAsia="宋体" w:cs="Times New Roman"/>
          <w:b/>
          <w:sz w:val="28"/>
          <w:szCs w:val="28"/>
        </w:rPr>
        <w:sectPr>
          <w:pgSz w:w="11906" w:h="16838"/>
          <w:pgMar w:top="1417" w:right="1417" w:bottom="1417" w:left="1417" w:header="1134" w:footer="1021" w:gutter="0"/>
          <w:cols w:space="708" w:num="1"/>
          <w:docGrid w:linePitch="360" w:charSpace="0"/>
        </w:sectPr>
      </w:pPr>
    </w:p>
    <w:p>
      <w:pPr>
        <w:pStyle w:val="2"/>
        <w:spacing w:before="0" w:after="0" w:line="24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三、区域环境质量现状、环境保护目标及评价标准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0" w:hRule="atLeast"/>
          <w:jc w:val="center"/>
        </w:trPr>
        <w:tc>
          <w:tcPr>
            <w:tcW w:w="9186" w:type="dxa"/>
            <w:tcBorders>
              <w:tl2br w:val="nil"/>
              <w:tr2bl w:val="nil"/>
            </w:tcBorders>
          </w:tcPr>
          <w:p>
            <w:pPr>
              <w:spacing w:after="0" w:line="420" w:lineRule="exact"/>
              <w:rPr>
                <w:rFonts w:hint="default" w:ascii="Times New Roman" w:hAnsi="Times New Roman" w:eastAsia="宋体" w:cs="Times New Roman"/>
                <w:kern w:val="2"/>
                <w:sz w:val="24"/>
                <w:szCs w:val="24"/>
                <w:lang w:bidi="ar"/>
              </w:rPr>
            </w:pPr>
            <w:r>
              <w:rPr>
                <w:rFonts w:hint="default" w:ascii="Times New Roman" w:hAnsi="Times New Roman" w:eastAsia="宋体" w:cs="Times New Roman"/>
                <w:b/>
                <w:kern w:val="2"/>
                <w:sz w:val="28"/>
                <w:szCs w:val="28"/>
              </w:rPr>
              <w:t>3.1区域环境质量现状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18" w:hRule="atLeast"/>
          <w:jc w:val="center"/>
        </w:trPr>
        <w:tc>
          <w:tcPr>
            <w:tcW w:w="9186" w:type="dxa"/>
            <w:tcBorders>
              <w:tl2br w:val="nil"/>
              <w:tr2bl w:val="nil"/>
            </w:tcBorders>
          </w:tcPr>
          <w:p>
            <w:pPr>
              <w:spacing w:after="0" w:line="420" w:lineRule="exact"/>
              <w:rPr>
                <w:rFonts w:hint="default" w:ascii="Times New Roman" w:hAnsi="Times New Roman" w:eastAsia="宋体" w:cs="Times New Roman"/>
                <w:b/>
                <w:bCs/>
                <w:kern w:val="2"/>
                <w:sz w:val="24"/>
              </w:rPr>
            </w:pPr>
            <w:r>
              <w:rPr>
                <w:rFonts w:hint="default" w:ascii="Times New Roman" w:hAnsi="Times New Roman" w:eastAsia="宋体" w:cs="Times New Roman"/>
                <w:b/>
                <w:bCs/>
                <w:kern w:val="2"/>
                <w:sz w:val="24"/>
              </w:rPr>
              <w:t>3.1.1环境空气质量现状</w:t>
            </w:r>
          </w:p>
          <w:p>
            <w:pPr>
              <w:spacing w:after="0" w:line="420" w:lineRule="exact"/>
              <w:rPr>
                <w:rFonts w:hint="default" w:ascii="Times New Roman" w:hAnsi="Times New Roman" w:eastAsia="宋体" w:cs="Times New Roman"/>
                <w:b/>
                <w:bCs/>
                <w:kern w:val="2"/>
                <w:sz w:val="24"/>
              </w:rPr>
            </w:pPr>
            <w:r>
              <w:rPr>
                <w:rFonts w:hint="default" w:ascii="Times New Roman" w:hAnsi="Times New Roman" w:eastAsia="宋体" w:cs="Times New Roman"/>
                <w:b/>
                <w:bCs/>
                <w:kern w:val="2"/>
                <w:sz w:val="24"/>
              </w:rPr>
              <w:t>3.1.1.1评价依据</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根据《重庆市环境空气质量功能区划分规定的通知》(渝府发[2016]19号)等相关文件规定，本项目位于合川区，所在区域环境空气功能区划为二类区，环境空气质量执行《环境空气质量标准》(GB3095-2012)二级标准，见表3.1-1。</w:t>
            </w:r>
          </w:p>
          <w:p>
            <w:pPr>
              <w:spacing w:after="0" w:line="420" w:lineRule="exact"/>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表</w:t>
            </w:r>
            <w:r>
              <w:rPr>
                <w:rFonts w:hint="default" w:ascii="Times New Roman" w:hAnsi="Times New Roman" w:eastAsia="宋体" w:cs="Times New Roman"/>
                <w:b/>
                <w:bCs/>
                <w:kern w:val="2"/>
                <w:sz w:val="24"/>
                <w:szCs w:val="24"/>
              </w:rPr>
              <w:fldChar w:fldCharType="begin"/>
            </w:r>
            <w:r>
              <w:rPr>
                <w:rFonts w:hint="default" w:ascii="Times New Roman" w:hAnsi="Times New Roman" w:eastAsia="宋体" w:cs="Times New Roman"/>
                <w:b/>
                <w:bCs/>
                <w:kern w:val="2"/>
                <w:sz w:val="24"/>
                <w:szCs w:val="24"/>
              </w:rPr>
              <w:instrText xml:space="preserve"> STYLEREF 2 \s </w:instrText>
            </w:r>
            <w:r>
              <w:rPr>
                <w:rFonts w:hint="default" w:ascii="Times New Roman" w:hAnsi="Times New Roman" w:eastAsia="宋体" w:cs="Times New Roman"/>
                <w:b/>
                <w:bCs/>
                <w:kern w:val="2"/>
                <w:sz w:val="24"/>
                <w:szCs w:val="24"/>
              </w:rPr>
              <w:fldChar w:fldCharType="separate"/>
            </w:r>
            <w:r>
              <w:rPr>
                <w:rFonts w:hint="default" w:ascii="Times New Roman" w:hAnsi="Times New Roman" w:eastAsia="宋体" w:cs="Times New Roman"/>
                <w:b/>
                <w:bCs/>
                <w:kern w:val="2"/>
                <w:sz w:val="24"/>
                <w:szCs w:val="24"/>
              </w:rPr>
              <w:t>3.1</w:t>
            </w:r>
            <w:r>
              <w:rPr>
                <w:rFonts w:hint="default" w:ascii="Times New Roman" w:hAnsi="Times New Roman" w:eastAsia="宋体" w:cs="Times New Roman"/>
                <w:b/>
                <w:bCs/>
                <w:kern w:val="2"/>
                <w:sz w:val="24"/>
                <w:szCs w:val="24"/>
              </w:rPr>
              <w:fldChar w:fldCharType="end"/>
            </w:r>
            <w:r>
              <w:rPr>
                <w:rFonts w:hint="default" w:ascii="Times New Roman" w:hAnsi="Times New Roman" w:eastAsia="宋体" w:cs="Times New Roman"/>
                <w:b/>
                <w:bCs/>
                <w:kern w:val="2"/>
                <w:sz w:val="24"/>
                <w:szCs w:val="24"/>
              </w:rPr>
              <w:noBreakHyphen/>
            </w:r>
            <w:r>
              <w:rPr>
                <w:rFonts w:hint="default" w:ascii="Times New Roman" w:hAnsi="Times New Roman" w:eastAsia="宋体" w:cs="Times New Roman"/>
                <w:b/>
                <w:bCs/>
                <w:kern w:val="2"/>
                <w:sz w:val="24"/>
                <w:szCs w:val="24"/>
              </w:rPr>
              <w:fldChar w:fldCharType="begin"/>
            </w:r>
            <w:r>
              <w:rPr>
                <w:rFonts w:hint="default" w:ascii="Times New Roman" w:hAnsi="Times New Roman" w:eastAsia="宋体" w:cs="Times New Roman"/>
                <w:b/>
                <w:bCs/>
                <w:kern w:val="2"/>
                <w:sz w:val="24"/>
                <w:szCs w:val="24"/>
              </w:rPr>
              <w:instrText xml:space="preserve"> SEQ 表 \* ARABIC \s 2 </w:instrText>
            </w:r>
            <w:r>
              <w:rPr>
                <w:rFonts w:hint="default" w:ascii="Times New Roman" w:hAnsi="Times New Roman" w:eastAsia="宋体" w:cs="Times New Roman"/>
                <w:b/>
                <w:bCs/>
                <w:kern w:val="2"/>
                <w:sz w:val="24"/>
                <w:szCs w:val="24"/>
              </w:rPr>
              <w:fldChar w:fldCharType="separate"/>
            </w:r>
            <w:r>
              <w:rPr>
                <w:rFonts w:hint="default" w:ascii="Times New Roman" w:hAnsi="Times New Roman" w:eastAsia="宋体" w:cs="Times New Roman"/>
                <w:b/>
                <w:bCs/>
                <w:kern w:val="2"/>
                <w:sz w:val="24"/>
                <w:szCs w:val="24"/>
              </w:rPr>
              <w:t>1</w:t>
            </w:r>
            <w:r>
              <w:rPr>
                <w:rFonts w:hint="default" w:ascii="Times New Roman" w:hAnsi="Times New Roman" w:eastAsia="宋体" w:cs="Times New Roman"/>
                <w:b/>
                <w:bCs/>
                <w:kern w:val="2"/>
                <w:sz w:val="24"/>
                <w:szCs w:val="24"/>
              </w:rPr>
              <w:fldChar w:fldCharType="end"/>
            </w:r>
            <w:r>
              <w:rPr>
                <w:rFonts w:hint="default" w:ascii="Times New Roman" w:hAnsi="Times New Roman" w:eastAsia="宋体" w:cs="Times New Roman"/>
                <w:b/>
                <w:bCs/>
                <w:kern w:val="2"/>
                <w:sz w:val="24"/>
                <w:szCs w:val="24"/>
              </w:rPr>
              <w:t xml:space="preserve">  环境空气质量标准</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2"/>
              <w:gridCol w:w="1032"/>
              <w:gridCol w:w="2303"/>
              <w:gridCol w:w="1378"/>
              <w:gridCol w:w="1119"/>
              <w:gridCol w:w="25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0" w:hRule="atLeast"/>
                <w:tblHeader/>
                <w:jc w:val="center"/>
              </w:trPr>
              <w:tc>
                <w:tcPr>
                  <w:tcW w:w="592"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2938" w:type="dxa"/>
                  <w:gridSpan w:val="2"/>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污染物项目</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二级</w:t>
                  </w:r>
                </w:p>
              </w:tc>
              <w:tc>
                <w:tcPr>
                  <w:tcW w:w="986" w:type="dxa"/>
                  <w:tcBorders>
                    <w:lef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单位</w:t>
                  </w:r>
                </w:p>
              </w:tc>
              <w:tc>
                <w:tcPr>
                  <w:tcW w:w="2262"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标准限值来源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909"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500</w:t>
                  </w:r>
                </w:p>
              </w:tc>
              <w:tc>
                <w:tcPr>
                  <w:tcW w:w="986" w:type="dxa"/>
                  <w:vMerge w:val="restart"/>
                  <w:tcBorders>
                    <w:left w:val="single" w:color="auto" w:sz="4" w:space="0"/>
                  </w:tcBorders>
                  <w:vAlign w:val="center"/>
                </w:tcPr>
                <w:p>
                  <w:pPr>
                    <w:pStyle w:val="118"/>
                    <w:spacing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µg/m</w:t>
                  </w:r>
                  <w:r>
                    <w:rPr>
                      <w:rFonts w:hint="default" w:ascii="Times New Roman" w:hAnsi="Times New Roman" w:eastAsia="宋体" w:cs="Times New Roman"/>
                      <w:szCs w:val="21"/>
                      <w:vertAlign w:val="superscript"/>
                    </w:rPr>
                    <w:t>3</w:t>
                  </w:r>
                </w:p>
              </w:tc>
              <w:tc>
                <w:tcPr>
                  <w:tcW w:w="2262" w:type="dxa"/>
                  <w:vMerge w:val="restart"/>
                  <w:vAlign w:val="center"/>
                </w:tcPr>
                <w:p>
                  <w:pPr>
                    <w:pStyle w:val="118"/>
                    <w:spacing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《环境空气质量标准》</w:t>
                  </w:r>
                </w:p>
                <w:p>
                  <w:pPr>
                    <w:pStyle w:val="118"/>
                    <w:spacing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continue"/>
                  <w:vAlign w:val="center"/>
                </w:tcPr>
                <w:p>
                  <w:pPr>
                    <w:pStyle w:val="118"/>
                    <w:spacing w:after="0" w:line="260" w:lineRule="exact"/>
                    <w:rPr>
                      <w:rFonts w:hint="default" w:ascii="Times New Roman" w:hAnsi="Times New Roman" w:eastAsia="宋体" w:cs="Times New Roman"/>
                      <w:szCs w:val="21"/>
                    </w:rPr>
                  </w:pPr>
                </w:p>
              </w:tc>
              <w:tc>
                <w:tcPr>
                  <w:tcW w:w="909" w:type="dxa"/>
                  <w:vMerge w:val="continue"/>
                  <w:vAlign w:val="center"/>
                </w:tcPr>
                <w:p>
                  <w:pPr>
                    <w:pStyle w:val="118"/>
                    <w:spacing w:after="0" w:line="260" w:lineRule="exact"/>
                    <w:rPr>
                      <w:rFonts w:hint="default" w:ascii="Times New Roman" w:hAnsi="Times New Roman" w:eastAsia="宋体" w:cs="Times New Roman"/>
                      <w:szCs w:val="21"/>
                    </w:rPr>
                  </w:pP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150</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continue"/>
                  <w:vAlign w:val="center"/>
                </w:tcPr>
                <w:p>
                  <w:pPr>
                    <w:pStyle w:val="118"/>
                    <w:spacing w:after="0" w:line="260" w:lineRule="exact"/>
                    <w:rPr>
                      <w:rFonts w:hint="default" w:ascii="Times New Roman" w:hAnsi="Times New Roman" w:eastAsia="宋体" w:cs="Times New Roman"/>
                      <w:szCs w:val="21"/>
                    </w:rPr>
                  </w:pPr>
                </w:p>
              </w:tc>
              <w:tc>
                <w:tcPr>
                  <w:tcW w:w="909" w:type="dxa"/>
                  <w:vMerge w:val="continue"/>
                  <w:vAlign w:val="center"/>
                </w:tcPr>
                <w:p>
                  <w:pPr>
                    <w:pStyle w:val="118"/>
                    <w:spacing w:after="0" w:line="260" w:lineRule="exact"/>
                    <w:rPr>
                      <w:rFonts w:hint="default" w:ascii="Times New Roman" w:hAnsi="Times New Roman" w:eastAsia="宋体" w:cs="Times New Roman"/>
                      <w:szCs w:val="21"/>
                    </w:rPr>
                  </w:pP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年平均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60</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909"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2</w:t>
                  </w: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200</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continue"/>
                  <w:vAlign w:val="center"/>
                </w:tcPr>
                <w:p>
                  <w:pPr>
                    <w:pStyle w:val="118"/>
                    <w:spacing w:after="0" w:line="260" w:lineRule="exact"/>
                    <w:rPr>
                      <w:rFonts w:hint="default" w:ascii="Times New Roman" w:hAnsi="Times New Roman" w:eastAsia="宋体" w:cs="Times New Roman"/>
                      <w:szCs w:val="21"/>
                    </w:rPr>
                  </w:pPr>
                </w:p>
              </w:tc>
              <w:tc>
                <w:tcPr>
                  <w:tcW w:w="909" w:type="dxa"/>
                  <w:vMerge w:val="continue"/>
                  <w:vAlign w:val="center"/>
                </w:tcPr>
                <w:p>
                  <w:pPr>
                    <w:pStyle w:val="118"/>
                    <w:spacing w:after="0" w:line="260" w:lineRule="exact"/>
                    <w:rPr>
                      <w:rFonts w:hint="default" w:ascii="Times New Roman" w:hAnsi="Times New Roman" w:eastAsia="宋体" w:cs="Times New Roman"/>
                      <w:szCs w:val="21"/>
                    </w:rPr>
                  </w:pP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80</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continue"/>
                  <w:vAlign w:val="center"/>
                </w:tcPr>
                <w:p>
                  <w:pPr>
                    <w:pStyle w:val="118"/>
                    <w:spacing w:after="0" w:line="260" w:lineRule="exact"/>
                    <w:rPr>
                      <w:rFonts w:hint="default" w:ascii="Times New Roman" w:hAnsi="Times New Roman" w:eastAsia="宋体" w:cs="Times New Roman"/>
                      <w:szCs w:val="21"/>
                    </w:rPr>
                  </w:pPr>
                </w:p>
              </w:tc>
              <w:tc>
                <w:tcPr>
                  <w:tcW w:w="909" w:type="dxa"/>
                  <w:vMerge w:val="continue"/>
                  <w:vAlign w:val="center"/>
                </w:tcPr>
                <w:p>
                  <w:pPr>
                    <w:pStyle w:val="118"/>
                    <w:spacing w:after="0" w:line="260" w:lineRule="exact"/>
                    <w:rPr>
                      <w:rFonts w:hint="default" w:ascii="Times New Roman" w:hAnsi="Times New Roman" w:eastAsia="宋体" w:cs="Times New Roman"/>
                      <w:szCs w:val="21"/>
                    </w:rPr>
                  </w:pP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年平均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40</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909"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CO</w:t>
                  </w: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986" w:type="dxa"/>
                  <w:vMerge w:val="restart"/>
                  <w:tcBorders>
                    <w:left w:val="single" w:color="auto" w:sz="4" w:space="0"/>
                  </w:tcBorders>
                  <w:vAlign w:val="center"/>
                </w:tcPr>
                <w:p>
                  <w:pPr>
                    <w:pStyle w:val="118"/>
                    <w:spacing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continue"/>
                  <w:vAlign w:val="center"/>
                </w:tcPr>
                <w:p>
                  <w:pPr>
                    <w:pStyle w:val="118"/>
                    <w:spacing w:after="0" w:line="260" w:lineRule="exact"/>
                    <w:rPr>
                      <w:rFonts w:hint="default" w:ascii="Times New Roman" w:hAnsi="Times New Roman" w:eastAsia="宋体" w:cs="Times New Roman"/>
                      <w:szCs w:val="21"/>
                    </w:rPr>
                  </w:pPr>
                </w:p>
              </w:tc>
              <w:tc>
                <w:tcPr>
                  <w:tcW w:w="909" w:type="dxa"/>
                  <w:vMerge w:val="continue"/>
                  <w:vAlign w:val="center"/>
                </w:tcPr>
                <w:p>
                  <w:pPr>
                    <w:pStyle w:val="118"/>
                    <w:spacing w:after="0" w:line="260" w:lineRule="exact"/>
                    <w:rPr>
                      <w:rFonts w:hint="default" w:ascii="Times New Roman" w:hAnsi="Times New Roman" w:eastAsia="宋体" w:cs="Times New Roman"/>
                      <w:szCs w:val="21"/>
                    </w:rPr>
                  </w:pP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909"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O</w:t>
                  </w:r>
                  <w:r>
                    <w:rPr>
                      <w:rFonts w:hint="default" w:ascii="Times New Roman" w:hAnsi="Times New Roman" w:eastAsia="宋体" w:cs="Times New Roman"/>
                      <w:szCs w:val="21"/>
                      <w:vertAlign w:val="subscript"/>
                    </w:rPr>
                    <w:t>3</w:t>
                  </w: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1小时平均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200</w:t>
                  </w:r>
                </w:p>
              </w:tc>
              <w:tc>
                <w:tcPr>
                  <w:tcW w:w="986" w:type="dxa"/>
                  <w:vMerge w:val="restart"/>
                  <w:tcBorders>
                    <w:left w:val="single" w:color="auto" w:sz="4" w:space="0"/>
                  </w:tcBorders>
                  <w:vAlign w:val="center"/>
                </w:tcPr>
                <w:p>
                  <w:pPr>
                    <w:pStyle w:val="118"/>
                    <w:spacing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µg/m</w:t>
                  </w:r>
                  <w:r>
                    <w:rPr>
                      <w:rFonts w:hint="default" w:ascii="Times New Roman" w:hAnsi="Times New Roman" w:eastAsia="宋体" w:cs="Times New Roman"/>
                      <w:szCs w:val="21"/>
                      <w:vertAlign w:val="superscript"/>
                    </w:rPr>
                    <w:t>3</w:t>
                  </w: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continue"/>
                  <w:vAlign w:val="center"/>
                </w:tcPr>
                <w:p>
                  <w:pPr>
                    <w:pStyle w:val="118"/>
                    <w:spacing w:after="0" w:line="260" w:lineRule="exact"/>
                    <w:rPr>
                      <w:rFonts w:hint="default" w:ascii="Times New Roman" w:hAnsi="Times New Roman" w:eastAsia="宋体" w:cs="Times New Roman"/>
                      <w:szCs w:val="21"/>
                    </w:rPr>
                  </w:pPr>
                </w:p>
              </w:tc>
              <w:tc>
                <w:tcPr>
                  <w:tcW w:w="909" w:type="dxa"/>
                  <w:vMerge w:val="continue"/>
                  <w:vAlign w:val="center"/>
                </w:tcPr>
                <w:p>
                  <w:pPr>
                    <w:pStyle w:val="118"/>
                    <w:spacing w:after="0" w:line="260" w:lineRule="exact"/>
                    <w:rPr>
                      <w:rFonts w:hint="default" w:ascii="Times New Roman" w:hAnsi="Times New Roman" w:eastAsia="宋体" w:cs="Times New Roman"/>
                      <w:szCs w:val="21"/>
                    </w:rPr>
                  </w:pP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日最大8小时平均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160</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909"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10</w:t>
                  </w: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150</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vMerge w:val="continue"/>
                  <w:vAlign w:val="center"/>
                </w:tcPr>
                <w:p>
                  <w:pPr>
                    <w:pStyle w:val="118"/>
                    <w:spacing w:after="0" w:line="260" w:lineRule="exact"/>
                    <w:rPr>
                      <w:rFonts w:hint="default" w:ascii="Times New Roman" w:hAnsi="Times New Roman" w:eastAsia="宋体" w:cs="Times New Roman"/>
                      <w:szCs w:val="21"/>
                    </w:rPr>
                  </w:pPr>
                </w:p>
              </w:tc>
              <w:tc>
                <w:tcPr>
                  <w:tcW w:w="909" w:type="dxa"/>
                  <w:vMerge w:val="continue"/>
                  <w:vAlign w:val="center"/>
                </w:tcPr>
                <w:p>
                  <w:pPr>
                    <w:pStyle w:val="118"/>
                    <w:spacing w:after="0" w:line="260" w:lineRule="exact"/>
                    <w:rPr>
                      <w:rFonts w:hint="default" w:ascii="Times New Roman" w:hAnsi="Times New Roman" w:eastAsia="宋体" w:cs="Times New Roman"/>
                      <w:szCs w:val="21"/>
                    </w:rPr>
                  </w:pP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年平均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909" w:type="dxa"/>
                  <w:vMerge w:val="restart"/>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2.5</w:t>
                  </w: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24小时平均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75</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2" w:type="dxa"/>
                  <w:vMerge w:val="continue"/>
                  <w:vAlign w:val="center"/>
                </w:tcPr>
                <w:p>
                  <w:pPr>
                    <w:pStyle w:val="118"/>
                    <w:spacing w:after="0" w:line="260" w:lineRule="exact"/>
                    <w:rPr>
                      <w:rFonts w:hint="default" w:ascii="Times New Roman" w:hAnsi="Times New Roman" w:eastAsia="宋体" w:cs="Times New Roman"/>
                      <w:szCs w:val="21"/>
                    </w:rPr>
                  </w:pPr>
                </w:p>
              </w:tc>
              <w:tc>
                <w:tcPr>
                  <w:tcW w:w="909" w:type="dxa"/>
                  <w:vMerge w:val="continue"/>
                  <w:vAlign w:val="center"/>
                </w:tcPr>
                <w:p>
                  <w:pPr>
                    <w:pStyle w:val="118"/>
                    <w:spacing w:after="0" w:line="260" w:lineRule="exact"/>
                    <w:rPr>
                      <w:rFonts w:hint="default" w:ascii="Times New Roman" w:hAnsi="Times New Roman" w:eastAsia="宋体" w:cs="Times New Roman"/>
                      <w:szCs w:val="21"/>
                    </w:rPr>
                  </w:pPr>
                </w:p>
              </w:tc>
              <w:tc>
                <w:tcPr>
                  <w:tcW w:w="2029" w:type="dxa"/>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年平均</w:t>
                  </w:r>
                </w:p>
              </w:tc>
              <w:tc>
                <w:tcPr>
                  <w:tcW w:w="1214" w:type="dxa"/>
                  <w:tcBorders>
                    <w:right w:val="single" w:color="auto" w:sz="4" w:space="0"/>
                  </w:tcBorders>
                  <w:vAlign w:val="center"/>
                </w:tcPr>
                <w:p>
                  <w:pPr>
                    <w:pStyle w:val="118"/>
                    <w:spacing w:after="0" w:line="260" w:lineRule="exact"/>
                    <w:rPr>
                      <w:rFonts w:hint="default" w:ascii="Times New Roman" w:hAnsi="Times New Roman" w:eastAsia="宋体" w:cs="Times New Roman"/>
                      <w:szCs w:val="21"/>
                    </w:rPr>
                  </w:pPr>
                  <w:r>
                    <w:rPr>
                      <w:rFonts w:hint="default" w:ascii="Times New Roman" w:hAnsi="Times New Roman" w:eastAsia="宋体" w:cs="Times New Roman"/>
                      <w:szCs w:val="21"/>
                    </w:rPr>
                    <w:t>35</w:t>
                  </w:r>
                </w:p>
              </w:tc>
              <w:tc>
                <w:tcPr>
                  <w:tcW w:w="986" w:type="dxa"/>
                  <w:vMerge w:val="continue"/>
                  <w:tcBorders>
                    <w:left w:val="single" w:color="auto" w:sz="4" w:space="0"/>
                  </w:tcBorders>
                  <w:vAlign w:val="center"/>
                </w:tcPr>
                <w:p>
                  <w:pPr>
                    <w:pStyle w:val="118"/>
                    <w:spacing w:line="260" w:lineRule="exact"/>
                    <w:rPr>
                      <w:rFonts w:hint="default" w:ascii="Times New Roman" w:hAnsi="Times New Roman" w:eastAsia="宋体" w:cs="Times New Roman"/>
                      <w:szCs w:val="21"/>
                    </w:rPr>
                  </w:pPr>
                </w:p>
              </w:tc>
              <w:tc>
                <w:tcPr>
                  <w:tcW w:w="2262" w:type="dxa"/>
                  <w:vMerge w:val="continue"/>
                  <w:vAlign w:val="center"/>
                </w:tcPr>
                <w:p>
                  <w:pPr>
                    <w:pStyle w:val="118"/>
                    <w:spacing w:line="260" w:lineRule="exact"/>
                    <w:rPr>
                      <w:rFonts w:hint="default" w:ascii="Times New Roman" w:hAnsi="Times New Roman" w:eastAsia="宋体" w:cs="Times New Roman"/>
                      <w:szCs w:val="21"/>
                    </w:rPr>
                  </w:pPr>
                </w:p>
              </w:tc>
            </w:tr>
          </w:tbl>
          <w:p>
            <w:pPr>
              <w:spacing w:after="0" w:line="420" w:lineRule="exact"/>
              <w:rPr>
                <w:rFonts w:hint="default" w:ascii="Times New Roman" w:hAnsi="Times New Roman" w:eastAsia="宋体" w:cs="Times New Roman"/>
                <w:b/>
                <w:bCs/>
                <w:kern w:val="2"/>
                <w:sz w:val="24"/>
              </w:rPr>
            </w:pPr>
            <w:r>
              <w:rPr>
                <w:rFonts w:hint="default" w:ascii="Times New Roman" w:hAnsi="Times New Roman" w:eastAsia="宋体" w:cs="Times New Roman"/>
                <w:b/>
                <w:bCs/>
                <w:kern w:val="2"/>
                <w:sz w:val="24"/>
              </w:rPr>
              <w:t>3.1.1.2空气质量达标区判定</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本次评价引用重庆市生态环境局发布的《2023年重庆市生态环境状况公报》中合川区环境空气质量状况数据，开展基本污染物环境空气质量达标情况判定见表3.1-2。</w:t>
            </w:r>
          </w:p>
          <w:p>
            <w:pPr>
              <w:spacing w:after="0" w:line="42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表3.1-2  环境空气质量达标区判定情况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3109"/>
              <w:gridCol w:w="1276"/>
              <w:gridCol w:w="1002"/>
              <w:gridCol w:w="962"/>
              <w:gridCol w:w="1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污染物</w:t>
                  </w:r>
                </w:p>
              </w:tc>
              <w:tc>
                <w:tcPr>
                  <w:tcW w:w="171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年评价指标</w:t>
                  </w:r>
                </w:p>
              </w:tc>
              <w:tc>
                <w:tcPr>
                  <w:tcW w:w="703"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现状浓度(µg/m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w:t>
                  </w:r>
                </w:p>
              </w:tc>
              <w:tc>
                <w:tcPr>
                  <w:tcW w:w="55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标准值</w:t>
                  </w:r>
                </w:p>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(µg/m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w:t>
                  </w:r>
                </w:p>
              </w:tc>
              <w:tc>
                <w:tcPr>
                  <w:tcW w:w="53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占率</w:t>
                  </w:r>
                </w:p>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t>
                  </w:r>
                </w:p>
              </w:tc>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PM</w:t>
                  </w:r>
                  <w:r>
                    <w:rPr>
                      <w:rFonts w:hint="default" w:ascii="Times New Roman" w:hAnsi="Times New Roman" w:eastAsia="宋体" w:cs="Times New Roman"/>
                      <w:kern w:val="2"/>
                      <w:sz w:val="21"/>
                      <w:szCs w:val="21"/>
                      <w:vertAlign w:val="subscript"/>
                    </w:rPr>
                    <w:t>10</w:t>
                  </w:r>
                </w:p>
              </w:tc>
              <w:tc>
                <w:tcPr>
                  <w:tcW w:w="1712" w:type="pct"/>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年均浓度</w:t>
                  </w:r>
                </w:p>
              </w:tc>
              <w:tc>
                <w:tcPr>
                  <w:tcW w:w="703"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58</w:t>
                  </w:r>
                </w:p>
              </w:tc>
              <w:tc>
                <w:tcPr>
                  <w:tcW w:w="55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70</w:t>
                  </w:r>
                </w:p>
              </w:tc>
              <w:tc>
                <w:tcPr>
                  <w:tcW w:w="53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82.8</w:t>
                  </w:r>
                </w:p>
              </w:tc>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PM</w:t>
                  </w:r>
                  <w:r>
                    <w:rPr>
                      <w:rFonts w:hint="default" w:ascii="Times New Roman" w:hAnsi="Times New Roman" w:eastAsia="宋体" w:cs="Times New Roman"/>
                      <w:kern w:val="2"/>
                      <w:sz w:val="21"/>
                      <w:szCs w:val="21"/>
                      <w:vertAlign w:val="subscript"/>
                    </w:rPr>
                    <w:t>2.5</w:t>
                  </w:r>
                </w:p>
              </w:tc>
              <w:tc>
                <w:tcPr>
                  <w:tcW w:w="171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rPr>
                  </w:pPr>
                </w:p>
              </w:tc>
              <w:tc>
                <w:tcPr>
                  <w:tcW w:w="703"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47</w:t>
                  </w:r>
                </w:p>
              </w:tc>
              <w:tc>
                <w:tcPr>
                  <w:tcW w:w="55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35</w:t>
                  </w:r>
                </w:p>
              </w:tc>
              <w:tc>
                <w:tcPr>
                  <w:tcW w:w="53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134.3</w:t>
                  </w:r>
                </w:p>
              </w:tc>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SO</w:t>
                  </w:r>
                  <w:r>
                    <w:rPr>
                      <w:rFonts w:hint="default" w:ascii="Times New Roman" w:hAnsi="Times New Roman" w:eastAsia="宋体" w:cs="Times New Roman"/>
                      <w:kern w:val="2"/>
                      <w:sz w:val="21"/>
                      <w:szCs w:val="21"/>
                      <w:vertAlign w:val="subscript"/>
                    </w:rPr>
                    <w:t>2</w:t>
                  </w:r>
                </w:p>
              </w:tc>
              <w:tc>
                <w:tcPr>
                  <w:tcW w:w="171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rPr>
                  </w:pPr>
                </w:p>
              </w:tc>
              <w:tc>
                <w:tcPr>
                  <w:tcW w:w="703"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w:t>
                  </w:r>
                </w:p>
              </w:tc>
              <w:tc>
                <w:tcPr>
                  <w:tcW w:w="55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60</w:t>
                  </w:r>
                </w:p>
              </w:tc>
              <w:tc>
                <w:tcPr>
                  <w:tcW w:w="53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16.7</w:t>
                  </w:r>
                </w:p>
              </w:tc>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NO</w:t>
                  </w:r>
                  <w:r>
                    <w:rPr>
                      <w:rFonts w:hint="default" w:ascii="Times New Roman" w:hAnsi="Times New Roman" w:eastAsia="宋体" w:cs="Times New Roman"/>
                      <w:kern w:val="2"/>
                      <w:sz w:val="21"/>
                      <w:szCs w:val="21"/>
                      <w:vertAlign w:val="subscript"/>
                    </w:rPr>
                    <w:t>2</w:t>
                  </w:r>
                </w:p>
              </w:tc>
              <w:tc>
                <w:tcPr>
                  <w:tcW w:w="1712" w:type="pct"/>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rPr>
                  </w:pPr>
                </w:p>
              </w:tc>
              <w:tc>
                <w:tcPr>
                  <w:tcW w:w="703"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26</w:t>
                  </w:r>
                </w:p>
              </w:tc>
              <w:tc>
                <w:tcPr>
                  <w:tcW w:w="55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40</w:t>
                  </w:r>
                </w:p>
              </w:tc>
              <w:tc>
                <w:tcPr>
                  <w:tcW w:w="53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65</w:t>
                  </w:r>
                </w:p>
              </w:tc>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O3</w:t>
                  </w:r>
                </w:p>
              </w:tc>
              <w:tc>
                <w:tcPr>
                  <w:tcW w:w="171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日最大8小时平均浓度的</w:t>
                  </w:r>
                </w:p>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第90百分位数</w:t>
                  </w:r>
                </w:p>
              </w:tc>
              <w:tc>
                <w:tcPr>
                  <w:tcW w:w="703"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158</w:t>
                  </w:r>
                </w:p>
              </w:tc>
              <w:tc>
                <w:tcPr>
                  <w:tcW w:w="55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160</w:t>
                  </w:r>
                </w:p>
              </w:tc>
              <w:tc>
                <w:tcPr>
                  <w:tcW w:w="53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98.75</w:t>
                  </w:r>
                </w:p>
              </w:tc>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CO(mg/m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w:t>
                  </w:r>
                </w:p>
              </w:tc>
              <w:tc>
                <w:tcPr>
                  <w:tcW w:w="171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日均浓度的第95百分位数</w:t>
                  </w:r>
                </w:p>
              </w:tc>
              <w:tc>
                <w:tcPr>
                  <w:tcW w:w="703"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w:t>
                  </w:r>
                </w:p>
              </w:tc>
              <w:tc>
                <w:tcPr>
                  <w:tcW w:w="552"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53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22.5</w:t>
                  </w:r>
                </w:p>
              </w:tc>
              <w:tc>
                <w:tcPr>
                  <w:tcW w:w="750" w:type="pc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达标</w:t>
                  </w:r>
                </w:p>
              </w:tc>
            </w:tr>
          </w:tbl>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由表3.1-2可知，除</w:t>
            </w:r>
            <w:r>
              <w:rPr>
                <w:rFonts w:hint="default" w:ascii="Times New Roman" w:hAnsi="Times New Roman" w:eastAsia="宋体" w:cs="Times New Roman"/>
                <w:kern w:val="2"/>
                <w:sz w:val="21"/>
                <w:szCs w:val="21"/>
              </w:rPr>
              <w:t>PM</w:t>
            </w:r>
            <w:r>
              <w:rPr>
                <w:rFonts w:hint="default" w:ascii="Times New Roman" w:hAnsi="Times New Roman" w:eastAsia="宋体" w:cs="Times New Roman"/>
                <w:kern w:val="2"/>
                <w:sz w:val="21"/>
                <w:szCs w:val="21"/>
                <w:vertAlign w:val="subscript"/>
              </w:rPr>
              <w:t>2.5</w:t>
            </w:r>
            <w:r>
              <w:rPr>
                <w:rFonts w:hint="default" w:ascii="Times New Roman" w:hAnsi="Times New Roman" w:eastAsia="宋体" w:cs="Times New Roman"/>
                <w:kern w:val="2"/>
                <w:sz w:val="24"/>
                <w:szCs w:val="24"/>
              </w:rPr>
              <w:t>外，其余基本因子满足《环境空气质量标准》(GB3095-2012)二级标准，</w:t>
            </w:r>
            <w:r>
              <w:rPr>
                <w:rFonts w:hint="default" w:ascii="Times New Roman" w:hAnsi="Times New Roman" w:eastAsia="宋体" w:cs="Times New Roman"/>
                <w:kern w:val="2"/>
                <w:sz w:val="21"/>
                <w:szCs w:val="21"/>
              </w:rPr>
              <w:t>PM</w:t>
            </w:r>
            <w:r>
              <w:rPr>
                <w:rFonts w:hint="default" w:ascii="Times New Roman" w:hAnsi="Times New Roman" w:eastAsia="宋体" w:cs="Times New Roman"/>
                <w:kern w:val="2"/>
                <w:sz w:val="21"/>
                <w:szCs w:val="21"/>
                <w:vertAlign w:val="subscript"/>
              </w:rPr>
              <w:t>2.5</w:t>
            </w:r>
            <w:r>
              <w:rPr>
                <w:rFonts w:hint="default" w:ascii="Times New Roman" w:hAnsi="Times New Roman" w:eastAsia="宋体" w:cs="Times New Roman"/>
                <w:kern w:val="2"/>
                <w:sz w:val="24"/>
                <w:szCs w:val="24"/>
              </w:rPr>
              <w:t>超标，本项目所在合川区为不达标区。</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根据《合川区大气环境质量限期达标规划》(2019年)中“五、主要任务与措施”中明确的减缓方案如下：</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①提高能源效率，优化能源结构：控制煤炭消费总量；提升能源利用效率；加快清洁能源替代利用；推进建筑节能和绿色建筑。</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②优化产业布局，推进绿色发展：优化产业布局；严格环保准入；优化工业结构；推进绿色发展。</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③加大防治力度，控制工业污染：推进燃煤电厂超低排放改造；强化工业废气综合治理；深化工业源挥发性有机物污染防治；加快推进“散乱污”企业综合整治；实施企业错峰生产；加强污染源监督监测。</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④强化监督管理，控制交通污染：强化在用机动车监管；加强机动车环保达标监管；加强车用燃油品质达标监管；强化成品油储运系统油气排放污染控制；强化非道路移动机械和船舶污染控制；大力发展新能源汽车。</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⑤提升管理水平，严格控制扬尘：强化道路扬尘防治；严格施工扬尘管理；加强生产经营过程的扬尘控制；开展重点扬尘污染源在线监控；加强城市裸露土地管理。</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⑥加大治理力度，控制生活污染：巩固和扩大高污染燃料禁燃区；加强餐饮油烟污染治理；控制生活类挥发性有机物污染；加强露天烧烤和烟熏腊肉综合防治；严控露天焚烧行为。</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⑦加强综合利用，控制农业污染：加强生物质燃烧管理；减少化肥使用过程氨排放；控制畜禽养殖氨污染。</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⑧落实法规制度，增强监管能力：贯彻落实相关法规政策；强化应急预警机制；强化环保</w:t>
            </w:r>
            <w:r>
              <w:rPr>
                <w:rFonts w:ascii="Helvetica" w:hAnsi="Helvetica" w:eastAsia="Helvetica" w:cs="Helvetica"/>
                <w:i w:val="0"/>
                <w:iCs w:val="0"/>
                <w:caps w:val="0"/>
                <w:color w:val="111111"/>
                <w:spacing w:val="0"/>
                <w:sz w:val="24"/>
                <w:szCs w:val="24"/>
                <w:shd w:val="clear" w:fill="FFFFFF"/>
              </w:rPr>
              <w:t>督察</w:t>
            </w:r>
            <w:r>
              <w:rPr>
                <w:rFonts w:hint="default" w:ascii="Times New Roman" w:hAnsi="Times New Roman" w:eastAsia="宋体" w:cs="Times New Roman"/>
                <w:kern w:val="2"/>
                <w:sz w:val="24"/>
                <w:szCs w:val="24"/>
              </w:rPr>
              <w:t>考核机制；提高环境监管能力；加大环保执法力度；实施环境信息公开。</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⑨深化区域协作，提升科研支撑：加强污染区域联防联控；加强大气环境监测能力；建立空气质量管理辅助决策支撑系统；强化大气环境科研支撑作用。</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⑩加强宣传教育，推动全民参与：加大宣传教育力度；实行环境信息公开；健全公众参与机制。</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综上，在采取了上述措施后，区域大气环境质量能够得到改善。</w:t>
            </w:r>
          </w:p>
          <w:p>
            <w:pPr>
              <w:spacing w:after="0" w:line="420" w:lineRule="exact"/>
              <w:rPr>
                <w:rFonts w:hint="default" w:ascii="Times New Roman" w:hAnsi="Times New Roman" w:eastAsia="宋体" w:cs="Times New Roman"/>
                <w:b/>
                <w:bCs/>
                <w:kern w:val="2"/>
                <w:sz w:val="24"/>
              </w:rPr>
            </w:pPr>
            <w:r>
              <w:rPr>
                <w:rFonts w:hint="default" w:ascii="Times New Roman" w:hAnsi="Times New Roman" w:eastAsia="宋体" w:cs="Times New Roman"/>
                <w:b/>
                <w:bCs/>
                <w:kern w:val="2"/>
                <w:sz w:val="24"/>
              </w:rPr>
              <w:t>3.1.1.3特征污染物大气环境质量现状评价</w:t>
            </w:r>
          </w:p>
          <w:p>
            <w:pPr>
              <w:spacing w:after="0" w:line="420" w:lineRule="exact"/>
              <w:ind w:firstLine="480" w:firstLineChars="200"/>
              <w:rPr>
                <w:rFonts w:hint="default" w:ascii="Times New Roman" w:hAnsi="Times New Roman" w:eastAsia="宋体" w:cs="Times New Roman"/>
                <w:color w:val="auto"/>
                <w:kern w:val="2"/>
                <w:sz w:val="24"/>
                <w:szCs w:val="24"/>
                <w:lang w:bidi="ar"/>
              </w:rPr>
            </w:pPr>
            <w:r>
              <w:rPr>
                <w:rFonts w:hint="default" w:ascii="Times New Roman" w:hAnsi="Times New Roman" w:eastAsia="宋体" w:cs="Times New Roman"/>
                <w:kern w:val="2"/>
                <w:sz w:val="24"/>
                <w:szCs w:val="24"/>
                <w:lang w:bidi="ar"/>
              </w:rPr>
              <w:t>（</w:t>
            </w:r>
            <w:r>
              <w:rPr>
                <w:rFonts w:hint="default" w:ascii="Times New Roman" w:hAnsi="Times New Roman" w:eastAsia="宋体" w:cs="Times New Roman"/>
                <w:color w:val="auto"/>
                <w:kern w:val="2"/>
                <w:sz w:val="24"/>
                <w:szCs w:val="24"/>
                <w:lang w:bidi="ar"/>
              </w:rPr>
              <w:t>1）监测资料来源</w:t>
            </w:r>
          </w:p>
          <w:p>
            <w:pPr>
              <w:spacing w:after="0" w:line="420" w:lineRule="exact"/>
              <w:ind w:firstLine="480" w:firstLineChars="200"/>
              <w:rPr>
                <w:rFonts w:hint="default" w:ascii="Times New Roman" w:hAnsi="Times New Roman" w:eastAsia="宋体" w:cs="Times New Roman"/>
                <w:color w:val="auto"/>
                <w:kern w:val="2"/>
                <w:sz w:val="24"/>
                <w:szCs w:val="24"/>
                <w:lang w:bidi="ar"/>
              </w:rPr>
            </w:pPr>
            <w:r>
              <w:rPr>
                <w:rFonts w:hint="default" w:ascii="Times New Roman" w:hAnsi="Times New Roman" w:eastAsia="宋体" w:cs="Times New Roman"/>
                <w:color w:val="auto"/>
                <w:kern w:val="2"/>
                <w:sz w:val="24"/>
                <w:szCs w:val="24"/>
                <w:lang w:bidi="ar"/>
              </w:rPr>
              <w:t>本项目废气污染因子涉及非甲烷总烃。</w:t>
            </w:r>
          </w:p>
          <w:p>
            <w:pPr>
              <w:spacing w:after="0" w:line="420" w:lineRule="exact"/>
              <w:ind w:firstLine="480" w:firstLineChars="200"/>
              <w:rPr>
                <w:rFonts w:hint="default" w:ascii="Times New Roman" w:hAnsi="Times New Roman" w:eastAsia="宋体" w:cs="Times New Roman"/>
                <w:color w:val="auto"/>
                <w:kern w:val="2"/>
                <w:sz w:val="24"/>
                <w:szCs w:val="24"/>
                <w:lang w:bidi="ar"/>
              </w:rPr>
            </w:pPr>
            <w:r>
              <w:rPr>
                <w:rFonts w:hint="default" w:ascii="Times New Roman" w:hAnsi="Times New Roman" w:eastAsia="宋体" w:cs="Times New Roman"/>
                <w:color w:val="auto"/>
                <w:kern w:val="2"/>
                <w:sz w:val="24"/>
                <w:szCs w:val="24"/>
                <w:lang w:bidi="ar"/>
              </w:rPr>
              <w:t>非甲烷总烃质量现状引用2024年重庆大安检测技术有限公司的监测数据，监测报告编号“渝大安（环）检[2024]第HP029号，监测点OB</w:t>
            </w:r>
            <w:r>
              <w:rPr>
                <w:rFonts w:hint="default" w:ascii="Times New Roman" w:hAnsi="Times New Roman" w:eastAsia="宋体" w:cs="Times New Roman"/>
                <w:color w:val="auto"/>
                <w:kern w:val="2"/>
                <w:sz w:val="24"/>
                <w:szCs w:val="24"/>
                <w:vertAlign w:val="subscript"/>
                <w:lang w:bidi="ar"/>
              </w:rPr>
              <w:t>1</w:t>
            </w:r>
            <w:r>
              <w:rPr>
                <w:rFonts w:hint="default" w:ascii="Times New Roman" w:hAnsi="Times New Roman" w:eastAsia="宋体" w:cs="Times New Roman"/>
                <w:color w:val="auto"/>
                <w:kern w:val="2"/>
                <w:sz w:val="24"/>
                <w:szCs w:val="24"/>
                <w:lang w:bidi="ar"/>
              </w:rPr>
              <w:t>点位于项目西南侧约440m，监测时间为2024年5月16日至5月18日。</w:t>
            </w:r>
          </w:p>
          <w:p>
            <w:pPr>
              <w:spacing w:after="0" w:line="420" w:lineRule="exact"/>
              <w:ind w:firstLine="480" w:firstLineChars="200"/>
              <w:jc w:val="both"/>
              <w:rPr>
                <w:rFonts w:hint="default" w:ascii="Times New Roman" w:hAnsi="Times New Roman" w:eastAsia="宋体" w:cs="Times New Roman"/>
                <w:kern w:val="2"/>
                <w:sz w:val="24"/>
                <w:szCs w:val="20"/>
                <w:lang w:bidi="ar"/>
              </w:rPr>
            </w:pPr>
            <w:r>
              <w:rPr>
                <w:rFonts w:hint="default" w:ascii="Times New Roman" w:hAnsi="Times New Roman" w:eastAsia="宋体" w:cs="Times New Roman"/>
                <w:kern w:val="2"/>
                <w:sz w:val="24"/>
                <w:szCs w:val="20"/>
                <w:lang w:bidi="ar"/>
              </w:rPr>
              <w:t>引用监测资料的监测点位置以及监测时间均能满足报告表编制技术指南中“引用建设项目周边5千米范围内近3年的现有监测数据”的要求。</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（2）监测点位及监测因子</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监测点位以及监测因子情况见表3.1-3。</w:t>
            </w:r>
          </w:p>
          <w:p>
            <w:pPr>
              <w:spacing w:after="0" w:line="42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表3.1-3  非甲烷总烃(NMHC)现状监测点位及监测因子情况</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67"/>
              <w:gridCol w:w="1772"/>
              <w:gridCol w:w="2152"/>
              <w:gridCol w:w="1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367"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监测报告中的点位编号及名称</w:t>
                  </w:r>
                </w:p>
              </w:tc>
              <w:tc>
                <w:tcPr>
                  <w:tcW w:w="177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与本项目</w:t>
                  </w:r>
                </w:p>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相对方位</w:t>
                  </w:r>
                </w:p>
              </w:tc>
              <w:tc>
                <w:tcPr>
                  <w:tcW w:w="215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与本项目</w:t>
                  </w:r>
                </w:p>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相对距离</w:t>
                  </w:r>
                </w:p>
              </w:tc>
              <w:tc>
                <w:tcPr>
                  <w:tcW w:w="178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67"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4"/>
                      <w:szCs w:val="24"/>
                      <w:lang w:bidi="ar"/>
                    </w:rPr>
                    <w:t>OB</w:t>
                  </w:r>
                  <w:r>
                    <w:rPr>
                      <w:rFonts w:hint="default" w:ascii="Times New Roman" w:hAnsi="Times New Roman" w:eastAsia="宋体" w:cs="Times New Roman"/>
                      <w:kern w:val="2"/>
                      <w:sz w:val="24"/>
                      <w:szCs w:val="24"/>
                      <w:vertAlign w:val="subscript"/>
                      <w:lang w:bidi="ar"/>
                    </w:rPr>
                    <w:t>1</w:t>
                  </w:r>
                </w:p>
              </w:tc>
              <w:tc>
                <w:tcPr>
                  <w:tcW w:w="1772" w:type="dxa"/>
                  <w:tcBorders>
                    <w:tl2br w:val="nil"/>
                    <w:tr2bl w:val="nil"/>
                  </w:tcBorders>
                  <w:vAlign w:val="center"/>
                </w:tcPr>
                <w:p>
                  <w:pPr>
                    <w:spacing w:after="0"/>
                    <w:jc w:val="center"/>
                    <w:rPr>
                      <w:rFonts w:hint="default" w:ascii="Times New Roman" w:hAnsi="Times New Roman" w:eastAsia="宋体" w:cs="Times New Roman"/>
                      <w:kern w:val="2"/>
                      <w:sz w:val="24"/>
                      <w:szCs w:val="20"/>
                      <w:lang w:bidi="ar"/>
                    </w:rPr>
                  </w:pPr>
                  <w:r>
                    <w:rPr>
                      <w:rFonts w:hint="default" w:ascii="Times New Roman" w:hAnsi="Times New Roman" w:eastAsia="宋体" w:cs="Times New Roman"/>
                      <w:kern w:val="2"/>
                      <w:sz w:val="24"/>
                      <w:szCs w:val="20"/>
                      <w:lang w:bidi="ar"/>
                    </w:rPr>
                    <w:t>WS</w:t>
                  </w:r>
                </w:p>
              </w:tc>
              <w:tc>
                <w:tcPr>
                  <w:tcW w:w="215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440m</w:t>
                  </w:r>
                </w:p>
              </w:tc>
              <w:tc>
                <w:tcPr>
                  <w:tcW w:w="1781"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非甲烷总烃</w:t>
                  </w:r>
                </w:p>
              </w:tc>
            </w:tr>
          </w:tbl>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（3）监测时间及频率</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bidi="ar"/>
              </w:rPr>
              <w:t>OB</w:t>
            </w:r>
            <w:r>
              <w:rPr>
                <w:rFonts w:hint="default" w:ascii="Times New Roman" w:hAnsi="Times New Roman" w:eastAsia="宋体" w:cs="Times New Roman"/>
                <w:kern w:val="2"/>
                <w:sz w:val="24"/>
                <w:szCs w:val="24"/>
                <w:vertAlign w:val="subscript"/>
                <w:lang w:bidi="ar"/>
              </w:rPr>
              <w:t>1</w:t>
            </w:r>
            <w:r>
              <w:rPr>
                <w:rFonts w:hint="default" w:ascii="Times New Roman" w:hAnsi="Times New Roman" w:eastAsia="宋体" w:cs="Times New Roman"/>
                <w:kern w:val="2"/>
                <w:sz w:val="24"/>
                <w:szCs w:val="24"/>
              </w:rPr>
              <w:t>监测点：非甲烷总烃，4次/天，小时值，连续监测3天。</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（4）评价方法</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环境空气质量现状评价采用最大占标率法，当取值时间最大浓度值占相应标准浓度限值的百分比大于或等于100%时，表明环境空气质量超标，计算公式如下：</w:t>
            </w:r>
          </w:p>
          <w:p>
            <w:pPr>
              <w:spacing w:after="0" w:line="420" w:lineRule="exact"/>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P</w:t>
            </w:r>
            <w:r>
              <w:rPr>
                <w:rFonts w:hint="default" w:ascii="Times New Roman" w:hAnsi="Times New Roman" w:eastAsia="宋体" w:cs="Times New Roman"/>
                <w:kern w:val="2"/>
                <w:sz w:val="24"/>
                <w:szCs w:val="24"/>
                <w:vertAlign w:val="subscript"/>
              </w:rPr>
              <w:t>ij</w:t>
            </w:r>
            <w:r>
              <w:rPr>
                <w:rFonts w:hint="default" w:ascii="Times New Roman" w:hAnsi="Times New Roman" w:eastAsia="宋体" w:cs="Times New Roman"/>
                <w:kern w:val="2"/>
                <w:sz w:val="24"/>
                <w:szCs w:val="24"/>
              </w:rPr>
              <w:t>=C</w:t>
            </w:r>
            <w:r>
              <w:rPr>
                <w:rFonts w:hint="default" w:ascii="Times New Roman" w:hAnsi="Times New Roman" w:eastAsia="宋体" w:cs="Times New Roman"/>
                <w:kern w:val="2"/>
                <w:sz w:val="24"/>
                <w:szCs w:val="24"/>
                <w:vertAlign w:val="subscript"/>
              </w:rPr>
              <w:t>ij</w:t>
            </w:r>
            <w:r>
              <w:rPr>
                <w:rFonts w:hint="default" w:ascii="Times New Roman" w:hAnsi="Times New Roman" w:eastAsia="宋体" w:cs="Times New Roman"/>
                <w:kern w:val="2"/>
                <w:sz w:val="24"/>
                <w:szCs w:val="24"/>
              </w:rPr>
              <w:t>/C</w:t>
            </w:r>
            <w:r>
              <w:rPr>
                <w:rFonts w:hint="default" w:ascii="Times New Roman" w:hAnsi="Times New Roman" w:eastAsia="宋体" w:cs="Times New Roman"/>
                <w:kern w:val="2"/>
                <w:sz w:val="24"/>
                <w:szCs w:val="24"/>
                <w:vertAlign w:val="subscript"/>
              </w:rPr>
              <w:t>sj</w:t>
            </w:r>
            <w:r>
              <w:rPr>
                <w:rFonts w:hint="default" w:ascii="Times New Roman" w:hAnsi="Times New Roman" w:eastAsia="宋体" w:cs="Times New Roman"/>
                <w:kern w:val="2"/>
                <w:sz w:val="24"/>
                <w:szCs w:val="24"/>
              </w:rPr>
              <w:t>×100%</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式中：P</w:t>
            </w:r>
            <w:r>
              <w:rPr>
                <w:rFonts w:hint="default" w:ascii="Times New Roman" w:hAnsi="Times New Roman" w:eastAsia="宋体" w:cs="Times New Roman"/>
                <w:kern w:val="2"/>
                <w:sz w:val="24"/>
                <w:szCs w:val="24"/>
                <w:vertAlign w:val="subscript"/>
              </w:rPr>
              <w:t>ij</w:t>
            </w:r>
            <w:r>
              <w:rPr>
                <w:rFonts w:hint="default" w:ascii="Times New Roman" w:hAnsi="Times New Roman" w:eastAsia="宋体" w:cs="Times New Roman"/>
                <w:kern w:val="2"/>
                <w:sz w:val="24"/>
                <w:szCs w:val="24"/>
              </w:rPr>
              <w:t>—第i现状监测点第污染因子j的最大浓度占标率，其值在0～100%之间为满足标准，大于100%则为超标；</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 xml:space="preserve">     C</w:t>
            </w:r>
            <w:r>
              <w:rPr>
                <w:rFonts w:hint="default" w:ascii="Times New Roman" w:hAnsi="Times New Roman" w:eastAsia="宋体" w:cs="Times New Roman"/>
                <w:kern w:val="2"/>
                <w:sz w:val="24"/>
                <w:szCs w:val="24"/>
                <w:vertAlign w:val="subscript"/>
              </w:rPr>
              <w:t>ij</w:t>
            </w:r>
            <w:r>
              <w:rPr>
                <w:rFonts w:hint="default" w:ascii="Times New Roman" w:hAnsi="Times New Roman" w:eastAsia="宋体" w:cs="Times New Roman"/>
                <w:kern w:val="2"/>
                <w:sz w:val="24"/>
                <w:szCs w:val="24"/>
              </w:rPr>
              <w:t>—第i现状监测点第污染因子j的实测浓度（mg/m</w:t>
            </w:r>
            <w:r>
              <w:rPr>
                <w:rFonts w:hint="default" w:ascii="Times New Roman" w:hAnsi="Times New Roman" w:eastAsia="宋体" w:cs="Times New Roman"/>
                <w:kern w:val="2"/>
                <w:sz w:val="24"/>
                <w:szCs w:val="24"/>
                <w:vertAlign w:val="superscript"/>
              </w:rPr>
              <w:t>3</w:t>
            </w:r>
            <w:r>
              <w:rPr>
                <w:rFonts w:hint="default" w:ascii="Times New Roman" w:hAnsi="Times New Roman" w:eastAsia="宋体" w:cs="Times New Roman"/>
                <w:kern w:val="2"/>
                <w:sz w:val="24"/>
                <w:szCs w:val="24"/>
              </w:rPr>
              <w:t>）；</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 xml:space="preserve">     C</w:t>
            </w:r>
            <w:r>
              <w:rPr>
                <w:rFonts w:hint="default" w:ascii="Times New Roman" w:hAnsi="Times New Roman" w:eastAsia="宋体" w:cs="Times New Roman"/>
                <w:kern w:val="2"/>
                <w:sz w:val="24"/>
                <w:szCs w:val="24"/>
                <w:vertAlign w:val="subscript"/>
              </w:rPr>
              <w:t>sj</w:t>
            </w:r>
            <w:r>
              <w:rPr>
                <w:rFonts w:hint="default" w:ascii="Times New Roman" w:hAnsi="Times New Roman" w:eastAsia="宋体" w:cs="Times New Roman"/>
                <w:kern w:val="2"/>
                <w:sz w:val="24"/>
                <w:szCs w:val="24"/>
              </w:rPr>
              <w:t>—污染因子j的环境质量标准（mg/m</w:t>
            </w:r>
            <w:r>
              <w:rPr>
                <w:rFonts w:hint="default" w:ascii="Times New Roman" w:hAnsi="Times New Roman" w:eastAsia="宋体" w:cs="Times New Roman"/>
                <w:kern w:val="2"/>
                <w:sz w:val="24"/>
                <w:szCs w:val="24"/>
                <w:vertAlign w:val="superscript"/>
              </w:rPr>
              <w:t>3</w:t>
            </w:r>
            <w:r>
              <w:rPr>
                <w:rFonts w:hint="default" w:ascii="Times New Roman" w:hAnsi="Times New Roman" w:eastAsia="宋体" w:cs="Times New Roman"/>
                <w:kern w:val="2"/>
                <w:sz w:val="24"/>
                <w:szCs w:val="24"/>
              </w:rPr>
              <w:t>）。</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（5）评价标准</w:t>
            </w:r>
          </w:p>
          <w:p>
            <w:pPr>
              <w:spacing w:after="0" w:line="420" w:lineRule="exact"/>
              <w:ind w:firstLine="480" w:firstLineChars="200"/>
              <w:jc w:val="both"/>
              <w:rPr>
                <w:rFonts w:hint="default" w:ascii="Times New Roman" w:hAnsi="Times New Roman" w:eastAsia="宋体" w:cs="Times New Roman"/>
                <w:kern w:val="2"/>
                <w:sz w:val="24"/>
                <w:szCs w:val="20"/>
                <w:lang w:bidi="ar"/>
              </w:rPr>
            </w:pPr>
            <w:r>
              <w:rPr>
                <w:rFonts w:hint="default" w:ascii="Times New Roman" w:hAnsi="Times New Roman" w:eastAsia="宋体" w:cs="Times New Roman"/>
                <w:kern w:val="2"/>
                <w:sz w:val="24"/>
                <w:szCs w:val="24"/>
              </w:rPr>
              <w:t>本项目评价区域非甲烷总烃参照执行河北省地方标准《环境空气质量  非甲烷总烃限值》（DB13/1577-2012）二级标准</w:t>
            </w:r>
            <w:r>
              <w:rPr>
                <w:rFonts w:hint="default" w:ascii="Times New Roman" w:hAnsi="Times New Roman" w:eastAsia="宋体" w:cs="Times New Roman"/>
                <w:kern w:val="2"/>
                <w:sz w:val="24"/>
                <w:szCs w:val="20"/>
                <w:lang w:bidi="ar"/>
              </w:rPr>
              <w:t>。</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（6）监测及评价结果</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环境空气现状监测统计及评价结果见表3.1-4。</w:t>
            </w:r>
          </w:p>
          <w:p>
            <w:pPr>
              <w:spacing w:after="0" w:line="420" w:lineRule="exact"/>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表3.1-4  区域环境空气</w:t>
            </w:r>
            <w:r>
              <w:rPr>
                <w:rFonts w:hint="default" w:ascii="Times New Roman" w:hAnsi="Times New Roman" w:eastAsia="宋体" w:cs="Times New Roman"/>
                <w:b/>
                <w:kern w:val="2"/>
                <w:sz w:val="24"/>
                <w:szCs w:val="24"/>
              </w:rPr>
              <w:t>特征因子</w:t>
            </w:r>
            <w:r>
              <w:rPr>
                <w:rFonts w:hint="default" w:ascii="Times New Roman" w:hAnsi="Times New Roman" w:eastAsia="宋体" w:cs="Times New Roman"/>
                <w:b/>
                <w:bCs/>
                <w:kern w:val="2"/>
                <w:sz w:val="24"/>
                <w:szCs w:val="24"/>
              </w:rPr>
              <w:t>监测及评价结果  单位：mg/m</w:t>
            </w:r>
            <w:r>
              <w:rPr>
                <w:rFonts w:hint="default" w:ascii="Times New Roman" w:hAnsi="Times New Roman" w:eastAsia="宋体" w:cs="Times New Roman"/>
                <w:b/>
                <w:bCs/>
                <w:kern w:val="2"/>
                <w:sz w:val="24"/>
                <w:szCs w:val="24"/>
                <w:vertAlign w:val="superscript"/>
              </w:rPr>
              <w:t>3</w:t>
            </w:r>
          </w:p>
          <w:tbl>
            <w:tblPr>
              <w:tblStyle w:val="30"/>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70"/>
              <w:gridCol w:w="1370"/>
              <w:gridCol w:w="1031"/>
              <w:gridCol w:w="1226"/>
              <w:gridCol w:w="872"/>
              <w:gridCol w:w="815"/>
              <w:gridCol w:w="767"/>
              <w:gridCol w:w="920"/>
              <w:gridCol w:w="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27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监测点</w:t>
                  </w:r>
                </w:p>
              </w:tc>
              <w:tc>
                <w:tcPr>
                  <w:tcW w:w="137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监测项目</w:t>
                  </w:r>
                </w:p>
              </w:tc>
              <w:tc>
                <w:tcPr>
                  <w:tcW w:w="103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监测</w:t>
                  </w:r>
                </w:p>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类别</w:t>
                  </w:r>
                </w:p>
              </w:tc>
              <w:tc>
                <w:tcPr>
                  <w:tcW w:w="1226"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浓度范围值</w:t>
                  </w:r>
                </w:p>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（mg/m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w:t>
                  </w:r>
                </w:p>
              </w:tc>
              <w:tc>
                <w:tcPr>
                  <w:tcW w:w="1687" w:type="dxa"/>
                  <w:gridSpan w:val="2"/>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标准限值（mg/m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w:t>
                  </w:r>
                </w:p>
              </w:tc>
              <w:tc>
                <w:tcPr>
                  <w:tcW w:w="76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超标率%</w:t>
                  </w:r>
                </w:p>
              </w:tc>
              <w:tc>
                <w:tcPr>
                  <w:tcW w:w="92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最大占标率%</w:t>
                  </w:r>
                </w:p>
              </w:tc>
              <w:tc>
                <w:tcPr>
                  <w:tcW w:w="80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达标</w:t>
                  </w:r>
                </w:p>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127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4"/>
                      <w:szCs w:val="24"/>
                      <w:lang w:bidi="ar"/>
                    </w:rPr>
                    <w:t>OB</w:t>
                  </w:r>
                  <w:r>
                    <w:rPr>
                      <w:rFonts w:hint="default" w:ascii="Times New Roman" w:hAnsi="Times New Roman" w:eastAsia="宋体" w:cs="Times New Roman"/>
                      <w:kern w:val="2"/>
                      <w:sz w:val="24"/>
                      <w:szCs w:val="24"/>
                      <w:vertAlign w:val="subscript"/>
                      <w:lang w:bidi="ar"/>
                    </w:rPr>
                    <w:t>1</w:t>
                  </w:r>
                  <w:r>
                    <w:rPr>
                      <w:rFonts w:hint="default" w:ascii="Times New Roman" w:hAnsi="Times New Roman" w:eastAsia="宋体" w:cs="Times New Roman"/>
                      <w:kern w:val="2"/>
                      <w:sz w:val="21"/>
                      <w:szCs w:val="21"/>
                    </w:rPr>
                    <w:t>监测点</w:t>
                  </w:r>
                </w:p>
              </w:tc>
              <w:tc>
                <w:tcPr>
                  <w:tcW w:w="137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非甲烷总烃</w:t>
                  </w:r>
                </w:p>
              </w:tc>
              <w:tc>
                <w:tcPr>
                  <w:tcW w:w="103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小时值</w:t>
                  </w:r>
                </w:p>
              </w:tc>
              <w:tc>
                <w:tcPr>
                  <w:tcW w:w="1226"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0.61~0.70</w:t>
                  </w:r>
                </w:p>
              </w:tc>
              <w:tc>
                <w:tcPr>
                  <w:tcW w:w="872"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二级</w:t>
                  </w:r>
                </w:p>
              </w:tc>
              <w:tc>
                <w:tcPr>
                  <w:tcW w:w="815"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2.0</w:t>
                  </w:r>
                </w:p>
              </w:tc>
              <w:tc>
                <w:tcPr>
                  <w:tcW w:w="76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w:t>
                  </w:r>
                </w:p>
              </w:tc>
              <w:tc>
                <w:tcPr>
                  <w:tcW w:w="92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35</w:t>
                  </w:r>
                </w:p>
              </w:tc>
              <w:tc>
                <w:tcPr>
                  <w:tcW w:w="80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达标</w:t>
                  </w:r>
                </w:p>
              </w:tc>
            </w:tr>
          </w:tbl>
          <w:p>
            <w:pPr>
              <w:spacing w:after="0" w:line="420" w:lineRule="exact"/>
              <w:ind w:firstLine="480" w:firstLineChars="200"/>
              <w:jc w:val="both"/>
              <w:rPr>
                <w:rFonts w:hint="default" w:ascii="Times New Roman" w:hAnsi="Times New Roman" w:eastAsia="宋体" w:cs="Times New Roman"/>
                <w:kern w:val="2"/>
                <w:sz w:val="24"/>
                <w:szCs w:val="20"/>
                <w:lang w:bidi="ar"/>
              </w:rPr>
            </w:pPr>
            <w:r>
              <w:rPr>
                <w:rFonts w:hint="default" w:ascii="Times New Roman" w:hAnsi="Times New Roman" w:eastAsia="宋体" w:cs="Times New Roman"/>
                <w:kern w:val="2"/>
                <w:sz w:val="24"/>
                <w:szCs w:val="24"/>
              </w:rPr>
              <w:t>由表3.1-4可知，本项目所在区域环境空气中非甲烷总烃浓度满足参照执行的河北省地方标准《环境空气质量  非甲烷总烃限值》（DB13/1577-2012）二级标准限值要求</w:t>
            </w:r>
            <w:r>
              <w:rPr>
                <w:rFonts w:hint="default" w:ascii="Times New Roman" w:hAnsi="Times New Roman" w:eastAsia="宋体" w:cs="Times New Roman"/>
                <w:kern w:val="2"/>
                <w:sz w:val="24"/>
                <w:szCs w:val="20"/>
                <w:lang w:bidi="ar"/>
              </w:rPr>
              <w:t>准要求。</w:t>
            </w:r>
          </w:p>
          <w:p>
            <w:pPr>
              <w:autoSpaceDE w:val="0"/>
              <w:autoSpaceDN w:val="0"/>
              <w:spacing w:after="0" w:line="420" w:lineRule="exac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3.1.2 地表水环境质量现状</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最终受纳水体为嘉陵江。根据《重庆市人民政府批转重庆市地表水环境功能类别调整方案的通知》（渝府发[2012]4号）规定，嘉陵江水域属于Ⅲ类水域，地表水环境质量执行《地表水环境质量标准》（GB3838-2002）中的Ⅲ类标准。</w:t>
            </w:r>
          </w:p>
          <w:p>
            <w:pPr>
              <w:spacing w:after="0" w:line="420" w:lineRule="exact"/>
              <w:ind w:firstLine="480" w:firstLineChars="200"/>
              <w:rPr>
                <w:rFonts w:hint="default" w:ascii="Times New Roman" w:hAnsi="Times New Roman" w:eastAsia="宋体" w:cs="Times New Roman"/>
              </w:rPr>
            </w:pPr>
            <w:r>
              <w:rPr>
                <w:rFonts w:hint="default" w:ascii="Times New Roman" w:hAnsi="Times New Roman" w:eastAsia="宋体" w:cs="Times New Roman"/>
                <w:sz w:val="24"/>
                <w:szCs w:val="24"/>
              </w:rPr>
              <w:t>根据《2022年重庆市生态环境状况公报》可知，长江支流总体水质为优，122条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60" w:hRule="atLeast"/>
          <w:jc w:val="center"/>
        </w:trPr>
        <w:tc>
          <w:tcPr>
            <w:tcW w:w="9186" w:type="dxa"/>
            <w:tcBorders>
              <w:tl2br w:val="nil"/>
              <w:tr2bl w:val="nil"/>
            </w:tcBorders>
          </w:tcPr>
          <w:p>
            <w:pPr>
              <w:spacing w:after="0" w:line="4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河流布设的218个监测断面中，Ⅰ~Ⅲ类断面比例为95.0%；水质满足水域功能的断面占97.7%。其中，嘉陵江流域51个监测断面中，Ⅰ~Ⅲ类水质比例为86.3%。</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根据重庆市合川区生态环境局官方网站公布的每月《合川区水环境质量状况》可知，嘉陵江断面2023年6月水质达到Ⅱ类地表水环境质量标准，因此项目所在嘉陵江段水质满足标准要求。</w:t>
            </w:r>
          </w:p>
          <w:p>
            <w:pPr>
              <w:pStyle w:val="17"/>
              <w:ind w:left="440"/>
              <w:rPr>
                <w:rFonts w:hint="default" w:ascii="Times New Roman" w:hAnsi="Times New Roman" w:eastAsia="宋体" w:cs="Times New Roman"/>
              </w:rPr>
            </w:pPr>
            <w:r>
              <w:rPr>
                <w:rFonts w:hint="default" w:ascii="Times New Roman" w:hAnsi="Times New Roman" w:eastAsia="宋体" w:cs="Times New Roman"/>
                <w:sz w:val="24"/>
              </w:rPr>
              <w:drawing>
                <wp:anchor distT="0" distB="0" distL="114300" distR="114300" simplePos="0" relativeHeight="251659264" behindDoc="0" locked="0" layoutInCell="1" allowOverlap="1">
                  <wp:simplePos x="0" y="0"/>
                  <wp:positionH relativeFrom="column">
                    <wp:posOffset>543560</wp:posOffset>
                  </wp:positionH>
                  <wp:positionV relativeFrom="paragraph">
                    <wp:posOffset>10795</wp:posOffset>
                  </wp:positionV>
                  <wp:extent cx="4494530" cy="5034280"/>
                  <wp:effectExtent l="0" t="0" r="1270" b="13970"/>
                  <wp:wrapNone/>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25">
                            <a:extLst>
                              <a:ext uri="{28A0092B-C50C-407E-A947-70E740481C1C}">
                                <a14:useLocalDpi xmlns:a14="http://schemas.microsoft.com/office/drawing/2010/main" val="false"/>
                              </a:ext>
                            </a:extLst>
                          </a:blip>
                          <a:stretch>
                            <a:fillRect/>
                          </a:stretch>
                        </pic:blipFill>
                        <pic:spPr>
                          <a:xfrm>
                            <a:off x="0" y="0"/>
                            <a:ext cx="4494530" cy="5034280"/>
                          </a:xfrm>
                          <a:prstGeom prst="rect">
                            <a:avLst/>
                          </a:prstGeom>
                        </pic:spPr>
                      </pic:pic>
                    </a:graphicData>
                  </a:graphic>
                </wp:anchor>
              </w:drawing>
            </w: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1016000</wp:posOffset>
                      </wp:positionH>
                      <wp:positionV relativeFrom="paragraph">
                        <wp:posOffset>240665</wp:posOffset>
                      </wp:positionV>
                      <wp:extent cx="3648075" cy="180975"/>
                      <wp:effectExtent l="12700" t="12700" r="15875" b="15875"/>
                      <wp:wrapNone/>
                      <wp:docPr id="24" name="矩形 24"/>
                      <wp:cNvGraphicFramePr/>
                      <a:graphic xmlns:a="http://schemas.openxmlformats.org/drawingml/2006/main">
                        <a:graphicData uri="http://schemas.microsoft.com/office/word/2010/wordprocessingShape">
                          <wps:wsp>
                            <wps:cNvSpPr/>
                            <wps:spPr>
                              <a:xfrm>
                                <a:off x="0" y="0"/>
                                <a:ext cx="36480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0pt;margin-top:18.95pt;height:14.25pt;width:287.25pt;z-index:251660288;v-text-anchor:middle;mso-width-relative:page;mso-height-relative:page;" filled="f" stroked="t" coordsize="21600,21600" o:gfxdata="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PZCnB9gAAAAJAQAADwAAAAAAAAABACAAAAA4AAAAZHJzL2Rvd25yZXYueG1sUEsBAhQAFAAA&#10;AAgAh07iQH1Y1DlLAgAAdwQAAA4AAAAAAAAAAQAgAAAAPQEAAGRycy9lMm9Eb2MueG1sUEsFBgAA&#10;AAAGAAYAWQEAAPoFAAAAAA==&#10;">
                      <v:fill on="f" focussize="0,0"/>
                      <v:stroke weight="2pt" color="#FF0000 [3204]" joinstyle="round"/>
                      <v:imagedata o:title=""/>
                      <o:lock v:ext="edit" aspectratio="f"/>
                    </v:rect>
                  </w:pict>
                </mc:Fallback>
              </mc:AlternateContent>
            </w: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ind w:firstLine="480" w:firstLineChars="200"/>
              <w:rPr>
                <w:rFonts w:hint="default" w:ascii="Times New Roman" w:hAnsi="Times New Roman" w:eastAsia="宋体" w:cs="Times New Roman"/>
                <w:sz w:val="24"/>
                <w:szCs w:val="24"/>
              </w:rPr>
            </w:pPr>
          </w:p>
          <w:p>
            <w:pPr>
              <w:spacing w:after="0" w:line="420" w:lineRule="exact"/>
              <w:jc w:val="center"/>
              <w:rPr>
                <w:rFonts w:hint="default" w:ascii="Times New Roman" w:hAnsi="Times New Roman" w:eastAsia="宋体" w:cs="Times New Roman"/>
                <w:b/>
                <w:bCs/>
                <w:sz w:val="24"/>
                <w:szCs w:val="24"/>
                <w:u w:val="single"/>
              </w:rPr>
            </w:pPr>
            <w:r>
              <w:rPr>
                <w:rFonts w:hint="default" w:ascii="Times New Roman" w:hAnsi="Times New Roman" w:eastAsia="宋体" w:cs="Times New Roman"/>
                <w:b/>
                <w:bCs/>
                <w:sz w:val="24"/>
                <w:szCs w:val="24"/>
                <w:u w:val="single"/>
              </w:rPr>
              <w:t>图3.1-1 《合川区水环境质量状况》2023年6月水环境质量状况图</w:t>
            </w:r>
          </w:p>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3.1.3声环境现状</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本项目位于</w:t>
            </w:r>
            <w:r>
              <w:rPr>
                <w:rFonts w:hint="default" w:ascii="Times New Roman" w:hAnsi="Times New Roman" w:eastAsia="宋体" w:cs="Times New Roman"/>
                <w:kern w:val="2"/>
                <w:sz w:val="24"/>
                <w:szCs w:val="24"/>
              </w:rPr>
              <w:t>重庆市合川区草街街道农创路(合川工业园南溪组团B区)</w:t>
            </w:r>
            <w:r>
              <w:rPr>
                <w:rFonts w:hint="default" w:ascii="Times New Roman" w:hAnsi="Times New Roman" w:eastAsia="宋体" w:cs="Times New Roman"/>
                <w:sz w:val="24"/>
                <w:szCs w:val="24"/>
              </w:rPr>
              <w:t>，为工业用地，项目周边50m范围内声环境保护目标为2#散户居民。</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建设项目环境影响报告表编制指南》（污染影响类）的规定，本评价开展了声环境质量现状监测。重庆港庆测控技术服务有限公司于2024年3月6日对项目东侧厂界外约50米处的声环境敏感目标（2#散户居民）的声环境进行了现状监测，监测情况如下：</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①监测项目：环境噪声，监测1天，每个测点昼/夜间各监测1次。</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②监测点位：ZS1点位于声环境敏感目标（东侧厂界外约50米处）处。</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噪声监测结果统计见表3.1-5。</w:t>
            </w:r>
          </w:p>
          <w:p>
            <w:pPr>
              <w:spacing w:after="0" w:line="420" w:lineRule="exact"/>
              <w:ind w:firstLine="481" w:firstLineChars="200"/>
              <w:jc w:val="center"/>
              <w:rPr>
                <w:rFonts w:hint="default" w:ascii="Times New Roman" w:hAnsi="Times New Roman" w:eastAsia="宋体" w:cs="Times New Roman"/>
                <w:b/>
                <w:bCs/>
                <w:kern w:val="2"/>
                <w:sz w:val="24"/>
                <w:szCs w:val="20"/>
                <w:lang w:bidi="ar"/>
              </w:rPr>
            </w:pPr>
            <w:r>
              <w:rPr>
                <w:rFonts w:hint="default" w:ascii="Times New Roman" w:hAnsi="Times New Roman" w:eastAsia="宋体" w:cs="Times New Roman"/>
                <w:b/>
                <w:bCs/>
                <w:kern w:val="2"/>
                <w:sz w:val="24"/>
                <w:szCs w:val="20"/>
                <w:lang w:bidi="ar"/>
              </w:rPr>
              <w:t>表3.1-5  环境噪声监测结果   单位：Leq dB（A）</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43"/>
              <w:gridCol w:w="1756"/>
              <w:gridCol w:w="1738"/>
              <w:gridCol w:w="1125"/>
              <w:gridCol w:w="1562"/>
              <w:gridCol w:w="1548"/>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8" w:hRule="atLeast"/>
                <w:tblHeader/>
                <w:jc w:val="center"/>
              </w:trPr>
              <w:tc>
                <w:tcPr>
                  <w:tcW w:w="1343" w:type="dxa"/>
                  <w:vMerge w:val="restart"/>
                  <w:tcBorders>
                    <w:top w:val="single" w:color="auto" w:sz="8" w:space="0"/>
                    <w:bottom w:val="single" w:color="auto" w:sz="8" w:space="0"/>
                    <w:right w:val="single" w:color="auto" w:sz="8"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检测日期</w:t>
                  </w:r>
                </w:p>
              </w:tc>
              <w:tc>
                <w:tcPr>
                  <w:tcW w:w="1756" w:type="dxa"/>
                  <w:vMerge w:val="restart"/>
                  <w:tcBorders>
                    <w:left w:val="single" w:color="auto" w:sz="8" w:space="0"/>
                    <w:bottom w:val="single" w:color="auto" w:sz="8"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测点位置</w:t>
                  </w:r>
                </w:p>
              </w:tc>
              <w:tc>
                <w:tcPr>
                  <w:tcW w:w="2863" w:type="dxa"/>
                  <w:gridSpan w:val="2"/>
                  <w:tcBorders>
                    <w:bottom w:val="single" w:color="auto" w:sz="8" w:space="0"/>
                    <w:right w:val="single" w:color="auto" w:sz="4"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昼间</w:t>
                  </w:r>
                </w:p>
              </w:tc>
              <w:tc>
                <w:tcPr>
                  <w:tcW w:w="3110" w:type="dxa"/>
                  <w:gridSpan w:val="2"/>
                  <w:tcBorders>
                    <w:left w:val="single" w:color="auto" w:sz="4" w:space="0"/>
                    <w:bottom w:val="single" w:color="auto" w:sz="8"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夜间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5" w:hRule="atLeast"/>
                <w:tblHeader/>
                <w:jc w:val="center"/>
              </w:trPr>
              <w:tc>
                <w:tcPr>
                  <w:tcW w:w="1343" w:type="dxa"/>
                  <w:vMerge w:val="continue"/>
                  <w:tcBorders>
                    <w:top w:val="single" w:color="auto" w:sz="8" w:space="0"/>
                    <w:bottom w:val="single" w:color="auto" w:sz="8" w:space="0"/>
                    <w:right w:val="single" w:color="auto" w:sz="8" w:space="0"/>
                  </w:tcBorders>
                  <w:vAlign w:val="center"/>
                </w:tcPr>
                <w:p>
                  <w:pPr>
                    <w:spacing w:after="0"/>
                    <w:jc w:val="center"/>
                    <w:rPr>
                      <w:rFonts w:hint="default" w:ascii="Times New Roman" w:hAnsi="Times New Roman" w:eastAsia="宋体" w:cs="Times New Roman"/>
                      <w:kern w:val="2"/>
                      <w:sz w:val="21"/>
                      <w:szCs w:val="21"/>
                    </w:rPr>
                  </w:pPr>
                </w:p>
              </w:tc>
              <w:tc>
                <w:tcPr>
                  <w:tcW w:w="1756" w:type="dxa"/>
                  <w:vMerge w:val="continue"/>
                  <w:tcBorders>
                    <w:top w:val="single" w:color="auto" w:sz="8" w:space="0"/>
                    <w:left w:val="single" w:color="auto" w:sz="8" w:space="0"/>
                    <w:bottom w:val="single" w:color="auto" w:sz="8" w:space="0"/>
                  </w:tcBorders>
                  <w:vAlign w:val="center"/>
                </w:tcPr>
                <w:p>
                  <w:pPr>
                    <w:spacing w:after="0"/>
                    <w:jc w:val="center"/>
                    <w:rPr>
                      <w:rFonts w:hint="default" w:ascii="Times New Roman" w:hAnsi="Times New Roman" w:eastAsia="宋体" w:cs="Times New Roman"/>
                      <w:kern w:val="2"/>
                      <w:sz w:val="21"/>
                      <w:szCs w:val="21"/>
                    </w:rPr>
                  </w:pPr>
                </w:p>
              </w:tc>
              <w:tc>
                <w:tcPr>
                  <w:tcW w:w="1738" w:type="dxa"/>
                  <w:vMerge w:val="restart"/>
                  <w:tcBorders>
                    <w:top w:val="single" w:color="auto" w:sz="8" w:space="0"/>
                    <w:bottom w:val="single" w:color="auto" w:sz="8" w:space="0"/>
                    <w:right w:val="single" w:color="auto" w:sz="4"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检测</w:t>
                  </w:r>
                </w:p>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起止时间</w:t>
                  </w:r>
                </w:p>
              </w:tc>
              <w:tc>
                <w:tcPr>
                  <w:tcW w:w="1125" w:type="dxa"/>
                  <w:tcBorders>
                    <w:top w:val="single" w:color="auto" w:sz="8" w:space="0"/>
                    <w:left w:val="single" w:color="auto" w:sz="4" w:space="0"/>
                    <w:right w:val="single" w:color="auto" w:sz="4"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检测结果</w:t>
                  </w:r>
                </w:p>
              </w:tc>
              <w:tc>
                <w:tcPr>
                  <w:tcW w:w="1562" w:type="dxa"/>
                  <w:vMerge w:val="restart"/>
                  <w:tcBorders>
                    <w:top w:val="single" w:color="auto" w:sz="8" w:space="0"/>
                    <w:left w:val="single" w:color="auto" w:sz="4" w:space="0"/>
                    <w:right w:val="single" w:color="auto" w:sz="4"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检测</w:t>
                  </w:r>
                </w:p>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起止时间</w:t>
                  </w:r>
                </w:p>
              </w:tc>
              <w:tc>
                <w:tcPr>
                  <w:tcW w:w="1548" w:type="dxa"/>
                  <w:tcBorders>
                    <w:top w:val="single" w:color="auto" w:sz="8" w:space="0"/>
                    <w:left w:val="single" w:color="auto" w:sz="4"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检测结果</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2" w:hRule="atLeast"/>
                <w:tblHeader/>
                <w:jc w:val="center"/>
              </w:trPr>
              <w:tc>
                <w:tcPr>
                  <w:tcW w:w="1343" w:type="dxa"/>
                  <w:vMerge w:val="continue"/>
                  <w:tcBorders>
                    <w:bottom w:val="single" w:color="auto" w:sz="8" w:space="0"/>
                    <w:right w:val="single" w:color="auto" w:sz="8" w:space="0"/>
                  </w:tcBorders>
                  <w:vAlign w:val="center"/>
                </w:tcPr>
                <w:p>
                  <w:pPr>
                    <w:spacing w:after="0"/>
                    <w:jc w:val="center"/>
                    <w:rPr>
                      <w:rFonts w:hint="default" w:ascii="Times New Roman" w:hAnsi="Times New Roman" w:eastAsia="宋体" w:cs="Times New Roman"/>
                      <w:kern w:val="2"/>
                      <w:sz w:val="21"/>
                      <w:szCs w:val="21"/>
                    </w:rPr>
                  </w:pPr>
                </w:p>
              </w:tc>
              <w:tc>
                <w:tcPr>
                  <w:tcW w:w="1756" w:type="dxa"/>
                  <w:vMerge w:val="continue"/>
                  <w:tcBorders>
                    <w:left w:val="single" w:color="auto" w:sz="8" w:space="0"/>
                    <w:bottom w:val="single" w:color="auto" w:sz="8" w:space="0"/>
                  </w:tcBorders>
                  <w:vAlign w:val="center"/>
                </w:tcPr>
                <w:p>
                  <w:pPr>
                    <w:spacing w:after="0"/>
                    <w:jc w:val="center"/>
                    <w:rPr>
                      <w:rFonts w:hint="default" w:ascii="Times New Roman" w:hAnsi="Times New Roman" w:eastAsia="宋体" w:cs="Times New Roman"/>
                      <w:kern w:val="2"/>
                      <w:sz w:val="21"/>
                      <w:szCs w:val="21"/>
                    </w:rPr>
                  </w:pPr>
                </w:p>
              </w:tc>
              <w:tc>
                <w:tcPr>
                  <w:tcW w:w="1738" w:type="dxa"/>
                  <w:vMerge w:val="continue"/>
                  <w:tcBorders>
                    <w:bottom w:val="single" w:color="auto" w:sz="8" w:space="0"/>
                  </w:tcBorders>
                  <w:vAlign w:val="center"/>
                </w:tcPr>
                <w:p>
                  <w:pPr>
                    <w:spacing w:after="0"/>
                    <w:jc w:val="center"/>
                    <w:rPr>
                      <w:rFonts w:hint="default" w:ascii="Times New Roman" w:hAnsi="Times New Roman" w:eastAsia="宋体" w:cs="Times New Roman"/>
                      <w:kern w:val="2"/>
                      <w:sz w:val="21"/>
                      <w:szCs w:val="21"/>
                    </w:rPr>
                  </w:pPr>
                </w:p>
              </w:tc>
              <w:tc>
                <w:tcPr>
                  <w:tcW w:w="1125" w:type="dxa"/>
                  <w:tcBorders>
                    <w:top w:val="single" w:color="000000" w:sz="8" w:space="0"/>
                    <w:bottom w:val="single" w:color="auto" w:sz="8" w:space="0"/>
                    <w:right w:val="single" w:color="auto" w:sz="4"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LAep</w:t>
                  </w:r>
                </w:p>
              </w:tc>
              <w:tc>
                <w:tcPr>
                  <w:tcW w:w="1562" w:type="dxa"/>
                  <w:vMerge w:val="continue"/>
                  <w:tcBorders>
                    <w:left w:val="single" w:color="auto" w:sz="4" w:space="0"/>
                    <w:bottom w:val="single" w:color="auto" w:sz="8" w:space="0"/>
                    <w:right w:val="single" w:color="auto" w:sz="4" w:space="0"/>
                  </w:tcBorders>
                  <w:vAlign w:val="center"/>
                </w:tcPr>
                <w:p>
                  <w:pPr>
                    <w:spacing w:after="0"/>
                    <w:jc w:val="center"/>
                    <w:rPr>
                      <w:rFonts w:hint="default" w:ascii="Times New Roman" w:hAnsi="Times New Roman" w:eastAsia="宋体" w:cs="Times New Roman"/>
                      <w:kern w:val="2"/>
                      <w:sz w:val="21"/>
                      <w:szCs w:val="21"/>
                    </w:rPr>
                  </w:pPr>
                </w:p>
              </w:tc>
              <w:tc>
                <w:tcPr>
                  <w:tcW w:w="1548" w:type="dxa"/>
                  <w:tcBorders>
                    <w:top w:val="single" w:color="000000" w:sz="8" w:space="0"/>
                    <w:left w:val="single" w:color="auto" w:sz="4" w:space="0"/>
                    <w:bottom w:val="single" w:color="auto" w:sz="8"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LAep</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PrEx>
              <w:trPr>
                <w:trHeight w:val="353" w:hRule="atLeast"/>
                <w:jc w:val="center"/>
              </w:trPr>
              <w:tc>
                <w:tcPr>
                  <w:tcW w:w="1343" w:type="dxa"/>
                  <w:tcBorders>
                    <w:top w:val="single" w:color="auto" w:sz="8" w:space="0"/>
                    <w:right w:val="single" w:color="auto" w:sz="8"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3月6日</w:t>
                  </w:r>
                </w:p>
              </w:tc>
              <w:tc>
                <w:tcPr>
                  <w:tcW w:w="1756" w:type="dxa"/>
                  <w:tcBorders>
                    <w:top w:val="single" w:color="auto" w:sz="8" w:space="0"/>
                    <w:left w:val="single" w:color="auto" w:sz="8"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东侧厂界外约50米处（ZS1）</w:t>
                  </w:r>
                </w:p>
              </w:tc>
              <w:tc>
                <w:tcPr>
                  <w:tcW w:w="1738" w:type="dxa"/>
                  <w:tcBorders>
                    <w:top w:val="single" w:color="auto" w:sz="8" w:space="0"/>
                    <w:bottom w:val="single" w:color="auto" w:sz="8"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14:00~14:10</w:t>
                  </w:r>
                </w:p>
              </w:tc>
              <w:tc>
                <w:tcPr>
                  <w:tcW w:w="1125" w:type="dxa"/>
                  <w:tcBorders>
                    <w:top w:val="single" w:color="auto" w:sz="8" w:space="0"/>
                    <w:bottom w:val="single" w:color="auto" w:sz="8" w:space="0"/>
                    <w:right w:val="single" w:color="auto" w:sz="4"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53</w:t>
                  </w:r>
                </w:p>
              </w:tc>
              <w:tc>
                <w:tcPr>
                  <w:tcW w:w="1562" w:type="dxa"/>
                  <w:tcBorders>
                    <w:top w:val="single" w:color="auto" w:sz="8" w:space="0"/>
                    <w:left w:val="single" w:color="auto" w:sz="4" w:space="0"/>
                    <w:bottom w:val="single" w:color="auto" w:sz="8" w:space="0"/>
                    <w:right w:val="single" w:color="auto" w:sz="4"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22:40~22:50</w:t>
                  </w:r>
                </w:p>
              </w:tc>
              <w:tc>
                <w:tcPr>
                  <w:tcW w:w="1548" w:type="dxa"/>
                  <w:tcBorders>
                    <w:top w:val="single" w:color="auto" w:sz="8" w:space="0"/>
                    <w:left w:val="single" w:color="auto" w:sz="4" w:space="0"/>
                    <w:bottom w:val="single" w:color="auto" w:sz="8" w:space="0"/>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47</w:t>
                  </w:r>
                </w:p>
              </w:tc>
            </w:tr>
          </w:tbl>
          <w:p>
            <w:pPr>
              <w:autoSpaceDE w:val="0"/>
              <w:autoSpaceDN w:val="0"/>
              <w:spacing w:after="0" w:line="420" w:lineRule="exact"/>
              <w:ind w:firstLine="480" w:firstLineChars="200"/>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监测统计结果表明：东侧厂界外约50米处声环境敏感目标处声环境质量现状昼/夜间值满足《声环境质量标准》(GB3096－2008)3类标准要求。</w:t>
            </w:r>
          </w:p>
          <w:p>
            <w:pPr>
              <w:autoSpaceDE w:val="0"/>
              <w:autoSpaceDN w:val="0"/>
              <w:spacing w:after="0" w:line="420" w:lineRule="exact"/>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3.1.4生态环境现状</w:t>
            </w:r>
          </w:p>
          <w:p>
            <w:pPr>
              <w:autoSpaceDE w:val="0"/>
              <w:autoSpaceDN w:val="0"/>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sz w:val="24"/>
                <w:szCs w:val="24"/>
                <w:lang w:bidi="ar"/>
              </w:rPr>
              <w:t>本项目位于重庆合川区草街街道农创路（合川工业园南溪组团B区），用地周边不涉及生态环境保护目标，</w:t>
            </w:r>
            <w:r>
              <w:rPr>
                <w:rFonts w:hint="default" w:ascii="Times New Roman" w:hAnsi="Times New Roman" w:eastAsia="宋体" w:cs="Times New Roman"/>
                <w:kern w:val="2"/>
                <w:sz w:val="24"/>
                <w:szCs w:val="24"/>
              </w:rPr>
              <w:t>故不开展生态现状调查。</w:t>
            </w:r>
          </w:p>
          <w:p>
            <w:pPr>
              <w:autoSpaceDE w:val="0"/>
              <w:autoSpaceDN w:val="0"/>
              <w:spacing w:after="0" w:line="420" w:lineRule="exact"/>
              <w:rPr>
                <w:rFonts w:hint="default" w:ascii="Times New Roman" w:hAnsi="Times New Roman" w:eastAsia="宋体" w:cs="Times New Roman"/>
                <w:b/>
                <w:bCs/>
                <w:kern w:val="2"/>
                <w:sz w:val="24"/>
              </w:rPr>
            </w:pPr>
            <w:r>
              <w:rPr>
                <w:rFonts w:hint="default" w:ascii="Times New Roman" w:hAnsi="Times New Roman" w:eastAsia="宋体" w:cs="Times New Roman"/>
                <w:b/>
                <w:bCs/>
                <w:kern w:val="2"/>
                <w:sz w:val="24"/>
              </w:rPr>
              <w:t>3.1.5电磁辐射环境现状</w:t>
            </w:r>
          </w:p>
          <w:p>
            <w:pPr>
              <w:spacing w:after="0" w:line="420" w:lineRule="exact"/>
              <w:ind w:firstLine="422"/>
              <w:rPr>
                <w:rFonts w:hint="default" w:ascii="Times New Roman" w:hAnsi="Times New Roman" w:eastAsia="宋体" w:cs="Times New Roman"/>
                <w:kern w:val="2"/>
                <w:sz w:val="24"/>
                <w:szCs w:val="24"/>
              </w:rPr>
            </w:pPr>
            <w:r>
              <w:rPr>
                <w:rFonts w:hint="default" w:ascii="Times New Roman" w:hAnsi="Times New Roman" w:eastAsia="宋体" w:cs="Times New Roman"/>
                <w:bCs/>
                <w:kern w:val="2"/>
                <w:sz w:val="24"/>
                <w:szCs w:val="24"/>
              </w:rPr>
              <w:t>依据</w:t>
            </w:r>
            <w:r>
              <w:rPr>
                <w:rFonts w:hint="default" w:ascii="Times New Roman" w:hAnsi="Times New Roman" w:eastAsia="宋体" w:cs="Times New Roman"/>
                <w:kern w:val="2"/>
                <w:sz w:val="24"/>
                <w:szCs w:val="24"/>
              </w:rPr>
              <w:t>《建设项目环境影响报告表编制技术指南（污染影响类）》（试行），新建或改建、扩建广播电台、差转台、电视塔台、卫星地球上行站、雷达等电磁辐射类项目，应根据相关技术导则对项目电磁辐射现状开展监测与评价。</w:t>
            </w:r>
          </w:p>
          <w:p>
            <w:pPr>
              <w:spacing w:after="0" w:line="420" w:lineRule="exact"/>
              <w:ind w:firstLine="42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本项目不属于电磁辐射类项目，故不开展电磁辐射现状监测与评价。</w:t>
            </w:r>
          </w:p>
          <w:p>
            <w:pPr>
              <w:autoSpaceDE w:val="0"/>
              <w:autoSpaceDN w:val="0"/>
              <w:spacing w:after="0" w:line="420" w:lineRule="exact"/>
              <w:rPr>
                <w:rFonts w:hint="default" w:ascii="Times New Roman" w:hAnsi="Times New Roman" w:eastAsia="宋体" w:cs="Times New Roman"/>
                <w:b/>
                <w:bCs/>
                <w:kern w:val="2"/>
                <w:sz w:val="24"/>
              </w:rPr>
            </w:pPr>
            <w:r>
              <w:rPr>
                <w:rFonts w:hint="default" w:ascii="Times New Roman" w:hAnsi="Times New Roman" w:eastAsia="宋体" w:cs="Times New Roman"/>
                <w:b/>
                <w:bCs/>
                <w:kern w:val="2"/>
                <w:sz w:val="24"/>
              </w:rPr>
              <w:t>3.1.6地下水现状</w:t>
            </w:r>
          </w:p>
          <w:p>
            <w:pPr>
              <w:autoSpaceDE w:val="0"/>
              <w:autoSpaceDN w:val="0"/>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根据调查，本项目位于合川工业园南溪组团B区，不涉及集中式饮用水水源和热水、矿泉水、温泉等特殊地下水资源保护区。</w:t>
            </w:r>
          </w:p>
          <w:p>
            <w:pPr>
              <w:autoSpaceDE w:val="0"/>
              <w:autoSpaceDN w:val="0"/>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根据《环境影响评价技术导则  地</w:t>
            </w:r>
            <w:r>
              <w:rPr>
                <w:rFonts w:hint="default" w:ascii="Times New Roman" w:hAnsi="Times New Roman" w:eastAsia="宋体" w:cs="Times New Roman"/>
                <w:kern w:val="2"/>
                <w:sz w:val="24"/>
                <w:szCs w:val="24"/>
                <w:highlight w:val="none"/>
              </w:rPr>
              <w:t>下水环境》(HJ610-2016)附录A，本项目属于“73 汽车、摩托车制造 其他”，为Ⅳ类项目，可不开展地下</w:t>
            </w:r>
            <w:r>
              <w:rPr>
                <w:rFonts w:hint="default" w:ascii="Times New Roman" w:hAnsi="Times New Roman" w:eastAsia="宋体" w:cs="Times New Roman"/>
                <w:kern w:val="2"/>
                <w:sz w:val="24"/>
                <w:szCs w:val="24"/>
              </w:rPr>
              <w:t>水环境影响评价。</w:t>
            </w:r>
          </w:p>
          <w:p>
            <w:pPr>
              <w:autoSpaceDE w:val="0"/>
              <w:autoSpaceDN w:val="0"/>
              <w:spacing w:after="0" w:line="420" w:lineRule="exact"/>
              <w:rPr>
                <w:rFonts w:hint="default" w:ascii="Times New Roman" w:hAnsi="Times New Roman" w:eastAsia="宋体" w:cs="Times New Roman"/>
                <w:b/>
                <w:bCs/>
                <w:kern w:val="2"/>
                <w:sz w:val="24"/>
              </w:rPr>
            </w:pPr>
            <w:r>
              <w:rPr>
                <w:rFonts w:hint="default" w:ascii="Times New Roman" w:hAnsi="Times New Roman" w:eastAsia="宋体" w:cs="Times New Roman"/>
                <w:b/>
                <w:bCs/>
                <w:kern w:val="2"/>
                <w:sz w:val="24"/>
              </w:rPr>
              <w:t>3.1.7土壤环境现状</w:t>
            </w:r>
          </w:p>
          <w:p>
            <w:pPr>
              <w:autoSpaceDE w:val="0"/>
              <w:autoSpaceDN w:val="0"/>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本项目属于“三十三、汽车制造业36，汽车零部件及配件制造367，其他”，根据《环境影响评价技术导则  土壤环境（试行）》(HJ964-2018)附录A，参照执行“制造业类 其他”项目，本项目属于污染影响型项目，厂区占地面积为20095m</w:t>
            </w:r>
            <w:r>
              <w:rPr>
                <w:rFonts w:hint="default" w:ascii="Times New Roman" w:hAnsi="Times New Roman" w:eastAsia="宋体" w:cs="Times New Roman"/>
                <w:kern w:val="2"/>
                <w:sz w:val="24"/>
                <w:szCs w:val="24"/>
                <w:vertAlign w:val="superscript"/>
              </w:rPr>
              <w:t>2</w:t>
            </w:r>
            <w:r>
              <w:rPr>
                <w:rFonts w:hint="default" w:ascii="Times New Roman" w:hAnsi="Times New Roman" w:eastAsia="宋体" w:cs="Times New Roman"/>
                <w:kern w:val="2"/>
                <w:sz w:val="24"/>
                <w:szCs w:val="24"/>
              </w:rPr>
              <w:t>，占地规模为小型（≤5hm</w:t>
            </w:r>
            <w:r>
              <w:rPr>
                <w:rFonts w:hint="default" w:ascii="Times New Roman" w:hAnsi="Times New Roman" w:eastAsia="宋体" w:cs="Times New Roman"/>
                <w:kern w:val="2"/>
                <w:sz w:val="24"/>
                <w:szCs w:val="24"/>
                <w:vertAlign w:val="superscript"/>
              </w:rPr>
              <w:t>2</w:t>
            </w:r>
            <w:r>
              <w:rPr>
                <w:rFonts w:hint="default" w:ascii="Times New Roman" w:hAnsi="Times New Roman" w:eastAsia="宋体" w:cs="Times New Roman"/>
                <w:kern w:val="2"/>
                <w:sz w:val="24"/>
                <w:szCs w:val="24"/>
              </w:rPr>
              <w:t>），项目位于合川工业园南溪组团B区，周边均为已建工业企业或者规划工业用地，周边50m内无土壤敏感目标，土壤环境敏感程度为不敏感，根据污染型项目评价工作等级划分表，项目可不开展土壤环境影响评价工作。</w:t>
            </w:r>
          </w:p>
          <w:p>
            <w:pPr>
              <w:spacing w:after="0" w:line="420" w:lineRule="exact"/>
              <w:ind w:firstLine="481" w:firstLineChars="200"/>
              <w:jc w:val="center"/>
              <w:rPr>
                <w:rFonts w:hint="default" w:ascii="Times New Roman" w:hAnsi="Times New Roman" w:eastAsia="宋体" w:cs="Times New Roman"/>
                <w:b/>
                <w:bCs/>
                <w:kern w:val="2"/>
                <w:sz w:val="24"/>
                <w:szCs w:val="20"/>
                <w:lang w:bidi="ar"/>
              </w:rPr>
            </w:pPr>
            <w:r>
              <w:rPr>
                <w:rFonts w:hint="default" w:ascii="Times New Roman" w:hAnsi="Times New Roman" w:eastAsia="宋体" w:cs="Times New Roman"/>
                <w:b/>
                <w:bCs/>
                <w:kern w:val="2"/>
                <w:sz w:val="24"/>
                <w:szCs w:val="20"/>
                <w:lang w:bidi="ar"/>
              </w:rPr>
              <w:t>表3.1-6  土壤环境影响评价工作等级判定</w:t>
            </w:r>
          </w:p>
          <w:p>
            <w:pPr>
              <w:autoSpaceDE w:val="0"/>
              <w:autoSpaceDN w:val="0"/>
              <w:spacing w:after="0"/>
              <w:jc w:val="both"/>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drawing>
                <wp:inline distT="0" distB="0" distL="114300" distR="114300">
                  <wp:extent cx="5751195" cy="1568450"/>
                  <wp:effectExtent l="0" t="0" r="1905" b="12700"/>
                  <wp:docPr id="8"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true"/>
                          </pic:cNvPicPr>
                        </pic:nvPicPr>
                        <pic:blipFill>
                          <a:blip r:embed="rId26"/>
                          <a:stretch>
                            <a:fillRect/>
                          </a:stretch>
                        </pic:blipFill>
                        <pic:spPr>
                          <a:xfrm>
                            <a:off x="0" y="0"/>
                            <a:ext cx="5751195" cy="1568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7" w:hRule="atLeast"/>
          <w:jc w:val="center"/>
        </w:trPr>
        <w:tc>
          <w:tcPr>
            <w:tcW w:w="9186" w:type="dxa"/>
            <w:tcBorders>
              <w:tl2br w:val="nil"/>
              <w:tr2bl w:val="nil"/>
            </w:tcBorders>
            <w:vAlign w:val="center"/>
          </w:tcPr>
          <w:p>
            <w:pPr>
              <w:spacing w:after="0" w:line="420" w:lineRule="exact"/>
              <w:rPr>
                <w:rFonts w:hint="default" w:ascii="Times New Roman" w:hAnsi="Times New Roman" w:eastAsia="宋体" w:cs="Times New Roman"/>
              </w:rPr>
            </w:pPr>
            <w:r>
              <w:rPr>
                <w:rFonts w:hint="default" w:ascii="Times New Roman" w:hAnsi="Times New Roman" w:eastAsia="宋体" w:cs="Times New Roman"/>
                <w:b/>
                <w:kern w:val="2"/>
                <w:sz w:val="28"/>
                <w:szCs w:val="28"/>
              </w:rPr>
              <w:t>3.2环境保护目标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05" w:hRule="atLeast"/>
          <w:jc w:val="center"/>
        </w:trPr>
        <w:tc>
          <w:tcPr>
            <w:tcW w:w="9186" w:type="dxa"/>
            <w:tcBorders>
              <w:tl2br w:val="nil"/>
              <w:tr2bl w:val="nil"/>
            </w:tcBorders>
            <w:vAlign w:val="center"/>
          </w:tcPr>
          <w:p>
            <w:pPr>
              <w:spacing w:after="0" w:line="420" w:lineRule="exact"/>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3.2.1周边外环境</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位于合川区草街街道农创路（合川工业园南溪组团B区内），西北侧为闲置荒地、西南侧为重庆针尖内燃机部件制造有限公司、东南侧为园区道路（农创路）、东北侧为重庆市巨亮机械制造有限责任公司。本项目外环境关系情况见表3.2-1。</w:t>
            </w:r>
          </w:p>
          <w:p>
            <w:pPr>
              <w:spacing w:after="0" w:line="420" w:lineRule="exact"/>
              <w:ind w:firstLine="481" w:firstLineChars="200"/>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kern w:val="2"/>
                <w:sz w:val="24"/>
                <w:szCs w:val="24"/>
              </w:rPr>
              <w:t>表3.2-1  本项目外环境关系分布情况</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4009"/>
              <w:gridCol w:w="1077"/>
              <w:gridCol w:w="1860"/>
              <w:gridCol w:w="129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35"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序号</w:t>
                  </w:r>
                </w:p>
              </w:tc>
              <w:tc>
                <w:tcPr>
                  <w:tcW w:w="4009"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外环境</w:t>
                  </w:r>
                </w:p>
              </w:tc>
              <w:tc>
                <w:tcPr>
                  <w:tcW w:w="107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方位</w:t>
                  </w:r>
                </w:p>
              </w:tc>
              <w:tc>
                <w:tcPr>
                  <w:tcW w:w="186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与厂界距离（m）</w:t>
                  </w:r>
                </w:p>
              </w:tc>
              <w:tc>
                <w:tcPr>
                  <w:tcW w:w="129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4009"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重庆市巨亮机械制造有限责任公司</w:t>
                  </w:r>
                </w:p>
              </w:tc>
              <w:tc>
                <w:tcPr>
                  <w:tcW w:w="107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EN</w:t>
                  </w:r>
                </w:p>
              </w:tc>
              <w:tc>
                <w:tcPr>
                  <w:tcW w:w="186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15</w:t>
                  </w:r>
                </w:p>
              </w:tc>
              <w:tc>
                <w:tcPr>
                  <w:tcW w:w="129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4009"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重庆针尖内燃机部件制造有限公司</w:t>
                  </w:r>
                </w:p>
              </w:tc>
              <w:tc>
                <w:tcPr>
                  <w:tcW w:w="107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WS</w:t>
                  </w:r>
                </w:p>
              </w:tc>
              <w:tc>
                <w:tcPr>
                  <w:tcW w:w="186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129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4009"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农创路</w:t>
                  </w:r>
                </w:p>
              </w:tc>
              <w:tc>
                <w:tcPr>
                  <w:tcW w:w="107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ES</w:t>
                  </w:r>
                </w:p>
              </w:tc>
              <w:tc>
                <w:tcPr>
                  <w:tcW w:w="186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129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4009"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闲置荒地</w:t>
                  </w:r>
                </w:p>
              </w:tc>
              <w:tc>
                <w:tcPr>
                  <w:tcW w:w="107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WN</w:t>
                  </w:r>
                </w:p>
              </w:tc>
              <w:tc>
                <w:tcPr>
                  <w:tcW w:w="186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29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闲置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p>
              </w:tc>
              <w:tc>
                <w:tcPr>
                  <w:tcW w:w="4009"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重庆近江智信汽车零部件有限公司</w:t>
                  </w:r>
                </w:p>
              </w:tc>
              <w:tc>
                <w:tcPr>
                  <w:tcW w:w="107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S</w:t>
                  </w:r>
                </w:p>
              </w:tc>
              <w:tc>
                <w:tcPr>
                  <w:tcW w:w="186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19</w:t>
                  </w:r>
                </w:p>
              </w:tc>
              <w:tc>
                <w:tcPr>
                  <w:tcW w:w="129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w:t>
                  </w:r>
                </w:p>
              </w:tc>
              <w:tc>
                <w:tcPr>
                  <w:tcW w:w="4009" w:type="dxa"/>
                  <w:tcBorders>
                    <w:tl2br w:val="nil"/>
                    <w:tr2bl w:val="nil"/>
                  </w:tcBorders>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重庆宏锐汽车零部件有限公司</w:t>
                  </w:r>
                </w:p>
              </w:tc>
              <w:tc>
                <w:tcPr>
                  <w:tcW w:w="107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ES</w:t>
                  </w:r>
                </w:p>
              </w:tc>
              <w:tc>
                <w:tcPr>
                  <w:tcW w:w="186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135</w:t>
                  </w:r>
                </w:p>
              </w:tc>
              <w:tc>
                <w:tcPr>
                  <w:tcW w:w="129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4009" w:type="dxa"/>
                  <w:tcBorders>
                    <w:tl2br w:val="nil"/>
                    <w:tr2bl w:val="nil"/>
                  </w:tcBorders>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重庆环鹰机械有限公司</w:t>
                  </w:r>
                </w:p>
              </w:tc>
              <w:tc>
                <w:tcPr>
                  <w:tcW w:w="1077"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ES</w:t>
                  </w:r>
                </w:p>
              </w:tc>
              <w:tc>
                <w:tcPr>
                  <w:tcW w:w="1860"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379</w:t>
                  </w:r>
                </w:p>
              </w:tc>
              <w:tc>
                <w:tcPr>
                  <w:tcW w:w="1291" w:type="dxa"/>
                  <w:tcBorders>
                    <w:tl2br w:val="nil"/>
                    <w:tr2bl w:val="nil"/>
                  </w:tcBorders>
                  <w:vAlign w:val="center"/>
                </w:tcPr>
                <w:p>
                  <w:pPr>
                    <w:spacing w:after="0" w:line="260" w:lineRule="exact"/>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2" w:type="dxa"/>
                  <w:gridSpan w:val="5"/>
                  <w:tcBorders>
                    <w:tl2br w:val="nil"/>
                    <w:tr2bl w:val="nil"/>
                  </w:tcBorders>
                  <w:vAlign w:val="center"/>
                </w:tcPr>
                <w:p>
                  <w:pPr>
                    <w:spacing w:after="0" w:line="26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注：最近距离系本项目厂界与各地块红线的最近直线距离</w:t>
                  </w:r>
                </w:p>
              </w:tc>
            </w:tr>
          </w:tbl>
          <w:p>
            <w:pPr>
              <w:spacing w:after="0" w:line="400" w:lineRule="exact"/>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4"/>
                <w:szCs w:val="24"/>
              </w:rPr>
              <w:t>3.2.2环境保护目标</w:t>
            </w:r>
          </w:p>
          <w:p>
            <w:pPr>
              <w:autoSpaceDE w:val="0"/>
              <w:autoSpaceDN w:val="0"/>
              <w:spacing w:after="0" w:line="40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kern w:val="2"/>
                <w:sz w:val="24"/>
                <w:szCs w:val="24"/>
              </w:rPr>
              <w:t>（1）大气环境</w:t>
            </w:r>
          </w:p>
          <w:p>
            <w:pPr>
              <w:autoSpaceDE w:val="0"/>
              <w:autoSpaceDN w:val="0"/>
              <w:spacing w:after="0" w:line="40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本项目场界外500米范围内的环境空气保护目标分布情况见表3.2-2。</w:t>
            </w:r>
          </w:p>
          <w:p>
            <w:pPr>
              <w:spacing w:after="0" w:line="420" w:lineRule="exact"/>
              <w:ind w:firstLine="481" w:firstLineChars="200"/>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表3.2-2  本项目环境空气保护目标</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687"/>
              <w:gridCol w:w="873"/>
              <w:gridCol w:w="668"/>
              <w:gridCol w:w="1214"/>
              <w:gridCol w:w="1091"/>
              <w:gridCol w:w="736"/>
              <w:gridCol w:w="1214"/>
              <w:gridCol w:w="11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402" w:type="dxa"/>
                  <w:vMerge w:val="restart"/>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名称</w:t>
                  </w:r>
                </w:p>
              </w:tc>
              <w:tc>
                <w:tcPr>
                  <w:tcW w:w="2228" w:type="dxa"/>
                  <w:gridSpan w:val="3"/>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坐标/m</w:t>
                  </w:r>
                </w:p>
              </w:tc>
              <w:tc>
                <w:tcPr>
                  <w:tcW w:w="1214" w:type="dxa"/>
                  <w:vMerge w:val="restart"/>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保护</w:t>
                  </w:r>
                </w:p>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对象</w:t>
                  </w:r>
                </w:p>
              </w:tc>
              <w:tc>
                <w:tcPr>
                  <w:tcW w:w="1091" w:type="dxa"/>
                  <w:vMerge w:val="restart"/>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保护内容</w:t>
                  </w:r>
                </w:p>
              </w:tc>
              <w:tc>
                <w:tcPr>
                  <w:tcW w:w="736" w:type="dxa"/>
                  <w:vMerge w:val="restart"/>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环境空气二类区</w:t>
                  </w:r>
                </w:p>
              </w:tc>
              <w:tc>
                <w:tcPr>
                  <w:tcW w:w="1214" w:type="dxa"/>
                  <w:vMerge w:val="restart"/>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相对厂址方位</w:t>
                  </w:r>
                </w:p>
              </w:tc>
              <w:tc>
                <w:tcPr>
                  <w:tcW w:w="1187" w:type="dxa"/>
                  <w:vMerge w:val="restart"/>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402"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6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X</w:t>
                  </w:r>
                </w:p>
              </w:tc>
              <w:tc>
                <w:tcPr>
                  <w:tcW w:w="873"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Y</w:t>
                  </w:r>
                </w:p>
              </w:tc>
              <w:tc>
                <w:tcPr>
                  <w:tcW w:w="668"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Z</w:t>
                  </w:r>
                </w:p>
              </w:tc>
              <w:tc>
                <w:tcPr>
                  <w:tcW w:w="1214"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091"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736"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214"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187"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402"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1#散户居民</w:t>
                  </w:r>
                </w:p>
              </w:tc>
              <w:tc>
                <w:tcPr>
                  <w:tcW w:w="6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263</w:t>
                  </w:r>
                </w:p>
              </w:tc>
              <w:tc>
                <w:tcPr>
                  <w:tcW w:w="873"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130</w:t>
                  </w:r>
                </w:p>
              </w:tc>
              <w:tc>
                <w:tcPr>
                  <w:tcW w:w="668"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w:t>
                  </w: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居民</w:t>
                  </w:r>
                </w:p>
              </w:tc>
              <w:tc>
                <w:tcPr>
                  <w:tcW w:w="109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约5人</w:t>
                  </w:r>
                </w:p>
              </w:tc>
              <w:tc>
                <w:tcPr>
                  <w:tcW w:w="736"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EN</w:t>
                  </w:r>
                </w:p>
              </w:tc>
              <w:tc>
                <w:tcPr>
                  <w:tcW w:w="11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402"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2#散户居民</w:t>
                  </w:r>
                </w:p>
              </w:tc>
              <w:tc>
                <w:tcPr>
                  <w:tcW w:w="6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151</w:t>
                  </w:r>
                </w:p>
              </w:tc>
              <w:tc>
                <w:tcPr>
                  <w:tcW w:w="873"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-66</w:t>
                  </w:r>
                </w:p>
              </w:tc>
              <w:tc>
                <w:tcPr>
                  <w:tcW w:w="668"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11</w:t>
                  </w: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居民</w:t>
                  </w:r>
                </w:p>
              </w:tc>
              <w:tc>
                <w:tcPr>
                  <w:tcW w:w="109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约15人</w:t>
                  </w:r>
                </w:p>
              </w:tc>
              <w:tc>
                <w:tcPr>
                  <w:tcW w:w="736"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E</w:t>
                  </w:r>
                </w:p>
              </w:tc>
              <w:tc>
                <w:tcPr>
                  <w:tcW w:w="11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402"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3#散户居民</w:t>
                  </w:r>
                </w:p>
              </w:tc>
              <w:tc>
                <w:tcPr>
                  <w:tcW w:w="6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432</w:t>
                  </w:r>
                </w:p>
              </w:tc>
              <w:tc>
                <w:tcPr>
                  <w:tcW w:w="873"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-46</w:t>
                  </w:r>
                </w:p>
              </w:tc>
              <w:tc>
                <w:tcPr>
                  <w:tcW w:w="668"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13</w:t>
                  </w: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居民</w:t>
                  </w:r>
                </w:p>
              </w:tc>
              <w:tc>
                <w:tcPr>
                  <w:tcW w:w="109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约25人</w:t>
                  </w:r>
                </w:p>
              </w:tc>
              <w:tc>
                <w:tcPr>
                  <w:tcW w:w="736"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E</w:t>
                  </w:r>
                </w:p>
              </w:tc>
              <w:tc>
                <w:tcPr>
                  <w:tcW w:w="11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402"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4#散户居民</w:t>
                  </w:r>
                </w:p>
              </w:tc>
              <w:tc>
                <w:tcPr>
                  <w:tcW w:w="6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315</w:t>
                  </w:r>
                </w:p>
              </w:tc>
              <w:tc>
                <w:tcPr>
                  <w:tcW w:w="873"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120</w:t>
                  </w:r>
                </w:p>
              </w:tc>
              <w:tc>
                <w:tcPr>
                  <w:tcW w:w="668"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14</w:t>
                  </w: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居民</w:t>
                  </w:r>
                </w:p>
              </w:tc>
              <w:tc>
                <w:tcPr>
                  <w:tcW w:w="109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约5人</w:t>
                  </w:r>
                </w:p>
              </w:tc>
              <w:tc>
                <w:tcPr>
                  <w:tcW w:w="736"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E</w:t>
                  </w:r>
                </w:p>
              </w:tc>
              <w:tc>
                <w:tcPr>
                  <w:tcW w:w="11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5#散户居民</w:t>
                  </w:r>
                </w:p>
              </w:tc>
              <w:tc>
                <w:tcPr>
                  <w:tcW w:w="6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570</w:t>
                  </w:r>
                </w:p>
              </w:tc>
              <w:tc>
                <w:tcPr>
                  <w:tcW w:w="873"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123</w:t>
                  </w:r>
                </w:p>
              </w:tc>
              <w:tc>
                <w:tcPr>
                  <w:tcW w:w="668"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w:t>
                  </w: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居民</w:t>
                  </w:r>
                </w:p>
              </w:tc>
              <w:tc>
                <w:tcPr>
                  <w:tcW w:w="109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约100人</w:t>
                  </w:r>
                </w:p>
              </w:tc>
              <w:tc>
                <w:tcPr>
                  <w:tcW w:w="736"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EN</w:t>
                  </w:r>
                </w:p>
              </w:tc>
              <w:tc>
                <w:tcPr>
                  <w:tcW w:w="11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exact"/>
                <w:jc w:val="center"/>
              </w:trPr>
              <w:tc>
                <w:tcPr>
                  <w:tcW w:w="1402"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6#散户居民</w:t>
                  </w:r>
                </w:p>
              </w:tc>
              <w:tc>
                <w:tcPr>
                  <w:tcW w:w="6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500</w:t>
                  </w:r>
                </w:p>
              </w:tc>
              <w:tc>
                <w:tcPr>
                  <w:tcW w:w="873"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-195</w:t>
                  </w:r>
                </w:p>
              </w:tc>
              <w:tc>
                <w:tcPr>
                  <w:tcW w:w="668"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17</w:t>
                  </w: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居民</w:t>
                  </w:r>
                </w:p>
              </w:tc>
              <w:tc>
                <w:tcPr>
                  <w:tcW w:w="109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约5人</w:t>
                  </w:r>
                </w:p>
              </w:tc>
              <w:tc>
                <w:tcPr>
                  <w:tcW w:w="736"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ES</w:t>
                  </w:r>
                </w:p>
              </w:tc>
              <w:tc>
                <w:tcPr>
                  <w:tcW w:w="11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402" w:type="dxa"/>
                  <w:tcBorders>
                    <w:tl2br w:val="nil"/>
                    <w:tr2bl w:val="nil"/>
                  </w:tcBorders>
                  <w:vAlign w:val="center"/>
                </w:tcPr>
                <w:p>
                  <w:pPr>
                    <w:spacing w:after="0" w:line="260" w:lineRule="exact"/>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玉龙佳苑（A、B区）</w:t>
                  </w:r>
                </w:p>
              </w:tc>
              <w:tc>
                <w:tcPr>
                  <w:tcW w:w="6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-308</w:t>
                  </w:r>
                </w:p>
              </w:tc>
              <w:tc>
                <w:tcPr>
                  <w:tcW w:w="873"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268</w:t>
                  </w:r>
                </w:p>
              </w:tc>
              <w:tc>
                <w:tcPr>
                  <w:tcW w:w="668"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w:t>
                  </w: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居民</w:t>
                  </w:r>
                </w:p>
              </w:tc>
              <w:tc>
                <w:tcPr>
                  <w:tcW w:w="1091"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约4080人</w:t>
                  </w:r>
                </w:p>
              </w:tc>
              <w:tc>
                <w:tcPr>
                  <w:tcW w:w="736"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p>
              </w:tc>
              <w:tc>
                <w:tcPr>
                  <w:tcW w:w="1214"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WN</w:t>
                  </w:r>
                </w:p>
              </w:tc>
              <w:tc>
                <w:tcPr>
                  <w:tcW w:w="1187" w:type="dxa"/>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072" w:type="dxa"/>
                  <w:gridSpan w:val="9"/>
                  <w:tcBorders>
                    <w:tl2br w:val="nil"/>
                    <w:tr2bl w:val="nil"/>
                  </w:tcBorders>
                  <w:vAlign w:val="center"/>
                </w:tcPr>
                <w:p>
                  <w:pPr>
                    <w:spacing w:after="0" w:line="26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注：以厂区中心为相对坐标原点（0，0，0），东西向为X坐标轴、南北向为Y坐标轴。</w:t>
                  </w:r>
                </w:p>
              </w:tc>
            </w:tr>
          </w:tbl>
          <w:p>
            <w:pPr>
              <w:autoSpaceDE w:val="0"/>
              <w:autoSpaceDN w:val="0"/>
              <w:spacing w:after="0" w:line="420" w:lineRule="exact"/>
              <w:ind w:firstLine="42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rPr>
              <w:t>1#散户居民、2#散户居民、3#散户居民、4#散户居民、5#散户居民、6#散户居民均位于园区规划范围内，待拆迁。目前1#散户居民楼已闲置，其余散户居民预计年底完成拆迁，具体时限依据征地完成时间而定。</w:t>
            </w:r>
          </w:p>
          <w:p>
            <w:pPr>
              <w:autoSpaceDE w:val="0"/>
              <w:autoSpaceDN w:val="0"/>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（2）声环境</w:t>
            </w:r>
          </w:p>
          <w:p>
            <w:pPr>
              <w:autoSpaceDE w:val="0"/>
              <w:autoSpaceDN w:val="0"/>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本项目厂界外50m范围内声环境保护目标分布情况见表3.2-3。</w:t>
            </w:r>
          </w:p>
          <w:p>
            <w:pPr>
              <w:spacing w:after="0" w:line="420" w:lineRule="exact"/>
              <w:ind w:firstLine="481" w:firstLineChars="200"/>
              <w:jc w:val="center"/>
              <w:rPr>
                <w:rFonts w:hint="default" w:ascii="Times New Roman" w:hAnsi="Times New Roman" w:eastAsia="宋体" w:cs="Times New Roman"/>
                <w:b/>
                <w:bCs/>
                <w:kern w:val="2"/>
                <w:sz w:val="24"/>
                <w:szCs w:val="24"/>
              </w:rPr>
            </w:pPr>
            <w:r>
              <w:rPr>
                <w:rFonts w:hint="default" w:ascii="Times New Roman" w:hAnsi="Times New Roman" w:eastAsia="宋体" w:cs="Times New Roman"/>
                <w:b/>
                <w:bCs/>
                <w:color w:val="auto"/>
                <w:kern w:val="2"/>
                <w:sz w:val="24"/>
                <w:szCs w:val="24"/>
              </w:rPr>
              <w:t>表3.2-3  声环境保护目标调</w:t>
            </w:r>
            <w:r>
              <w:rPr>
                <w:rFonts w:hint="default" w:ascii="Times New Roman" w:hAnsi="Times New Roman" w:eastAsia="宋体" w:cs="Times New Roman"/>
                <w:b/>
                <w:bCs/>
                <w:kern w:val="2"/>
                <w:sz w:val="24"/>
                <w:szCs w:val="24"/>
              </w:rPr>
              <w:t>查</w:t>
            </w:r>
          </w:p>
          <w:tbl>
            <w:tblPr>
              <w:tblStyle w:val="3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929"/>
              <w:gridCol w:w="630"/>
              <w:gridCol w:w="580"/>
              <w:gridCol w:w="560"/>
              <w:gridCol w:w="1110"/>
              <w:gridCol w:w="533"/>
              <w:gridCol w:w="1792"/>
              <w:gridCol w:w="247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462" w:type="dxa"/>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序号</w:t>
                  </w:r>
                </w:p>
              </w:tc>
              <w:tc>
                <w:tcPr>
                  <w:tcW w:w="929" w:type="dxa"/>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声环境保护目标名称</w:t>
                  </w:r>
                </w:p>
              </w:tc>
              <w:tc>
                <w:tcPr>
                  <w:tcW w:w="1770" w:type="dxa"/>
                  <w:gridSpan w:val="3"/>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空间相对位置/m</w:t>
                  </w:r>
                </w:p>
              </w:tc>
              <w:tc>
                <w:tcPr>
                  <w:tcW w:w="1110" w:type="dxa"/>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距东侧厂界最近距离/m</w:t>
                  </w:r>
                </w:p>
              </w:tc>
              <w:tc>
                <w:tcPr>
                  <w:tcW w:w="533" w:type="dxa"/>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方位</w:t>
                  </w:r>
                </w:p>
              </w:tc>
              <w:tc>
                <w:tcPr>
                  <w:tcW w:w="1792" w:type="dxa"/>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执行标准/功能区类别</w:t>
                  </w:r>
                </w:p>
              </w:tc>
              <w:tc>
                <w:tcPr>
                  <w:tcW w:w="2476" w:type="dxa"/>
                  <w:vMerge w:val="restart"/>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声环境保护目标情况说明（声环境保护目标建筑结构、朝向、楼层、周围环境情况）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462" w:type="dxa"/>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rPr>
                  </w:pPr>
                </w:p>
              </w:tc>
              <w:tc>
                <w:tcPr>
                  <w:tcW w:w="929" w:type="dxa"/>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rPr>
                  </w:pPr>
                </w:p>
              </w:tc>
              <w:tc>
                <w:tcPr>
                  <w:tcW w:w="630"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X</w:t>
                  </w:r>
                </w:p>
              </w:tc>
              <w:tc>
                <w:tcPr>
                  <w:tcW w:w="580"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Y</w:t>
                  </w:r>
                </w:p>
              </w:tc>
              <w:tc>
                <w:tcPr>
                  <w:tcW w:w="560"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Z</w:t>
                  </w:r>
                </w:p>
              </w:tc>
              <w:tc>
                <w:tcPr>
                  <w:tcW w:w="1110" w:type="dxa"/>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rPr>
                  </w:pPr>
                </w:p>
              </w:tc>
              <w:tc>
                <w:tcPr>
                  <w:tcW w:w="533" w:type="dxa"/>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rPr>
                  </w:pPr>
                </w:p>
              </w:tc>
              <w:tc>
                <w:tcPr>
                  <w:tcW w:w="1792" w:type="dxa"/>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rPr>
                  </w:pPr>
                </w:p>
              </w:tc>
              <w:tc>
                <w:tcPr>
                  <w:tcW w:w="2476" w:type="dxa"/>
                  <w:vMerge w:val="continue"/>
                  <w:tcBorders>
                    <w:tl2br w:val="nil"/>
                    <w:tr2bl w:val="nil"/>
                  </w:tcBorders>
                  <w:vAlign w:val="center"/>
                </w:tcPr>
                <w:p>
                  <w:pPr>
                    <w:spacing w:after="0"/>
                    <w:jc w:val="center"/>
                    <w:rPr>
                      <w:rFonts w:hint="default" w:ascii="Times New Roman" w:hAnsi="Times New Roman" w:eastAsia="宋体" w:cs="Times New Roman"/>
                      <w:kern w:val="2"/>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46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929"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2#散户居民</w:t>
                  </w:r>
                </w:p>
              </w:tc>
              <w:tc>
                <w:tcPr>
                  <w:tcW w:w="630"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151</w:t>
                  </w:r>
                </w:p>
              </w:tc>
              <w:tc>
                <w:tcPr>
                  <w:tcW w:w="580"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-66</w:t>
                  </w:r>
                </w:p>
              </w:tc>
              <w:tc>
                <w:tcPr>
                  <w:tcW w:w="560"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11</w:t>
                  </w:r>
                </w:p>
              </w:tc>
              <w:tc>
                <w:tcPr>
                  <w:tcW w:w="1110"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50</w:t>
                  </w:r>
                </w:p>
              </w:tc>
              <w:tc>
                <w:tcPr>
                  <w:tcW w:w="533"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w:t>
                  </w:r>
                </w:p>
              </w:tc>
              <w:tc>
                <w:tcPr>
                  <w:tcW w:w="1792" w:type="dxa"/>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《声环境质量标准》（GB3096-2008）3类标准</w:t>
                  </w:r>
                </w:p>
              </w:tc>
              <w:tc>
                <w:tcPr>
                  <w:tcW w:w="2476" w:type="dxa"/>
                  <w:tcBorders>
                    <w:tl2br w:val="nil"/>
                    <w:tr2bl w:val="nil"/>
                  </w:tcBorders>
                  <w:vAlign w:val="center"/>
                </w:tcPr>
                <w:p>
                  <w:pPr>
                    <w:spacing w:after="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三户居民，砖混结构，楼层为3层楼，朝向为西。</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jc w:val="center"/>
              </w:trPr>
              <w:tc>
                <w:tcPr>
                  <w:tcW w:w="9072" w:type="dxa"/>
                  <w:gridSpan w:val="9"/>
                  <w:tcBorders>
                    <w:tl2br w:val="nil"/>
                    <w:tr2bl w:val="nil"/>
                  </w:tcBorders>
                  <w:vAlign w:val="center"/>
                </w:tcPr>
                <w:p>
                  <w:pPr>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注：以厂区中心为相对坐标原点（0，0，0），东西向为X坐标轴、南北向为Y坐标轴。</w:t>
                  </w:r>
                </w:p>
              </w:tc>
            </w:tr>
          </w:tbl>
          <w:p>
            <w:pPr>
              <w:autoSpaceDE w:val="0"/>
              <w:autoSpaceDN w:val="0"/>
              <w:spacing w:after="0" w:line="40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（3）地下水</w:t>
            </w:r>
          </w:p>
          <w:p>
            <w:pPr>
              <w:autoSpaceDE w:val="0"/>
              <w:autoSpaceDN w:val="0"/>
              <w:spacing w:after="0" w:line="40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本项目厂界外500m范围内无地下水集中式饮用水水源和热水、矿泉水、温泉等特殊地下水资源。</w:t>
            </w:r>
          </w:p>
          <w:p>
            <w:pPr>
              <w:autoSpaceDE w:val="0"/>
              <w:autoSpaceDN w:val="0"/>
              <w:spacing w:after="0" w:line="40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（4）生态环境</w:t>
            </w:r>
          </w:p>
          <w:p>
            <w:pPr>
              <w:autoSpaceDE w:val="0"/>
              <w:autoSpaceDN w:val="0"/>
              <w:spacing w:after="0" w:line="40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本项目位于合川区草街街道农创路（合川工业园南溪组团B区内），用地性质为工业用地，不涉及生态保护目标。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0" w:hRule="atLeast"/>
          <w:jc w:val="center"/>
        </w:trPr>
        <w:tc>
          <w:tcPr>
            <w:tcW w:w="9186" w:type="dxa"/>
            <w:tcBorders>
              <w:tl2br w:val="nil"/>
              <w:tr2bl w:val="nil"/>
            </w:tcBorders>
            <w:vAlign w:val="center"/>
          </w:tcPr>
          <w:p>
            <w:pPr>
              <w:spacing w:after="0" w:line="240" w:lineRule="auto"/>
              <w:jc w:val="left"/>
              <w:rPr>
                <w:rFonts w:hint="default" w:ascii="Times New Roman" w:hAnsi="Times New Roman" w:eastAsia="宋体" w:cs="Times New Roman"/>
                <w:kern w:val="2"/>
                <w:sz w:val="24"/>
                <w:szCs w:val="24"/>
              </w:rPr>
            </w:pPr>
            <w:r>
              <w:rPr>
                <w:rFonts w:hint="default" w:ascii="Times New Roman" w:hAnsi="Times New Roman" w:eastAsia="宋体" w:cs="Times New Roman"/>
                <w:b/>
                <w:kern w:val="2"/>
                <w:sz w:val="28"/>
                <w:szCs w:val="28"/>
              </w:rPr>
              <w:t>3.3污染物排放控制标准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5" w:hRule="atLeast"/>
          <w:jc w:val="center"/>
        </w:trPr>
        <w:tc>
          <w:tcPr>
            <w:tcW w:w="9186" w:type="dxa"/>
            <w:tcBorders>
              <w:tl2br w:val="nil"/>
              <w:tr2bl w:val="nil"/>
            </w:tcBorders>
          </w:tcPr>
          <w:p>
            <w:pPr>
              <w:spacing w:after="0" w:line="420" w:lineRule="exact"/>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3.3.1废气污染物排放标准</w:t>
            </w:r>
          </w:p>
          <w:p>
            <w:pPr>
              <w:autoSpaceDE w:val="0"/>
              <w:autoSpaceDN w:val="0"/>
              <w:spacing w:after="0" w:line="420" w:lineRule="exact"/>
              <w:ind w:firstLine="481" w:firstLineChars="200"/>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（一）施工期</w:t>
            </w:r>
          </w:p>
          <w:p>
            <w:pPr>
              <w:autoSpaceDE w:val="0"/>
              <w:autoSpaceDN w:val="0"/>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本项目施工期施工扬尘执行《大气污染物综合排放标准》（DB50/418-2016）表1影响区排放浓度限值。</w:t>
            </w:r>
          </w:p>
          <w:p>
            <w:pPr>
              <w:pStyle w:val="43"/>
              <w:tabs>
                <w:tab w:val="center" w:pos="4060"/>
                <w:tab w:val="right" w:pos="8261"/>
              </w:tabs>
              <w:spacing w:after="0" w:line="400" w:lineRule="exact"/>
              <w:ind w:firstLine="241"/>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表3.3-1  大气污染物排放标准</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765"/>
              <w:gridCol w:w="1461"/>
              <w:gridCol w:w="2277"/>
              <w:gridCol w:w="25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vAlign w:val="center"/>
                </w:tcPr>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973" w:type="pct"/>
                  <w:tcBorders>
                    <w:tl2br w:val="nil"/>
                    <w:tr2bl w:val="nil"/>
                  </w:tcBorders>
                  <w:vAlign w:val="center"/>
                </w:tcPr>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最高允许排放</w:t>
                  </w:r>
                </w:p>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浓度mg/m³</w:t>
                  </w:r>
                </w:p>
              </w:tc>
              <w:tc>
                <w:tcPr>
                  <w:tcW w:w="805" w:type="pct"/>
                  <w:tcBorders>
                    <w:tl2br w:val="nil"/>
                    <w:tr2bl w:val="nil"/>
                  </w:tcBorders>
                  <w:vAlign w:val="center"/>
                </w:tcPr>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最高允许排放速率kg/h</w:t>
                  </w:r>
                </w:p>
              </w:tc>
              <w:tc>
                <w:tcPr>
                  <w:tcW w:w="1254" w:type="pct"/>
                  <w:tcBorders>
                    <w:tl2br w:val="nil"/>
                    <w:tr2bl w:val="nil"/>
                  </w:tcBorders>
                  <w:vAlign w:val="center"/>
                </w:tcPr>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厂界无组织排放监控浓度限值mg/m³</w:t>
                  </w:r>
                </w:p>
              </w:tc>
              <w:tc>
                <w:tcPr>
                  <w:tcW w:w="1392" w:type="pct"/>
                  <w:tcBorders>
                    <w:tl2br w:val="nil"/>
                    <w:tr2bl w:val="nil"/>
                  </w:tcBorders>
                  <w:vAlign w:val="center"/>
                </w:tcPr>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74" w:type="pct"/>
                  <w:tcBorders>
                    <w:tl2br w:val="nil"/>
                    <w:tr2bl w:val="nil"/>
                  </w:tcBorders>
                  <w:vAlign w:val="center"/>
                </w:tcPr>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973" w:type="pct"/>
                  <w:tcBorders>
                    <w:tl2br w:val="nil"/>
                    <w:tr2bl w:val="nil"/>
                  </w:tcBorders>
                  <w:vAlign w:val="center"/>
                </w:tcPr>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c>
                <w:tcPr>
                  <w:tcW w:w="805" w:type="pct"/>
                  <w:tcBorders>
                    <w:tl2br w:val="nil"/>
                    <w:tr2bl w:val="nil"/>
                  </w:tcBorders>
                  <w:vAlign w:val="center"/>
                </w:tcPr>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1254" w:type="pct"/>
                  <w:tcBorders>
                    <w:tl2br w:val="nil"/>
                    <w:tr2bl w:val="nil"/>
                  </w:tcBorders>
                  <w:vAlign w:val="center"/>
                </w:tcPr>
                <w:p>
                  <w:pPr>
                    <w:pStyle w:val="101"/>
                    <w:spacing w:after="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1392" w:type="pct"/>
                  <w:tcBorders>
                    <w:tl2br w:val="nil"/>
                    <w:tr2bl w:val="nil"/>
                  </w:tcBorders>
                  <w:vAlign w:val="center"/>
                </w:tcPr>
                <w:p>
                  <w:pPr>
                    <w:pStyle w:val="101"/>
                    <w:spacing w:after="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《大气污染物综合排放标准》（DB50/418-2016）</w:t>
                  </w:r>
                </w:p>
              </w:tc>
            </w:tr>
          </w:tbl>
          <w:p>
            <w:pPr>
              <w:autoSpaceDE w:val="0"/>
              <w:autoSpaceDN w:val="0"/>
              <w:spacing w:after="0" w:line="420" w:lineRule="exact"/>
              <w:ind w:firstLine="481" w:firstLineChars="200"/>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（二）运营期</w:t>
            </w:r>
          </w:p>
          <w:p>
            <w:pPr>
              <w:autoSpaceDE w:val="0"/>
              <w:autoSpaceDN w:val="0"/>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根据《关于印发在江津合川璧山铜梁等区执行国家大气污染物特别排放限值工作方案的函》(渝环函〔2018〕490号)，本项目所在的合川区需执行国家大气污染物特别排放限值。</w:t>
            </w:r>
          </w:p>
          <w:p>
            <w:pPr>
              <w:spacing w:after="0" w:line="420" w:lineRule="exact"/>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3.3.1.1有组织排放</w:t>
            </w:r>
          </w:p>
          <w:p>
            <w:pPr>
              <w:numPr>
                <w:ilvl w:val="0"/>
                <w:numId w:val="4"/>
              </w:numPr>
              <w:autoSpaceDE w:val="0"/>
              <w:autoSpaceDN w:val="0"/>
              <w:spacing w:after="0" w:line="420" w:lineRule="exact"/>
              <w:ind w:left="440" w:leftChars="200"/>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隔热垫</w:t>
            </w:r>
          </w:p>
          <w:p>
            <w:pPr>
              <w:autoSpaceDE w:val="0"/>
              <w:autoSpaceDN w:val="0"/>
              <w:spacing w:after="0" w:line="420" w:lineRule="exact"/>
              <w:ind w:firstLine="480" w:firstLineChars="200"/>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rPr>
              <w:t>隔热垫包括玻璃纤维气凝胶隔热垫和陶瓷纤维气凝胶隔热垫，</w:t>
            </w:r>
            <w:r>
              <w:rPr>
                <w:rFonts w:hint="default" w:ascii="Times New Roman" w:hAnsi="Times New Roman" w:eastAsia="宋体" w:cs="Times New Roman"/>
                <w:color w:val="auto"/>
                <w:kern w:val="2"/>
                <w:sz w:val="24"/>
                <w:szCs w:val="24"/>
                <w:lang w:eastAsia="zh-CN"/>
              </w:rPr>
              <w:t>原料主要为</w:t>
            </w:r>
            <w:r>
              <w:rPr>
                <w:rFonts w:hint="default" w:ascii="Times New Roman" w:hAnsi="Times New Roman" w:eastAsia="宋体" w:cs="Times New Roman"/>
                <w:color w:val="auto"/>
                <w:kern w:val="2"/>
                <w:sz w:val="24"/>
                <w:szCs w:val="24"/>
              </w:rPr>
              <w:t>玻璃纤维纱</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陶瓷纤维毯</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工艺废气（排气筒编号：DA00</w:t>
            </w:r>
            <w:r>
              <w:rPr>
                <w:rFonts w:hint="default" w:ascii="Times New Roman" w:hAnsi="Times New Roman" w:eastAsia="宋体" w:cs="Times New Roman"/>
                <w:color w:val="auto"/>
                <w:kern w:val="2"/>
                <w:sz w:val="24"/>
                <w:szCs w:val="24"/>
                <w:lang w:val="en-US" w:eastAsia="zh-CN"/>
              </w:rPr>
              <w:t>5</w:t>
            </w:r>
            <w:r>
              <w:rPr>
                <w:rFonts w:hint="default" w:ascii="Times New Roman" w:hAnsi="Times New Roman" w:eastAsia="宋体" w:cs="Times New Roman"/>
                <w:color w:val="auto"/>
                <w:kern w:val="2"/>
                <w:sz w:val="24"/>
                <w:szCs w:val="24"/>
              </w:rPr>
              <w:t>）颗粒物参照执行《大气污染物综合排放标准》(DB50/418-2016)</w:t>
            </w:r>
            <w:r>
              <w:rPr>
                <w:rFonts w:hint="default" w:ascii="Times New Roman" w:hAnsi="Times New Roman" w:eastAsia="宋体" w:cs="Times New Roman"/>
                <w:color w:val="auto"/>
                <w:kern w:val="2"/>
                <w:sz w:val="24"/>
                <w:szCs w:val="24"/>
                <w:lang w:eastAsia="zh-CN"/>
              </w:rPr>
              <w:t>（表</w:t>
            </w:r>
            <w:r>
              <w:rPr>
                <w:rFonts w:hint="default" w:ascii="Times New Roman" w:hAnsi="Times New Roman" w:eastAsia="宋体" w:cs="Times New Roman"/>
                <w:color w:val="auto"/>
                <w:kern w:val="2"/>
                <w:sz w:val="24"/>
                <w:szCs w:val="24"/>
                <w:lang w:val="en-US" w:eastAsia="zh-CN"/>
              </w:rPr>
              <w:t>1 大气污染物排放限值）</w:t>
            </w:r>
            <w:r>
              <w:rPr>
                <w:rFonts w:hint="default" w:ascii="Times New Roman" w:hAnsi="Times New Roman" w:eastAsia="宋体" w:cs="Times New Roman"/>
                <w:color w:val="auto"/>
                <w:kern w:val="2"/>
                <w:sz w:val="24"/>
                <w:szCs w:val="24"/>
                <w:highlight w:val="none"/>
              </w:rPr>
              <w:t>，见表3.3-2</w:t>
            </w:r>
            <w:r>
              <w:rPr>
                <w:rFonts w:hint="default" w:ascii="Times New Roman" w:hAnsi="Times New Roman" w:eastAsia="宋体" w:cs="Times New Roman"/>
                <w:color w:val="auto"/>
                <w:sz w:val="24"/>
                <w:highlight w:val="none"/>
              </w:rPr>
              <w:t>。</w:t>
            </w:r>
          </w:p>
          <w:p>
            <w:pPr>
              <w:autoSpaceDE w:val="0"/>
              <w:autoSpaceDN w:val="0"/>
              <w:spacing w:after="0" w:line="420" w:lineRule="exact"/>
              <w:ind w:left="440" w:left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rPr>
              <w:t>）电器盒壳体注塑件</w:t>
            </w:r>
          </w:p>
          <w:p>
            <w:pPr>
              <w:autoSpaceDE w:val="0"/>
              <w:autoSpaceDN w:val="0"/>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电器盒壳体注塑件原料为PA66（聚酰胺66或尼龙66）、TPE（合成橡胶）。PA66主要成分为聚己二酰己二胺，TPE（合成橡胶）主要成分为</w:t>
            </w:r>
            <w:r>
              <w:rPr>
                <w:rFonts w:hint="default" w:ascii="Times New Roman" w:hAnsi="Times New Roman" w:eastAsia="宋体" w:cs="Times New Roman"/>
                <w:color w:val="auto"/>
                <w:kern w:val="2"/>
                <w:sz w:val="24"/>
                <w:szCs w:val="24"/>
                <w:lang w:bidi="ar"/>
              </w:rPr>
              <w:t>1，1，2，2-</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"https://baike.so.com/doc/6871311-7088758.html" \t "https://baike.so.com/doc/_blank"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kern w:val="2"/>
                <w:sz w:val="24"/>
                <w:szCs w:val="24"/>
                <w:lang w:bidi="ar"/>
              </w:rPr>
              <w:t>四苯乙烯</w:t>
            </w:r>
            <w:r>
              <w:rPr>
                <w:rFonts w:hint="default" w:ascii="Times New Roman" w:hAnsi="Times New Roman" w:eastAsia="宋体" w:cs="Times New Roman"/>
                <w:color w:val="auto"/>
                <w:kern w:val="2"/>
                <w:sz w:val="24"/>
                <w:szCs w:val="24"/>
                <w:lang w:bidi="ar"/>
              </w:rPr>
              <w:fldChar w:fldCharType="end"/>
            </w:r>
            <w:r>
              <w:rPr>
                <w:rFonts w:hint="default" w:ascii="Times New Roman" w:hAnsi="Times New Roman" w:eastAsia="宋体" w:cs="Times New Roman"/>
                <w:color w:val="auto"/>
                <w:kern w:val="2"/>
                <w:sz w:val="24"/>
                <w:szCs w:val="24"/>
                <w:lang w:bidi="ar"/>
              </w:rPr>
              <w:t>。</w:t>
            </w:r>
            <w:r>
              <w:rPr>
                <w:rFonts w:hint="default" w:ascii="Times New Roman" w:hAnsi="Times New Roman" w:eastAsia="宋体" w:cs="Times New Roman"/>
                <w:color w:val="auto"/>
                <w:kern w:val="2"/>
                <w:sz w:val="24"/>
                <w:szCs w:val="24"/>
              </w:rPr>
              <w:t>注塑过程中产生挥发性有机物(本评价以非甲烷总烃计）。工艺废气（排气筒编号：DA001）非甲烷总烃（NMHC）、颗粒物参照执行《合成树脂工业污染物排放标准》(GB 31572-2015)（表5 大气污染物特别排放限值），见表3.3-</w:t>
            </w:r>
            <w:r>
              <w:rPr>
                <w:rFonts w:hint="default" w:ascii="Times New Roman" w:hAnsi="Times New Roman" w:eastAsia="宋体" w:cs="Times New Roman"/>
                <w:color w:val="auto"/>
                <w:kern w:val="2"/>
                <w:sz w:val="24"/>
                <w:szCs w:val="24"/>
                <w:lang w:val="en-US" w:eastAsia="zh-CN"/>
              </w:rPr>
              <w:t>3</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sz w:val="24"/>
              </w:rPr>
              <w:t>氨、臭气浓度执行GB14554-93《恶臭污染物排放标准》表2中排放限值，见表</w:t>
            </w:r>
            <w:r>
              <w:rPr>
                <w:rFonts w:hint="default" w:ascii="Times New Roman" w:hAnsi="Times New Roman" w:eastAsia="宋体" w:cs="Times New Roman"/>
                <w:color w:val="auto"/>
                <w:kern w:val="2"/>
                <w:sz w:val="24"/>
                <w:szCs w:val="24"/>
              </w:rPr>
              <w:t>3.3-</w:t>
            </w:r>
            <w:r>
              <w:rPr>
                <w:rFonts w:hint="default" w:ascii="Times New Roman" w:hAnsi="Times New Roman" w:eastAsia="宋体" w:cs="Times New Roman"/>
                <w:color w:val="auto"/>
                <w:kern w:val="2"/>
                <w:sz w:val="24"/>
                <w:szCs w:val="24"/>
                <w:lang w:val="en-US" w:eastAsia="zh-CN"/>
              </w:rPr>
              <w:t>5</w:t>
            </w:r>
            <w:r>
              <w:rPr>
                <w:rFonts w:hint="default" w:ascii="Times New Roman" w:hAnsi="Times New Roman" w:eastAsia="宋体" w:cs="Times New Roman"/>
                <w:color w:val="auto"/>
                <w:sz w:val="24"/>
              </w:rPr>
              <w:t>。</w:t>
            </w:r>
          </w:p>
          <w:p>
            <w:pPr>
              <w:autoSpaceDE w:val="0"/>
              <w:autoSpaceDN w:val="0"/>
              <w:spacing w:after="0" w:line="40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val="en-US" w:eastAsia="zh-CN"/>
              </w:rPr>
              <w:t>3</w:t>
            </w:r>
            <w:r>
              <w:rPr>
                <w:rFonts w:hint="default" w:ascii="Times New Roman" w:hAnsi="Times New Roman" w:eastAsia="宋体" w:cs="Times New Roman"/>
                <w:color w:val="auto"/>
                <w:kern w:val="2"/>
                <w:sz w:val="24"/>
                <w:szCs w:val="24"/>
              </w:rPr>
              <w:t>）连接器密封件</w:t>
            </w:r>
          </w:p>
          <w:p>
            <w:pPr>
              <w:autoSpaceDE w:val="0"/>
              <w:autoSpaceDN w:val="0"/>
              <w:spacing w:after="0" w:line="4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2"/>
                <w:sz w:val="24"/>
                <w:szCs w:val="24"/>
              </w:rPr>
              <w:t>本项目连接器密封件作为汽车玻璃升降机和汽车线束必不可少零部件，其生产工艺涉及橡胶加工密炼、开炼、成型等工序，根据HJ1097-2020《污染源源强核算技术指南  汽车制造》和HJ971-2018《排污许可证申请与核发技术规范  汽车制造业》，无该橡胶加工污染物排放标准，故按照HJ1122-2020《排污许可证申请与核发技术规范  橡胶和塑料制品工业》的规定，参照执行GB27632-2011《橡胶制品工业污染物排放标准》。即工艺废气（排气筒编号：DA002、DA003、DA004）污染物中颗粒物、非甲烷总烃（NMHC）参照执行GB27632-2011《橡胶制品工业污染物排放标准》表5 新建企业大气污染物排放限值，见表3.3-</w:t>
            </w:r>
            <w:r>
              <w:rPr>
                <w:rFonts w:hint="default" w:ascii="Times New Roman" w:hAnsi="Times New Roman" w:eastAsia="宋体" w:cs="Times New Roman"/>
                <w:color w:val="auto"/>
                <w:kern w:val="2"/>
                <w:sz w:val="24"/>
                <w:szCs w:val="24"/>
                <w:lang w:val="en-US" w:eastAsia="zh-CN"/>
              </w:rPr>
              <w:t>4</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sz w:val="24"/>
              </w:rPr>
              <w:t>二硫化碳、硫化氢、臭气浓度执行GB14554-93《恶臭污染物排放标准》表2中排放限值，见表</w:t>
            </w:r>
            <w:r>
              <w:rPr>
                <w:rFonts w:hint="default" w:ascii="Times New Roman" w:hAnsi="Times New Roman" w:eastAsia="宋体" w:cs="Times New Roman"/>
                <w:color w:val="auto"/>
                <w:kern w:val="2"/>
                <w:sz w:val="24"/>
                <w:szCs w:val="24"/>
              </w:rPr>
              <w:t>3.3-</w:t>
            </w:r>
            <w:r>
              <w:rPr>
                <w:rFonts w:hint="default" w:ascii="Times New Roman" w:hAnsi="Times New Roman" w:eastAsia="宋体" w:cs="Times New Roman"/>
                <w:color w:val="auto"/>
                <w:kern w:val="2"/>
                <w:sz w:val="24"/>
                <w:szCs w:val="24"/>
                <w:lang w:val="en-US" w:eastAsia="zh-CN"/>
              </w:rPr>
              <w:t>5</w:t>
            </w:r>
            <w:r>
              <w:rPr>
                <w:rFonts w:hint="default" w:ascii="Times New Roman" w:hAnsi="Times New Roman" w:eastAsia="宋体" w:cs="Times New Roman"/>
                <w:color w:val="auto"/>
                <w:sz w:val="24"/>
              </w:rPr>
              <w:t>。</w:t>
            </w:r>
          </w:p>
          <w:p>
            <w:pPr>
              <w:autoSpaceDE w:val="0"/>
              <w:autoSpaceDN w:val="0"/>
              <w:spacing w:after="0" w:line="4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其他说明：</w:t>
            </w:r>
          </w:p>
          <w:p>
            <w:pPr>
              <w:autoSpaceDE w:val="0"/>
              <w:autoSpaceDN w:val="0"/>
              <w:spacing w:after="0" w:line="4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依据环函〔2014〕244号《关于橡胶（轮胎）行业执行标准问题的复函》：A、GB27632-2011《橡胶制品工业污染物排放标准》中基准排气量针对具体装置，考虑到企业对生胶可能需经过多次重复炼胶，基准排气量可以将计算炼胶次数后的总气量作为企业排气量进行核算。B、炼胶和硫化装置分别考核基准排气量。</w:t>
            </w:r>
          </w:p>
          <w:p>
            <w:pPr>
              <w:autoSpaceDE w:val="0"/>
              <w:autoSpaceDN w:val="0"/>
              <w:spacing w:after="0" w:line="4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依据渝环〔2014〕185号《关于轮胎制造等橡胶制品工业企业大气污染物排放执行标准问题的批复》：因GB27632-2011《橡胶制品工业污染物排放标准》发布时间晚于DB50/418-2012《重庆市大气污染物综合排放标准》（以下简称“地方标准”），橡胶制品工业污染物排放限值在《重庆市大气污染物综合排放标准》中未作出明确规定。按照地方标准编制中“综合排放标准和行业排放标准不交叉执行的原则”，橡胶制品工业应执行国家行业标准GB27632-2011。</w:t>
            </w:r>
          </w:p>
          <w:p>
            <w:pPr>
              <w:autoSpaceDE w:val="0"/>
              <w:autoSpaceDN w:val="0"/>
              <w:spacing w:after="0" w:line="4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本项目从事汽车零配件产品生产，不属于橡胶制品工业，但汽车零配件加工工序涉及橡胶加工，工艺废气参照执行GB27632-2011《橡胶制品工业污染物排放标准》。</w:t>
            </w:r>
          </w:p>
          <w:p>
            <w:pPr>
              <w:spacing w:after="0" w:line="400" w:lineRule="exact"/>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3.3.1.2无组织排放</w:t>
            </w:r>
          </w:p>
          <w:p>
            <w:pPr>
              <w:autoSpaceDE w:val="0"/>
              <w:autoSpaceDN w:val="0"/>
              <w:spacing w:after="0" w:line="400" w:lineRule="exact"/>
              <w:ind w:firstLine="480" w:firstLineChars="200"/>
              <w:rPr>
                <w:rFonts w:hint="default" w:ascii="Times New Roman" w:hAnsi="Times New Roman" w:eastAsia="宋体" w:cs="Times New Roman"/>
                <w:bCs/>
                <w:color w:val="auto"/>
                <w:sz w:val="24"/>
                <w:szCs w:val="24"/>
                <w:lang w:bidi="ar"/>
              </w:rPr>
            </w:pPr>
            <w:r>
              <w:rPr>
                <w:rFonts w:hint="default" w:ascii="Times New Roman" w:hAnsi="Times New Roman" w:eastAsia="宋体" w:cs="Times New Roman"/>
                <w:color w:val="auto"/>
                <w:kern w:val="2"/>
                <w:sz w:val="24"/>
                <w:szCs w:val="24"/>
              </w:rPr>
              <w:t>对照《合成树脂工业污染物排放标准》(GB 31572-2015)、</w:t>
            </w:r>
            <w:r>
              <w:rPr>
                <w:rFonts w:hint="default" w:ascii="Times New Roman" w:hAnsi="Times New Roman" w:eastAsia="宋体" w:cs="Times New Roman"/>
                <w:bCs/>
                <w:color w:val="auto"/>
                <w:sz w:val="24"/>
                <w:szCs w:val="24"/>
              </w:rPr>
              <w:t>《橡胶制品工业污染物排放标准》(GB27632-2011)、</w:t>
            </w:r>
            <w:r>
              <w:rPr>
                <w:rFonts w:hint="default" w:ascii="Times New Roman" w:hAnsi="Times New Roman" w:eastAsia="宋体" w:cs="Times New Roman"/>
                <w:color w:val="auto"/>
                <w:kern w:val="2"/>
                <w:sz w:val="24"/>
                <w:szCs w:val="24"/>
              </w:rPr>
              <w:t>《大气污染物综合排放标准》(DB50/418-2016)，</w:t>
            </w:r>
            <w:r>
              <w:rPr>
                <w:rFonts w:hint="default" w:ascii="Times New Roman" w:hAnsi="Times New Roman" w:eastAsia="宋体" w:cs="Times New Roman"/>
                <w:bCs/>
                <w:color w:val="auto"/>
                <w:sz w:val="24"/>
                <w:szCs w:val="24"/>
              </w:rPr>
              <w:t>颗粒物、非甲烷总烃的无组织排放控制值基本一致，故</w:t>
            </w:r>
            <w:r>
              <w:rPr>
                <w:rFonts w:hint="default" w:ascii="Times New Roman" w:hAnsi="Times New Roman" w:eastAsia="宋体" w:cs="Times New Roman"/>
                <w:color w:val="auto"/>
                <w:kern w:val="2"/>
                <w:sz w:val="24"/>
                <w:szCs w:val="24"/>
              </w:rPr>
              <w:t>本项目颗粒物、非甲烷总烃厂界无组织排放控制标准执行DB50/418-2016《大气污染物综合排放标准》表1中排放限值，见表</w:t>
            </w:r>
            <w:r>
              <w:rPr>
                <w:rFonts w:hint="default" w:ascii="Times New Roman" w:hAnsi="Times New Roman" w:eastAsia="宋体" w:cs="Times New Roman"/>
                <w:color w:val="auto"/>
                <w:sz w:val="24"/>
              </w:rPr>
              <w:t>3.3-6；二硫化碳、硫化氢、臭气浓度、氨厂界无组织排放执行GB14554-93《恶臭污染物排放标准》表1恶臭污染物厂界标准值二级标准（新扩改建），见表3.3-</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w:t>
            </w:r>
          </w:p>
          <w:p>
            <w:pPr>
              <w:spacing w:after="0" w:line="420" w:lineRule="exac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表3.3-2  参照执行的《大气污染物综合排放标准》(DB50/418-2016)</w:t>
            </w:r>
          </w:p>
          <w:tbl>
            <w:tblPr>
              <w:tblStyle w:val="31"/>
              <w:tblW w:w="490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607"/>
              <w:gridCol w:w="573"/>
              <w:gridCol w:w="1179"/>
              <w:gridCol w:w="1848"/>
              <w:gridCol w:w="1541"/>
              <w:gridCol w:w="2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2180" w:type="dxa"/>
                  <w:gridSpan w:val="2"/>
                  <w:vMerge w:val="restart"/>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179" w:type="dxa"/>
                  <w:vMerge w:val="restart"/>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排放限值（</w:t>
                  </w:r>
                  <w:r>
                    <w:rPr>
                      <w:rFonts w:hint="default" w:ascii="Times New Roman" w:hAnsi="Times New Roman" w:eastAsia="宋体" w:cs="Times New Roman"/>
                      <w:bCs/>
                      <w:color w:val="auto"/>
                      <w:sz w:val="21"/>
                      <w:szCs w:val="21"/>
                    </w:rPr>
                    <w:t>mg/m³</w:t>
                  </w:r>
                  <w:r>
                    <w:rPr>
                      <w:rFonts w:hint="default" w:ascii="Times New Roman" w:hAnsi="Times New Roman" w:eastAsia="宋体" w:cs="Times New Roman"/>
                      <w:color w:val="auto"/>
                      <w:sz w:val="21"/>
                      <w:szCs w:val="21"/>
                    </w:rPr>
                    <w:t>）</w:t>
                  </w:r>
                </w:p>
              </w:tc>
              <w:tc>
                <w:tcPr>
                  <w:tcW w:w="5536" w:type="dxa"/>
                  <w:gridSpan w:val="3"/>
                  <w:tcBorders>
                    <w:tl2br w:val="nil"/>
                    <w:tr2bl w:val="nil"/>
                  </w:tcBorders>
                  <w:vAlign w:val="center"/>
                </w:tcPr>
                <w:p>
                  <w:pPr>
                    <w:spacing w:after="0" w:line="260" w:lineRule="exact"/>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与排气筒高度对应的大气污染物最高允许排放速率（</w:t>
                  </w:r>
                  <w:r>
                    <w:rPr>
                      <w:rFonts w:hint="default" w:ascii="Times New Roman" w:hAnsi="Times New Roman" w:eastAsia="宋体" w:cs="Times New Roman"/>
                      <w:color w:val="auto"/>
                      <w:sz w:val="21"/>
                      <w:szCs w:val="21"/>
                      <w:lang w:val="en-US" w:eastAsia="zh-CN"/>
                    </w:rPr>
                    <w:t>kg/h</w:t>
                  </w:r>
                  <w:r>
                    <w:rPr>
                      <w:rFonts w:hint="default" w:ascii="Times New Roman" w:hAnsi="Times New Roman" w:eastAsia="宋体"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2180" w:type="dxa"/>
                  <w:gridSpan w:val="2"/>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rPr>
                  </w:pPr>
                </w:p>
              </w:tc>
              <w:tc>
                <w:tcPr>
                  <w:tcW w:w="1179"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rPr>
                  </w:pPr>
                </w:p>
              </w:tc>
              <w:tc>
                <w:tcPr>
                  <w:tcW w:w="1848"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20m</w:t>
                  </w:r>
                </w:p>
              </w:tc>
              <w:tc>
                <w:tcPr>
                  <w:tcW w:w="1541"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25m</w:t>
                  </w:r>
                </w:p>
              </w:tc>
              <w:tc>
                <w:tcPr>
                  <w:tcW w:w="2147"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07"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玻璃棉尘、石英粉尘、矿渣棉尘</w:t>
                  </w:r>
                </w:p>
              </w:tc>
              <w:tc>
                <w:tcPr>
                  <w:tcW w:w="573"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影响区</w:t>
                  </w:r>
                </w:p>
              </w:tc>
              <w:tc>
                <w:tcPr>
                  <w:tcW w:w="1179"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848"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c>
                <w:tcPr>
                  <w:tcW w:w="1541"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5.35</w:t>
                  </w:r>
                </w:p>
              </w:tc>
              <w:tc>
                <w:tcPr>
                  <w:tcW w:w="2147"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w:t>
                  </w:r>
                </w:p>
              </w:tc>
            </w:tr>
          </w:tbl>
          <w:p>
            <w:pPr>
              <w:spacing w:after="0" w:line="420" w:lineRule="exac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表3.3-</w:t>
            </w: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参照执行的《合成树脂工业污染物排放标准》(GB31572-2015)</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320"/>
              <w:gridCol w:w="2690"/>
              <w:gridCol w:w="3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32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69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排放限值（</w:t>
                  </w:r>
                  <w:r>
                    <w:rPr>
                      <w:rFonts w:hint="default" w:ascii="Times New Roman" w:hAnsi="Times New Roman" w:eastAsia="宋体" w:cs="Times New Roman"/>
                      <w:bCs/>
                      <w:color w:val="auto"/>
                      <w:sz w:val="21"/>
                      <w:szCs w:val="21"/>
                    </w:rPr>
                    <w:t>mg/m³</w:t>
                  </w:r>
                  <w:r>
                    <w:rPr>
                      <w:rFonts w:hint="default" w:ascii="Times New Roman" w:hAnsi="Times New Roman" w:eastAsia="宋体" w:cs="Times New Roman"/>
                      <w:color w:val="auto"/>
                      <w:sz w:val="21"/>
                      <w:szCs w:val="21"/>
                    </w:rPr>
                    <w:t>）</w:t>
                  </w:r>
                </w:p>
              </w:tc>
              <w:tc>
                <w:tcPr>
                  <w:tcW w:w="3062"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32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69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062" w:type="dxa"/>
                  <w:vMerge w:val="restart"/>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车间或生产设施排气筒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32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非甲烷总烃（NMHC）</w:t>
                  </w:r>
                </w:p>
              </w:tc>
              <w:tc>
                <w:tcPr>
                  <w:tcW w:w="269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3062"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32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269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062" w:type="dxa"/>
                  <w:vMerge w:val="continue"/>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32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单位产品NMHC排放量</w:t>
                  </w:r>
                </w:p>
              </w:tc>
              <w:tc>
                <w:tcPr>
                  <w:tcW w:w="269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0.3kg/t产品</w:t>
                  </w:r>
                </w:p>
              </w:tc>
              <w:tc>
                <w:tcPr>
                  <w:tcW w:w="3062"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所有合成树脂</w:t>
                  </w:r>
                </w:p>
              </w:tc>
            </w:tr>
          </w:tbl>
          <w:p>
            <w:pPr>
              <w:spacing w:after="0" w:line="420" w:lineRule="exac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表3.3-</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参照执行的《橡胶制品工业污染物排放标准》（GB27632-2011）</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83"/>
              <w:gridCol w:w="3304"/>
              <w:gridCol w:w="1150"/>
              <w:gridCol w:w="1418"/>
              <w:gridCol w:w="18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83"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3304"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生产工艺或设施</w:t>
                  </w:r>
                </w:p>
              </w:tc>
              <w:tc>
                <w:tcPr>
                  <w:tcW w:w="115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排放限值（</w:t>
                  </w:r>
                  <w:r>
                    <w:rPr>
                      <w:rFonts w:hint="default" w:ascii="Times New Roman" w:hAnsi="Times New Roman" w:eastAsia="宋体" w:cs="Times New Roman"/>
                      <w:bCs/>
                      <w:color w:val="auto"/>
                      <w:sz w:val="21"/>
                      <w:szCs w:val="21"/>
                    </w:rPr>
                    <w:t>mg/m³</w:t>
                  </w:r>
                  <w:r>
                    <w:rPr>
                      <w:rFonts w:hint="default" w:ascii="Times New Roman" w:hAnsi="Times New Roman" w:eastAsia="宋体" w:cs="Times New Roman"/>
                      <w:color w:val="auto"/>
                      <w:sz w:val="21"/>
                      <w:szCs w:val="21"/>
                    </w:rPr>
                    <w:t>）</w:t>
                  </w:r>
                </w:p>
              </w:tc>
              <w:tc>
                <w:tcPr>
                  <w:tcW w:w="141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基准排气量</w:t>
                  </w:r>
                </w:p>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（m³/t胶）</w:t>
                  </w:r>
                </w:p>
              </w:tc>
              <w:tc>
                <w:tcPr>
                  <w:tcW w:w="1817"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w:t>
                  </w:r>
                </w:p>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383"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3304"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轮胎企业及其他制品企业炼胶装置</w:t>
                  </w:r>
                </w:p>
              </w:tc>
              <w:tc>
                <w:tcPr>
                  <w:tcW w:w="115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41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817" w:type="dxa"/>
                  <w:vMerge w:val="restart"/>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车间或生产设施</w:t>
                  </w:r>
                </w:p>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83"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（NMHC）</w:t>
                  </w:r>
                </w:p>
              </w:tc>
              <w:tc>
                <w:tcPr>
                  <w:tcW w:w="3304" w:type="dxa"/>
                  <w:tcBorders>
                    <w:tl2br w:val="nil"/>
                    <w:tr2bl w:val="nil"/>
                  </w:tcBorders>
                  <w:vAlign w:val="center"/>
                </w:tcPr>
                <w:p>
                  <w:pPr>
                    <w:spacing w:after="0" w:line="30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轮胎企业及其他制品企业炼胶、硫化装置</w:t>
                  </w:r>
                </w:p>
              </w:tc>
              <w:tc>
                <w:tcPr>
                  <w:tcW w:w="115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41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817" w:type="dxa"/>
                  <w:vMerge w:val="continue"/>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072" w:type="dxa"/>
                  <w:gridSpan w:val="5"/>
                  <w:tcBorders>
                    <w:tl2br w:val="nil"/>
                    <w:tr2bl w:val="nil"/>
                  </w:tcBorders>
                  <w:vAlign w:val="center"/>
                </w:tcPr>
                <w:p>
                  <w:pPr>
                    <w:spacing w:after="0"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参照GB27632-2011中4.2.7：所有排气筒高度应不低于15m。</w:t>
                  </w:r>
                </w:p>
                <w:p>
                  <w:pPr>
                    <w:spacing w:after="0" w:line="3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参照《&lt;橡胶制品工业污染物排放标准&gt;（征求意见稿）编制说明》中5.5.2大气污染物排放标准说明：橡胶制品工业的颗粒物包括炭黑尘和一般工业粉尘。本项目连接器密封件生产原料涉及炭黑，不属于橡胶制品工业，</w:t>
                  </w:r>
                  <w:r>
                    <w:rPr>
                      <w:rFonts w:hint="default" w:ascii="Times New Roman" w:hAnsi="Times New Roman" w:eastAsia="宋体" w:cs="Times New Roman"/>
                      <w:bCs/>
                      <w:color w:val="auto"/>
                      <w:sz w:val="21"/>
                      <w:szCs w:val="21"/>
                    </w:rPr>
                    <w:t>但连接器密封件加工工序涉及橡胶加工，</w:t>
                  </w:r>
                  <w:r>
                    <w:rPr>
                      <w:rFonts w:hint="default" w:ascii="Times New Roman" w:hAnsi="Times New Roman" w:eastAsia="宋体" w:cs="Times New Roman"/>
                      <w:color w:val="auto"/>
                      <w:sz w:val="21"/>
                      <w:szCs w:val="21"/>
                    </w:rPr>
                    <w:t>炭黑尘</w:t>
                  </w:r>
                  <w:r>
                    <w:rPr>
                      <w:rFonts w:hint="default" w:ascii="Times New Roman" w:hAnsi="Times New Roman" w:eastAsia="宋体" w:cs="Times New Roman"/>
                      <w:bCs/>
                      <w:color w:val="auto"/>
                      <w:sz w:val="21"/>
                      <w:szCs w:val="21"/>
                    </w:rPr>
                    <w:t>参照执行</w:t>
                  </w:r>
                  <w:r>
                    <w:rPr>
                      <w:rFonts w:hint="default" w:ascii="Times New Roman" w:hAnsi="Times New Roman" w:eastAsia="宋体" w:cs="Times New Roman"/>
                      <w:color w:val="auto"/>
                      <w:sz w:val="21"/>
                      <w:szCs w:val="21"/>
                    </w:rPr>
                    <w:t>GB27632-2011，故不单独计算炭黑尘。</w:t>
                  </w:r>
                </w:p>
                <w:p>
                  <w:pPr>
                    <w:spacing w:after="0" w:line="300" w:lineRule="exact"/>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3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参照《&lt;橡胶制品工业污染物排放标准&gt;（征求意见稿）编制说明》中5.5.2大气污染物排放标准说明：氨是乳胶制品企业的其他污染物。本项目连接器密封件生产原料不涉及乳胶，故本次评价不考虑将氨作为其他污染物</w:t>
                  </w:r>
                </w:p>
              </w:tc>
            </w:tr>
          </w:tbl>
          <w:p>
            <w:pPr>
              <w:spacing w:after="0" w:line="420" w:lineRule="exac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表3.3-</w:t>
            </w: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 xml:space="preserve">  恶臭污染物排放标准值（GB14554-93）</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050"/>
              <w:gridCol w:w="1760"/>
              <w:gridCol w:w="5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0" w:hRule="atLeast"/>
                <w:jc w:val="center"/>
              </w:trPr>
              <w:tc>
                <w:tcPr>
                  <w:tcW w:w="205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176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排气筒高度（m）</w:t>
                  </w:r>
                </w:p>
              </w:tc>
              <w:tc>
                <w:tcPr>
                  <w:tcW w:w="5262"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0" w:hRule="atLeast"/>
                <w:jc w:val="center"/>
              </w:trPr>
              <w:tc>
                <w:tcPr>
                  <w:tcW w:w="205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76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262"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05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w:t>
                  </w:r>
                </w:p>
              </w:tc>
              <w:tc>
                <w:tcPr>
                  <w:tcW w:w="176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262"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5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tc>
              <w:tc>
                <w:tcPr>
                  <w:tcW w:w="176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262"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6000（无量纲）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5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1760"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262" w:type="dxa"/>
                  <w:tcBorders>
                    <w:tl2br w:val="nil"/>
                    <w:tr2bl w:val="nil"/>
                  </w:tcBorders>
                  <w:vAlign w:val="center"/>
                </w:tcPr>
                <w:p>
                  <w:pPr>
                    <w:spacing w:after="0" w:line="2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r>
          </w:tbl>
          <w:p>
            <w:pPr>
              <w:spacing w:before="120" w:beforeLines="50" w:after="0" w:line="420" w:lineRule="exac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表3.3-</w:t>
            </w:r>
            <w:r>
              <w:rPr>
                <w:rFonts w:hint="default"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 xml:space="preserve">  恶臭污染物厂界标准值（GB14554-93）</w:t>
            </w:r>
          </w:p>
          <w:tbl>
            <w:tblPr>
              <w:tblStyle w:val="31"/>
              <w:tblW w:w="480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820"/>
              <w:gridCol w:w="1390"/>
              <w:gridCol w:w="1650"/>
              <w:gridCol w:w="1430"/>
              <w:gridCol w:w="1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2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139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65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w:t>
                  </w:r>
                </w:p>
              </w:tc>
              <w:tc>
                <w:tcPr>
                  <w:tcW w:w="143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tc>
              <w:tc>
                <w:tcPr>
                  <w:tcW w:w="143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82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二级-排放限值（</w:t>
                  </w:r>
                  <w:r>
                    <w:rPr>
                      <w:rFonts w:hint="default" w:ascii="Times New Roman" w:hAnsi="Times New Roman" w:eastAsia="宋体" w:cs="Times New Roman"/>
                      <w:bCs/>
                      <w:color w:val="auto"/>
                      <w:sz w:val="21"/>
                      <w:szCs w:val="21"/>
                    </w:rPr>
                    <w:t>mg/m³</w:t>
                  </w:r>
                  <w:r>
                    <w:rPr>
                      <w:rFonts w:hint="default" w:ascii="Times New Roman" w:hAnsi="Times New Roman" w:eastAsia="宋体" w:cs="Times New Roman"/>
                      <w:color w:val="auto"/>
                      <w:sz w:val="21"/>
                      <w:szCs w:val="21"/>
                    </w:rPr>
                    <w:t>）</w:t>
                  </w:r>
                </w:p>
              </w:tc>
              <w:tc>
                <w:tcPr>
                  <w:tcW w:w="139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165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43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20（无量纲）</w:t>
                  </w:r>
                </w:p>
              </w:tc>
              <w:tc>
                <w:tcPr>
                  <w:tcW w:w="143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bl>
          <w:p>
            <w:pPr>
              <w:spacing w:before="120" w:beforeLines="50" w:after="0" w:line="420" w:lineRule="exac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表3.3-</w:t>
            </w:r>
            <w:r>
              <w:rPr>
                <w:rFonts w:hint="default"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rPr>
              <w:t xml:space="preserve">  厂界无组织排放限值</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557"/>
              <w:gridCol w:w="2325"/>
              <w:gridCol w:w="2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69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373"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293"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69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无组织排放监控点浓度限值（</w:t>
                  </w:r>
                  <w:r>
                    <w:rPr>
                      <w:rFonts w:hint="default" w:ascii="Times New Roman" w:hAnsi="Times New Roman" w:eastAsia="宋体" w:cs="Times New Roman"/>
                      <w:bCs/>
                      <w:color w:val="auto"/>
                      <w:sz w:val="21"/>
                      <w:szCs w:val="21"/>
                    </w:rPr>
                    <w:t>mg/m³</w:t>
                  </w:r>
                  <w:r>
                    <w:rPr>
                      <w:rFonts w:hint="default" w:ascii="Times New Roman" w:hAnsi="Times New Roman" w:eastAsia="宋体" w:cs="Times New Roman"/>
                      <w:color w:val="auto"/>
                      <w:sz w:val="21"/>
                      <w:szCs w:val="21"/>
                    </w:rPr>
                    <w:t>）</w:t>
                  </w:r>
                </w:p>
              </w:tc>
              <w:tc>
                <w:tcPr>
                  <w:tcW w:w="1373"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293"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pPr>
              <w:spacing w:after="0" w:line="420" w:lineRule="exact"/>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3.3.2废水</w:t>
            </w:r>
          </w:p>
          <w:p>
            <w:pPr>
              <w:autoSpaceDE w:val="0"/>
              <w:autoSpaceDN w:val="0"/>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食堂废水经隔油沉渣池预处理，与其他生活污水、地面清洁废水一并排入厂区新建生化池处理达GB8978-1996三级标准，经市政污水管网排入农创园污水处理厂进一步处理达《城镇污水处理厂污染物排放标准》（GB18918-2002）一级B标准后排入嘉陵江。排放标准值见表3.3-</w:t>
            </w:r>
            <w:r>
              <w:rPr>
                <w:rFonts w:hint="default" w:ascii="Times New Roman" w:hAnsi="Times New Roman" w:eastAsia="宋体" w:cs="Times New Roman"/>
                <w:color w:val="auto"/>
                <w:kern w:val="2"/>
                <w:sz w:val="24"/>
                <w:szCs w:val="24"/>
                <w:lang w:val="en-US" w:eastAsia="zh-CN"/>
              </w:rPr>
              <w:t>8</w:t>
            </w:r>
            <w:r>
              <w:rPr>
                <w:rFonts w:hint="default" w:ascii="Times New Roman" w:hAnsi="Times New Roman" w:eastAsia="宋体" w:cs="Times New Roman"/>
                <w:color w:val="auto"/>
                <w:kern w:val="2"/>
                <w:sz w:val="24"/>
                <w:szCs w:val="24"/>
              </w:rPr>
              <w:t>。</w:t>
            </w:r>
          </w:p>
          <w:p>
            <w:pPr>
              <w:spacing w:after="0" w:line="420" w:lineRule="exac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表3.3-</w:t>
            </w:r>
            <w:r>
              <w:rPr>
                <w:rFonts w:hint="default"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rPr>
              <w:t xml:space="preserve">  废水排放标准限值   单位：mg/L(pH无量纲)</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19"/>
              <w:gridCol w:w="630"/>
              <w:gridCol w:w="619"/>
              <w:gridCol w:w="650"/>
              <w:gridCol w:w="530"/>
              <w:gridCol w:w="758"/>
              <w:gridCol w:w="784"/>
              <w:gridCol w:w="461"/>
              <w:gridCol w:w="11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cantSplit/>
                <w:trHeight w:val="40" w:hRule="atLeast"/>
                <w:jc w:val="center"/>
              </w:trPr>
              <w:tc>
                <w:tcPr>
                  <w:tcW w:w="1940"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347"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341"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358"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292"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18"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432"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254"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615"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cantSplit/>
                <w:trHeight w:val="55" w:hRule="atLeast"/>
                <w:jc w:val="center"/>
              </w:trPr>
              <w:tc>
                <w:tcPr>
                  <w:tcW w:w="1940" w:type="pct"/>
                  <w:tcBorders>
                    <w:tl2br w:val="nil"/>
                    <w:tr2bl w:val="nil"/>
                  </w:tcBorders>
                  <w:tcMar>
                    <w:top w:w="0" w:type="dxa"/>
                    <w:left w:w="0" w:type="dxa"/>
                    <w:bottom w:w="0" w:type="dxa"/>
                    <w:right w:w="0" w:type="dxa"/>
                  </w:tcMar>
                  <w:vAlign w:val="center"/>
                </w:tcPr>
                <w:p>
                  <w:pPr>
                    <w:spacing w:after="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《污水综合排放标准》（GB8978-1996）三级排放标准</w:t>
                  </w:r>
                </w:p>
              </w:tc>
              <w:tc>
                <w:tcPr>
                  <w:tcW w:w="347"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341"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358"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292"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418"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45①</w:t>
                  </w:r>
                </w:p>
              </w:tc>
              <w:tc>
                <w:tcPr>
                  <w:tcW w:w="432"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54"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615"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cantSplit/>
                <w:trHeight w:val="57" w:hRule="atLeast"/>
                <w:jc w:val="center"/>
              </w:trPr>
              <w:tc>
                <w:tcPr>
                  <w:tcW w:w="1940" w:type="pct"/>
                  <w:tcBorders>
                    <w:tl2br w:val="nil"/>
                    <w:tr2bl w:val="nil"/>
                  </w:tcBorders>
                  <w:tcMar>
                    <w:top w:w="0" w:type="dxa"/>
                    <w:left w:w="0" w:type="dxa"/>
                    <w:bottom w:w="0" w:type="dxa"/>
                    <w:right w:w="0" w:type="dxa"/>
                  </w:tcMar>
                  <w:vAlign w:val="center"/>
                </w:tcPr>
                <w:p>
                  <w:pPr>
                    <w:spacing w:after="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《城镇污水处理厂污染物排放标准》（GB18918-2002）一级B标准</w:t>
                  </w:r>
                </w:p>
              </w:tc>
              <w:tc>
                <w:tcPr>
                  <w:tcW w:w="347"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341"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358"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92"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18"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8(15)②</w:t>
                  </w:r>
                </w:p>
              </w:tc>
              <w:tc>
                <w:tcPr>
                  <w:tcW w:w="432"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54"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tcBorders>
                    <w:tl2br w:val="nil"/>
                    <w:tr2bl w:val="nil"/>
                  </w:tcBorders>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cantSplit/>
                <w:trHeight w:val="278" w:hRule="atLeast"/>
                <w:jc w:val="center"/>
              </w:trPr>
              <w:tc>
                <w:tcPr>
                  <w:tcW w:w="5000" w:type="pct"/>
                  <w:gridSpan w:val="9"/>
                  <w:tcBorders>
                    <w:tl2br w:val="nil"/>
                    <w:tr2bl w:val="nil"/>
                  </w:tcBorders>
                  <w:tcMar>
                    <w:top w:w="0" w:type="dxa"/>
                    <w:left w:w="0" w:type="dxa"/>
                    <w:bottom w:w="0" w:type="dxa"/>
                    <w:right w:w="0" w:type="dxa"/>
                  </w:tcMar>
                  <w:vAlign w:val="center"/>
                </w:tcPr>
                <w:p>
                  <w:pPr>
                    <w:spacing w:after="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备注：①氨氮排放参照《污水排入城市下水道水质标准》(GB/T31962-2015)B等级排放限值。</w:t>
                  </w:r>
                </w:p>
                <w:p>
                  <w:pPr>
                    <w:spacing w:after="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②括号外数值为水温&gt;12℃时的控制指标，括号内数值为水温≤12℃时的控制指标。</w:t>
                  </w:r>
                </w:p>
              </w:tc>
            </w:tr>
          </w:tbl>
          <w:p>
            <w:pPr>
              <w:spacing w:after="0" w:line="400" w:lineRule="exact"/>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3.3.3噪声</w:t>
            </w:r>
          </w:p>
          <w:p>
            <w:pPr>
              <w:autoSpaceDE w:val="0"/>
              <w:autoSpaceDN w:val="0"/>
              <w:spacing w:after="0" w:line="40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本项目营运期厂界噪声执行《工业企业厂界环境噪声排放标准》(GB12348-2008）3类标准，即昼间65dB（A），夜间55dB（A）。</w:t>
            </w:r>
          </w:p>
          <w:p>
            <w:pPr>
              <w:autoSpaceDE w:val="0"/>
              <w:autoSpaceDN w:val="0"/>
              <w:spacing w:after="0" w:line="40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施工期噪声执行《建筑施工场界环境噪声排放标准》（GB12523-2011）相应标准，即昼间70dB（A）、夜间55dB（A）。</w:t>
            </w:r>
          </w:p>
          <w:p>
            <w:pPr>
              <w:spacing w:after="0" w:line="420" w:lineRule="exac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表3.3-</w:t>
            </w:r>
            <w:r>
              <w:rPr>
                <w:rFonts w:hint="default" w:ascii="Times New Roman" w:hAnsi="Times New Roman" w:eastAsia="宋体" w:cs="Times New Roman"/>
                <w:b/>
                <w:color w:val="auto"/>
                <w:sz w:val="24"/>
                <w:szCs w:val="24"/>
                <w:lang w:val="en-US" w:eastAsia="zh-CN"/>
              </w:rPr>
              <w:t>9</w:t>
            </w:r>
            <w:r>
              <w:rPr>
                <w:rFonts w:hint="default" w:ascii="Times New Roman" w:hAnsi="Times New Roman" w:eastAsia="宋体" w:cs="Times New Roman"/>
                <w:b/>
                <w:color w:val="auto"/>
                <w:sz w:val="24"/>
                <w:szCs w:val="24"/>
              </w:rPr>
              <w:t xml:space="preserve">  环境噪声排放标准  单位：dB(A)</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47"/>
              <w:gridCol w:w="757"/>
              <w:gridCol w:w="758"/>
              <w:gridCol w:w="909"/>
              <w:gridCol w:w="56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98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时期</w:t>
                  </w:r>
                </w:p>
              </w:tc>
              <w:tc>
                <w:tcPr>
                  <w:tcW w:w="70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709"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5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524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98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70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9"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85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524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《建筑施工场界环境噪声排放标准》(GB12523－2011)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980"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营运期</w:t>
                  </w:r>
                </w:p>
              </w:tc>
              <w:tc>
                <w:tcPr>
                  <w:tcW w:w="708"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3类</w:t>
                  </w:r>
                </w:p>
              </w:tc>
              <w:tc>
                <w:tcPr>
                  <w:tcW w:w="709"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85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5241" w:type="dxa"/>
                  <w:tcBorders>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p>
              </w:tc>
            </w:tr>
          </w:tbl>
          <w:p>
            <w:pPr>
              <w:spacing w:after="0" w:line="420" w:lineRule="exact"/>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3.3.4固废</w:t>
            </w:r>
          </w:p>
          <w:p>
            <w:pPr>
              <w:autoSpaceDE w:val="0"/>
              <w:autoSpaceDN w:val="0"/>
              <w:spacing w:after="0" w:line="400" w:lineRule="exact"/>
              <w:ind w:firstLine="480" w:firstLineChars="200"/>
              <w:rPr>
                <w:rFonts w:hint="default" w:ascii="Times New Roman" w:hAnsi="Times New Roman" w:eastAsia="宋体" w:cs="Times New Roman"/>
                <w:color w:val="auto"/>
                <w:kern w:val="2"/>
                <w:sz w:val="24"/>
                <w:szCs w:val="24"/>
                <w:lang w:bidi="ar"/>
              </w:rPr>
            </w:pPr>
            <w:r>
              <w:rPr>
                <w:rFonts w:hint="default" w:ascii="Times New Roman" w:hAnsi="Times New Roman" w:eastAsia="宋体" w:cs="Times New Roman"/>
                <w:color w:val="auto"/>
                <w:kern w:val="2"/>
                <w:sz w:val="24"/>
                <w:szCs w:val="24"/>
              </w:rPr>
              <w:t>本项目采用库房、包装工具（罐、桶、包装袋等）贮存一般工业固体废物，根据《一般工业固体废物贮存和填埋污染控制标准》(GB 18599-2020)：采用库房、包装工具（罐、桶、包装袋等）贮存一般工业固体废物过程的污染控制，不适用本标准，其贮存过程应满足相应防渗漏、防雨淋、防扬尘等环境保护要求；危险废物</w:t>
            </w:r>
            <w:r>
              <w:rPr>
                <w:rFonts w:hint="default" w:ascii="Times New Roman" w:hAnsi="Times New Roman" w:eastAsia="宋体" w:cs="Times New Roman"/>
                <w:color w:val="auto"/>
                <w:sz w:val="24"/>
              </w:rPr>
              <w:t>贮存执行《危险废物贮存污染控制标准》(GB18597-2023)。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5" w:hRule="atLeast"/>
          <w:jc w:val="center"/>
        </w:trPr>
        <w:tc>
          <w:tcPr>
            <w:tcW w:w="9186" w:type="dxa"/>
            <w:tcBorders>
              <w:tl2br w:val="nil"/>
              <w:tr2bl w:val="nil"/>
            </w:tcBorders>
            <w:vAlign w:val="center"/>
          </w:tcPr>
          <w:p>
            <w:pPr>
              <w:spacing w:after="0" w:line="420" w:lineRule="exact"/>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color w:val="auto"/>
                <w:kern w:val="2"/>
                <w:sz w:val="28"/>
                <w:szCs w:val="28"/>
              </w:rPr>
              <w:t>3.4总量控制指标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5" w:hRule="atLeast"/>
          <w:jc w:val="center"/>
        </w:trPr>
        <w:tc>
          <w:tcPr>
            <w:tcW w:w="9186" w:type="dxa"/>
            <w:tcBorders>
              <w:tl2br w:val="nil"/>
              <w:tr2bl w:val="nil"/>
            </w:tcBorders>
            <w:vAlign w:val="center"/>
          </w:tcPr>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00"/>
              <w:gridCol w:w="3130"/>
              <w:gridCol w:w="39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2000" w:type="dxa"/>
                  <w:tcBorders>
                    <w:tl2br w:val="nil"/>
                    <w:tr2bl w:val="nil"/>
                  </w:tcBorders>
                  <w:tcMar>
                    <w:top w:w="0" w:type="dxa"/>
                    <w:left w:w="51" w:type="dxa"/>
                    <w:bottom w:w="0" w:type="dxa"/>
                    <w:right w:w="51" w:type="dxa"/>
                  </w:tcMar>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3130"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3942"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2000" w:type="dxa"/>
                  <w:vMerge w:val="restart"/>
                  <w:tcBorders>
                    <w:tl2br w:val="nil"/>
                    <w:tr2bl w:val="nil"/>
                  </w:tcBorders>
                  <w:tcMar>
                    <w:top w:w="0" w:type="dxa"/>
                    <w:left w:w="51" w:type="dxa"/>
                    <w:bottom w:w="0" w:type="dxa"/>
                    <w:right w:w="51" w:type="dxa"/>
                  </w:tcMar>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废气（t/a）</w:t>
                  </w:r>
                </w:p>
              </w:tc>
              <w:tc>
                <w:tcPr>
                  <w:tcW w:w="3130"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3942"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2000" w:type="dxa"/>
                  <w:vMerge w:val="continue"/>
                  <w:tcBorders>
                    <w:tl2br w:val="nil"/>
                    <w:tr2bl w:val="nil"/>
                  </w:tcBorders>
                  <w:tcMar>
                    <w:top w:w="0" w:type="dxa"/>
                    <w:left w:w="51" w:type="dxa"/>
                    <w:bottom w:w="0" w:type="dxa"/>
                    <w:right w:w="51" w:type="dxa"/>
                  </w:tcMar>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p>
              </w:tc>
              <w:tc>
                <w:tcPr>
                  <w:tcW w:w="3130"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3942"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1" w:hRule="atLeast"/>
                <w:jc w:val="center"/>
              </w:trPr>
              <w:tc>
                <w:tcPr>
                  <w:tcW w:w="2000" w:type="dxa"/>
                  <w:vMerge w:val="restart"/>
                  <w:tcBorders>
                    <w:tl2br w:val="nil"/>
                    <w:tr2bl w:val="nil"/>
                  </w:tcBorders>
                  <w:tcMar>
                    <w:top w:w="0" w:type="dxa"/>
                    <w:left w:w="51" w:type="dxa"/>
                    <w:bottom w:w="0" w:type="dxa"/>
                    <w:right w:w="51" w:type="dxa"/>
                  </w:tcMar>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废水（t/a）</w:t>
                  </w:r>
                </w:p>
              </w:tc>
              <w:tc>
                <w:tcPr>
                  <w:tcW w:w="3130"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pt-BR"/>
                    </w:rPr>
                    <w:t>废水量（m³/a）</w:t>
                  </w:r>
                </w:p>
              </w:tc>
              <w:tc>
                <w:tcPr>
                  <w:tcW w:w="3942"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16420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2000" w:type="dxa"/>
                  <w:vMerge w:val="continue"/>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p>
              </w:tc>
              <w:tc>
                <w:tcPr>
                  <w:tcW w:w="3130"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pt-BR"/>
                    </w:rPr>
                    <w:t>COD</w:t>
                  </w:r>
                </w:p>
              </w:tc>
              <w:tc>
                <w:tcPr>
                  <w:tcW w:w="3942"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0.984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2000" w:type="dxa"/>
                  <w:vMerge w:val="continue"/>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p>
              </w:tc>
              <w:tc>
                <w:tcPr>
                  <w:tcW w:w="3130"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pt-BR"/>
                    </w:rPr>
                    <w:t>BOD</w:t>
                  </w:r>
                  <w:r>
                    <w:rPr>
                      <w:rFonts w:hint="default" w:ascii="Times New Roman" w:hAnsi="Times New Roman" w:eastAsia="宋体" w:cs="Times New Roman"/>
                      <w:color w:val="auto"/>
                      <w:kern w:val="2"/>
                      <w:sz w:val="21"/>
                      <w:szCs w:val="21"/>
                      <w:vertAlign w:val="subscript"/>
                      <w:lang w:val="pt-BR"/>
                    </w:rPr>
                    <w:t>5</w:t>
                  </w:r>
                </w:p>
              </w:tc>
              <w:tc>
                <w:tcPr>
                  <w:tcW w:w="3942"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0.625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000" w:type="dxa"/>
                  <w:vMerge w:val="continue"/>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p>
              </w:tc>
              <w:tc>
                <w:tcPr>
                  <w:tcW w:w="3130"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pt-BR"/>
                    </w:rPr>
                    <w:t>NH</w:t>
                  </w:r>
                  <w:r>
                    <w:rPr>
                      <w:rFonts w:hint="default" w:ascii="Times New Roman" w:hAnsi="Times New Roman" w:eastAsia="宋体" w:cs="Times New Roman"/>
                      <w:color w:val="auto"/>
                      <w:kern w:val="2"/>
                      <w:sz w:val="21"/>
                      <w:szCs w:val="21"/>
                      <w:vertAlign w:val="subscript"/>
                      <w:lang w:val="pt-BR"/>
                    </w:rPr>
                    <w:t>3</w:t>
                  </w:r>
                  <w:r>
                    <w:rPr>
                      <w:rFonts w:hint="default" w:ascii="Times New Roman" w:hAnsi="Times New Roman" w:eastAsia="宋体" w:cs="Times New Roman"/>
                      <w:color w:val="auto"/>
                      <w:kern w:val="2"/>
                      <w:sz w:val="21"/>
                      <w:szCs w:val="21"/>
                      <w:lang w:val="pt-BR"/>
                    </w:rPr>
                    <w:t>-N</w:t>
                  </w:r>
                </w:p>
              </w:tc>
              <w:tc>
                <w:tcPr>
                  <w:tcW w:w="3942" w:type="dxa"/>
                  <w:tcBorders>
                    <w:tl2br w:val="nil"/>
                    <w:tr2bl w:val="nil"/>
                  </w:tcBorders>
                  <w:vAlign w:val="center"/>
                </w:tcPr>
                <w:p>
                  <w:pPr>
                    <w:widowControl w:val="0"/>
                    <w:kinsoku w:val="0"/>
                    <w:overflowPunct w:val="0"/>
                    <w:autoSpaceDE w:val="0"/>
                    <w:autoSpaceDN w:val="0"/>
                    <w:spacing w:after="0"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0.119</w:t>
                  </w:r>
                </w:p>
              </w:tc>
            </w:tr>
          </w:tbl>
          <w:p>
            <w:pPr>
              <w:spacing w:after="0" w:line="420" w:lineRule="exact"/>
              <w:rPr>
                <w:rFonts w:hint="default" w:ascii="Times New Roman" w:hAnsi="Times New Roman" w:eastAsia="宋体" w:cs="Times New Roman"/>
                <w:b/>
                <w:color w:val="auto"/>
                <w:kern w:val="2"/>
                <w:sz w:val="28"/>
                <w:szCs w:val="28"/>
              </w:rPr>
            </w:pPr>
          </w:p>
        </w:tc>
      </w:tr>
    </w:tbl>
    <w:p>
      <w:pPr>
        <w:spacing w:after="0"/>
        <w:rPr>
          <w:rFonts w:hint="default" w:ascii="Times New Roman" w:hAnsi="Times New Roman" w:eastAsia="宋体" w:cs="Times New Roman"/>
          <w:b/>
          <w:sz w:val="28"/>
          <w:szCs w:val="28"/>
        </w:rPr>
        <w:sectPr>
          <w:pgSz w:w="11906" w:h="16838"/>
          <w:pgMar w:top="1417" w:right="1417" w:bottom="1417" w:left="1417" w:header="1134" w:footer="1021" w:gutter="0"/>
          <w:cols w:space="708" w:num="1"/>
          <w:docGrid w:linePitch="360" w:charSpace="0"/>
        </w:sectPr>
      </w:pPr>
    </w:p>
    <w:p>
      <w:pPr>
        <w:pStyle w:val="2"/>
        <w:spacing w:before="0" w:after="0" w:line="24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四、主要环境影响和保护措施</w:t>
      </w:r>
    </w:p>
    <w:tbl>
      <w:tblPr>
        <w:tblStyle w:val="31"/>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57" w:type="dxa"/>
          <w:bottom w:w="0" w:type="dxa"/>
          <w:right w:w="57" w:type="dxa"/>
        </w:tblCellMar>
      </w:tblPr>
      <w:tblGrid>
        <w:gridCol w:w="918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729" w:type="dxa"/>
            <w:tcBorders>
              <w:tl2br w:val="nil"/>
              <w:tr2bl w:val="nil"/>
            </w:tcBorders>
          </w:tcPr>
          <w:p>
            <w:pPr>
              <w:spacing w:after="0" w:line="420" w:lineRule="exact"/>
              <w:jc w:val="both"/>
              <w:rPr>
                <w:rFonts w:hint="default" w:ascii="Times New Roman" w:hAnsi="Times New Roman" w:eastAsia="宋体" w:cs="Times New Roman"/>
                <w:sz w:val="24"/>
              </w:rPr>
            </w:pPr>
            <w:r>
              <w:rPr>
                <w:rFonts w:hint="default" w:ascii="Times New Roman" w:hAnsi="Times New Roman" w:eastAsia="宋体" w:cs="Times New Roman"/>
                <w:b/>
                <w:kern w:val="2"/>
                <w:sz w:val="28"/>
                <w:szCs w:val="28"/>
              </w:rPr>
              <w:t>4.1施工期环境影响及环境保护措施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13039" w:hRule="atLeast"/>
          <w:jc w:val="center"/>
        </w:trPr>
        <w:tc>
          <w:tcPr>
            <w:tcW w:w="8729" w:type="dxa"/>
            <w:tcBorders>
              <w:tl2br w:val="nil"/>
              <w:tr2bl w:val="nil"/>
            </w:tcBorders>
          </w:tcPr>
          <w:p>
            <w:pPr>
              <w:spacing w:after="0" w:line="42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4.1.1废气污染防治措施</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t>（1）施工扬尘防治措施</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t>严格落实《重庆市环境保护条例》（2022年9月28日修订）、《重庆市大气污染防治条例》2018年7月26日修订）等法规要求，防治措施如下：</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1 \* GB3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①</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实行封闭施工。建筑工地必须实行围挡封闭施工，围挡高度不低于1.8米；建筑工地脚手架外侧必须用密目式安全网全封闭，封闭高度要高出作业面1.5米以上并定期清洗保洁。</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2 \* GB3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②</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实行硬地面施工。建筑工地进出口道路、场内道路和建筑材料堆放地必须硬化。并加强场地地面、施工道路的保湿、保洁工作，减轻二次扬尘污染。</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3 \* GB3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③</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车辆冲洗。设置车辆清洗设施及配套的沉沙井，车辆冲洗干净后方可驶出工地。</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4 \* GB3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④</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预拌混凝土使用。施工现场禁止设置搅拌机或移动搅拌站，使用预拌混凝土。</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5 \* GB3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⑤</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烟尘排放控制。严禁在施工现场排放有毒烟尘和气体，不得在施工现场洗石灰、熬煎沥青、焚烧各类废弃物，工地生活燃料应符合相关规定。</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6 \* GB3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⑥</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易扬尘物质处置。施工现场的土方应集中堆放，裸露的场地和集中堆放的土方应采取覆盖、固化或绿化等措施。对露天堆放河沙、石粉、水泥、灰浆、灰膏等易扬撒的物料，以及48小时不能清运的建筑垃圾的，应设置不低于堆放高度的密闭围栏，并对堆放物品予以覆盖。进行产生大量泥浆施工的作业时，应当配备泥浆池、泥浆沟，防止泥浆外流，废浆应当用密闭罐车外运。</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7 \* GB3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⑦</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高空垃圾处理。高层建筑施工过程中，室内垃圾的清运应采用塔吊、施工车窗升降机等设备运输，或设置专用的垃圾处理系统进行密闭运输，严禁凌空抛掷。</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8 \* GB3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⑧</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渣土密闭运输。施工现场渣土运输车辆应采用密闭式运输车辆，防止运输中出现“抛、洒、滴、漏”，影响市容环境。</w:t>
            </w:r>
          </w:p>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9 \* GB3 \* MERGEFORMAT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⑨</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施工湿法作业。在施工场内道路、砂浆搅拌场所以及进行土方开挖、拆除、切割作业时，应采取洒水降尘措施或设置喷淋设施。</w:t>
            </w:r>
          </w:p>
          <w:p>
            <w:pPr>
              <w:spacing w:after="0" w:line="420" w:lineRule="exact"/>
              <w:ind w:firstLine="480" w:firstLineChars="200"/>
              <w:jc w:val="both"/>
              <w:rPr>
                <w:rFonts w:hint="default" w:ascii="Times New Roman" w:hAnsi="Times New Roman" w:eastAsia="宋体" w:cs="Times New Roman"/>
                <w:sz w:val="24"/>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729" w:type="dxa"/>
            <w:tcBorders>
              <w:tl2br w:val="nil"/>
              <w:tr2bl w:val="nil"/>
            </w:tcBorders>
          </w:tcPr>
          <w:p>
            <w:pPr>
              <w:spacing w:after="0" w:line="414"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4.1.2废水污染防治措施</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建设单位和施工单位须严格遵守《中华人民共和国水污染防治法》《重庆市水污染防治条例》有关规定，严格控制施工废水、生活污水的污染。</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本项目主要防治措施包括：</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napToGrid w:val="0"/>
                <w:sz w:val="24"/>
                <w:szCs w:val="24"/>
              </w:rPr>
              <w:t>施工场区四周设排水沟和隔油沉砂池，施工中混凝土养护、车辆、施工机械冲洗等废水收集至隔油沉砂池，经隔油沉池后回用。</w:t>
            </w:r>
          </w:p>
          <w:p>
            <w:pPr>
              <w:spacing w:after="0" w:line="420" w:lineRule="exact"/>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（2）</w:t>
            </w:r>
            <w:r>
              <w:rPr>
                <w:rFonts w:hint="default" w:ascii="Times New Roman" w:hAnsi="Times New Roman" w:eastAsia="宋体" w:cs="Times New Roman"/>
                <w:snapToGrid w:val="0"/>
                <w:sz w:val="24"/>
                <w:szCs w:val="24"/>
              </w:rPr>
              <w:t>施工场区设</w:t>
            </w:r>
            <w:r>
              <w:rPr>
                <w:rFonts w:hint="default" w:ascii="Times New Roman" w:hAnsi="Times New Roman" w:eastAsia="宋体" w:cs="Times New Roman"/>
                <w:sz w:val="24"/>
                <w:szCs w:val="24"/>
              </w:rPr>
              <w:t>污水处理设施，生活污水经污水处理设施处理达标后排入市政污水管网，经市政污水</w:t>
            </w:r>
            <w:r>
              <w:rPr>
                <w:rFonts w:hint="default" w:ascii="Times New Roman" w:hAnsi="Times New Roman" w:eastAsia="宋体" w:cs="Times New Roman"/>
                <w:sz w:val="24"/>
                <w:szCs w:val="24"/>
                <w:highlight w:val="none"/>
              </w:rPr>
              <w:t>管网排入</w:t>
            </w:r>
            <w:r>
              <w:rPr>
                <w:rFonts w:hint="default" w:ascii="Times New Roman" w:hAnsi="Times New Roman" w:eastAsia="宋体" w:cs="Times New Roman"/>
                <w:kern w:val="2"/>
                <w:sz w:val="24"/>
                <w:szCs w:val="24"/>
                <w:highlight w:val="none"/>
              </w:rPr>
              <w:t>农创园污水处理厂</w:t>
            </w:r>
            <w:r>
              <w:rPr>
                <w:rFonts w:hint="default" w:ascii="Times New Roman" w:hAnsi="Times New Roman" w:eastAsia="宋体" w:cs="Times New Roman"/>
                <w:sz w:val="24"/>
                <w:szCs w:val="24"/>
                <w:highlight w:val="none"/>
              </w:rPr>
              <w:t>。</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rPr>
              <w:t>（3）管理措施：开展施工场所和施工驻地的环境保</w:t>
            </w:r>
            <w:r>
              <w:rPr>
                <w:rFonts w:hint="default" w:ascii="Times New Roman" w:hAnsi="Times New Roman" w:eastAsia="宋体" w:cs="Times New Roman"/>
                <w:sz w:val="24"/>
                <w:szCs w:val="24"/>
              </w:rPr>
              <w:t>护教育，让施工人员理解水资源保护的重要性，应制定合理的施工程序，高效组织施工作业，加强施工管理和工程监理工作，严格检查施工机械，施工材料不能堆放在地表水体附近，并应备有临时遮挡的帆布。通过科学合理、高效严格的施工管理，有助于减少施工期对周边地表水环境的影响。</w:t>
            </w:r>
          </w:p>
          <w:p>
            <w:pPr>
              <w:spacing w:after="0" w:line="42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4.1.3噪声污染防治措施</w:t>
            </w:r>
          </w:p>
          <w:p>
            <w:pPr>
              <w:pStyle w:val="67"/>
              <w:spacing w:line="420" w:lineRule="exact"/>
              <w:rPr>
                <w:rFonts w:hint="default" w:ascii="Times New Roman" w:hAnsi="Times New Roman" w:cs="Times New Roman"/>
                <w:kern w:val="2"/>
              </w:rPr>
            </w:pPr>
            <w:r>
              <w:rPr>
                <w:rFonts w:hint="default" w:ascii="Times New Roman" w:hAnsi="Times New Roman" w:cs="Times New Roman"/>
                <w:kern w:val="2"/>
              </w:rPr>
              <w:t>为减小施工噪声对周边声环境敏感目标的影响，施工单位须接受生态环境部门和建设部门的监督管理，并严格按照《重庆市环境保护条例》《重庆市噪声污染防治办法》等法规的相关规定，加强施工过程管理，制定合理的施工作业计划，具体可采取如下措施：</w:t>
            </w:r>
          </w:p>
          <w:p>
            <w:pPr>
              <w:pStyle w:val="67"/>
              <w:spacing w:line="420" w:lineRule="exac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kern w:val="2"/>
              </w:rPr>
              <w:t>合理安排施工作业时间，特别是基础阶段和结构阶段的作业时间，应避开人们的正常休息时间，昼间(</w:t>
            </w:r>
            <w:r>
              <w:rPr>
                <w:rFonts w:hint="default" w:ascii="Times New Roman" w:hAnsi="Times New Roman" w:cs="Times New Roman"/>
              </w:rPr>
              <w:t>12时至14时)</w:t>
            </w:r>
            <w:r>
              <w:rPr>
                <w:rFonts w:hint="default" w:ascii="Times New Roman" w:hAnsi="Times New Roman" w:cs="Times New Roman"/>
                <w:kern w:val="2"/>
              </w:rPr>
              <w:t>、夜间（22:00至次日8:00）不得施工。</w:t>
            </w:r>
            <w:r>
              <w:rPr>
                <w:rFonts w:hint="default" w:ascii="Times New Roman" w:hAnsi="Times New Roman" w:cs="Times New Roman"/>
              </w:rPr>
              <w:t>因特殊需要必须连续作业的，施工单位应当取得城市管理或者住房城乡建设部门的证明。建设单位应当于开始施工1日前在施工现场显著位置公示或者以其他方式公告附近居民。</w:t>
            </w:r>
          </w:p>
          <w:p>
            <w:pPr>
              <w:pStyle w:val="67"/>
              <w:spacing w:line="420" w:lineRule="exact"/>
              <w:rPr>
                <w:rFonts w:hint="default" w:ascii="Times New Roman" w:hAnsi="Times New Roman" w:cs="Times New Roman"/>
                <w:kern w:val="2"/>
              </w:rPr>
            </w:pPr>
            <w:r>
              <w:rPr>
                <w:rFonts w:hint="default" w:ascii="Times New Roman" w:hAnsi="Times New Roman" w:cs="Times New Roman"/>
              </w:rPr>
              <w:t>（2）</w:t>
            </w:r>
            <w:r>
              <w:rPr>
                <w:rFonts w:hint="default" w:ascii="Times New Roman" w:hAnsi="Times New Roman" w:cs="Times New Roman"/>
                <w:kern w:val="2"/>
              </w:rPr>
              <w:t>施工单位须选用符合国家有关标准的施工机具，尽量选用低噪声的施工机械或工艺，从根本上降低噪声源强。禁止采用现场搅拌混凝土等产生高噪声的施工作业方式；施工过程中使用推土机、挖掘机、装载机、振捣棒、电锯、吊车、车窗升降机等机具时，昼间、夜间场界噪声必须满足国家规定的噪声限值。</w:t>
            </w:r>
          </w:p>
          <w:p>
            <w:pPr>
              <w:pStyle w:val="67"/>
              <w:spacing w:line="420" w:lineRule="exact"/>
              <w:rPr>
                <w:rFonts w:hint="default" w:ascii="Times New Roman" w:hAnsi="Times New Roman" w:cs="Times New Roman"/>
                <w:kern w:val="2"/>
              </w:rPr>
            </w:pPr>
            <w:r>
              <w:rPr>
                <w:rFonts w:hint="default" w:ascii="Times New Roman" w:hAnsi="Times New Roman" w:cs="Times New Roman"/>
              </w:rPr>
              <w:t>（3）</w:t>
            </w:r>
            <w:r>
              <w:rPr>
                <w:rFonts w:hint="default" w:ascii="Times New Roman" w:hAnsi="Times New Roman" w:cs="Times New Roman"/>
                <w:kern w:val="2"/>
              </w:rPr>
              <w:t>在固定地点的高噪声设备可设置于临时建筑内，必要时应设置临时移动式声屏障。合理安排施工机械安放位置，以最大限度减小噪声对周围环境的影响。</w:t>
            </w:r>
          </w:p>
          <w:p>
            <w:pPr>
              <w:pStyle w:val="67"/>
              <w:spacing w:line="420" w:lineRule="exact"/>
              <w:rPr>
                <w:rFonts w:hint="default" w:ascii="Times New Roman" w:hAnsi="Times New Roman" w:cs="Times New Roman"/>
                <w:kern w:val="2"/>
              </w:rPr>
            </w:pPr>
            <w:r>
              <w:rPr>
                <w:rFonts w:hint="default" w:ascii="Times New Roman" w:hAnsi="Times New Roman" w:cs="Times New Roman"/>
              </w:rPr>
              <w:t>（4）</w:t>
            </w:r>
            <w:r>
              <w:rPr>
                <w:rFonts w:hint="default" w:ascii="Times New Roman" w:hAnsi="Times New Roman" w:cs="Times New Roman"/>
                <w:kern w:val="2"/>
              </w:rPr>
              <w:t>加强施工机械维护和保养，避免因设备性能差而使机械噪声增大现象产生。钢制模板在使用、拆卸、装卸等过程中，应尽可能地轻拿轻放，以免模板相互碰撞产生噪声。</w:t>
            </w:r>
          </w:p>
          <w:p>
            <w:pPr>
              <w:pStyle w:val="67"/>
              <w:spacing w:line="420" w:lineRule="exact"/>
              <w:rPr>
                <w:rFonts w:hint="default" w:ascii="Times New Roman" w:hAnsi="Times New Roman" w:cs="Times New Roman"/>
                <w:kern w:val="2"/>
              </w:rPr>
            </w:pPr>
            <w:r>
              <w:rPr>
                <w:rFonts w:hint="default" w:ascii="Times New Roman" w:hAnsi="Times New Roman" w:cs="Times New Roman"/>
              </w:rPr>
              <w:t>（5）</w:t>
            </w:r>
            <w:r>
              <w:rPr>
                <w:rFonts w:hint="default" w:ascii="Times New Roman" w:hAnsi="Times New Roman" w:cs="Times New Roman"/>
                <w:kern w:val="2"/>
              </w:rPr>
              <w:t>对施工材料、弃土弃渣等的运输尽量安排在晚上7:00~9:00进行，以减小载重汽车噪声对环境的影响。车辆经过敏感地段必须限速、禁鸣。</w:t>
            </w:r>
          </w:p>
          <w:p>
            <w:pPr>
              <w:pStyle w:val="67"/>
              <w:spacing w:line="420" w:lineRule="exact"/>
              <w:rPr>
                <w:rFonts w:hint="default" w:ascii="Times New Roman" w:hAnsi="Times New Roman" w:cs="Times New Roman"/>
                <w:kern w:val="2"/>
              </w:rPr>
            </w:pPr>
            <w:r>
              <w:rPr>
                <w:rFonts w:hint="default" w:ascii="Times New Roman" w:hAnsi="Times New Roman" w:cs="Times New Roman"/>
                <w:kern w:val="2"/>
              </w:rPr>
              <w:t>（6）采用临时声屏障措施：在施工场地周围采用硬质围挡封闭施工，围挡厚度不小于8mm，高度不低于1.8m，隔声效果较为明显，能降低噪声约5dB（A）；在施工的结构阶段和装修阶段，对建筑物的外部也应采用围挡，以减轻设备噪声对周围环境的影响。</w:t>
            </w:r>
          </w:p>
          <w:p>
            <w:pPr>
              <w:pStyle w:val="67"/>
              <w:spacing w:line="420" w:lineRule="exact"/>
              <w:rPr>
                <w:rFonts w:hint="default" w:ascii="Times New Roman" w:hAnsi="Times New Roman" w:cs="Times New Roman"/>
                <w:kern w:val="2"/>
              </w:rPr>
            </w:pPr>
            <w:r>
              <w:rPr>
                <w:rFonts w:hint="default" w:ascii="Times New Roman" w:hAnsi="Times New Roman" w:cs="Times New Roman"/>
                <w:kern w:val="2"/>
              </w:rPr>
              <w:t>（7）加强对施工人员的环境宣传和教育，使其认真落实各项降噪措施，做到文明施工。在保证施工质量前提下，加快施工进度，尽量缩短工期。</w:t>
            </w:r>
          </w:p>
          <w:p>
            <w:pPr>
              <w:spacing w:after="0" w:line="44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4.1.4固废污染防治措施</w:t>
            </w:r>
          </w:p>
          <w:p>
            <w:pPr>
              <w:pStyle w:val="67"/>
              <w:spacing w:line="420" w:lineRule="exact"/>
              <w:rPr>
                <w:rFonts w:hint="default" w:ascii="Times New Roman" w:hAnsi="Times New Roman" w:cs="Times New Roman"/>
                <w:kern w:val="2"/>
              </w:rPr>
            </w:pPr>
            <w:r>
              <w:rPr>
                <w:rFonts w:hint="default" w:ascii="Times New Roman" w:hAnsi="Times New Roman" w:cs="Times New Roman"/>
                <w:kern w:val="2"/>
              </w:rPr>
              <w:t>（1）合理安排施工工期，开挖的土石方及时进行回填，减少土石方的临时堆存时间。</w:t>
            </w:r>
          </w:p>
          <w:p>
            <w:pPr>
              <w:pStyle w:val="67"/>
              <w:spacing w:line="420" w:lineRule="exact"/>
              <w:rPr>
                <w:rFonts w:hint="default" w:ascii="Times New Roman" w:hAnsi="Times New Roman" w:cs="Times New Roman"/>
                <w:kern w:val="2"/>
              </w:rPr>
            </w:pPr>
            <w:r>
              <w:rPr>
                <w:rFonts w:hint="default" w:ascii="Times New Roman" w:hAnsi="Times New Roman" w:cs="Times New Roman"/>
                <w:kern w:val="2"/>
              </w:rPr>
              <w:t>（2）施工过程中产生的弃方和建筑垃圾应当日密闭清运至合法建筑渣场，并做到清扫保洁；当日不能清运完毕的，应当设置硬质围挡进行遮盖或者覆盖。</w:t>
            </w:r>
          </w:p>
          <w:p>
            <w:pPr>
              <w:pStyle w:val="67"/>
              <w:spacing w:line="420" w:lineRule="exact"/>
              <w:rPr>
                <w:rFonts w:hint="default" w:ascii="Times New Roman" w:hAnsi="Times New Roman" w:cs="Times New Roman"/>
                <w:kern w:val="2"/>
              </w:rPr>
            </w:pPr>
            <w:r>
              <w:rPr>
                <w:rFonts w:hint="default" w:ascii="Times New Roman" w:hAnsi="Times New Roman" w:cs="Times New Roman"/>
                <w:kern w:val="2"/>
              </w:rPr>
              <w:t>（3）施工场地内设置小型移动式垃圾收集箱，分类收集后交由环卫部门处置，禁止生活垃圾乱丢乱弃。</w:t>
            </w:r>
          </w:p>
          <w:p>
            <w:pPr>
              <w:spacing w:after="0" w:line="44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4.1.5交通运输影响防治措施</w:t>
            </w:r>
          </w:p>
          <w:p>
            <w:pPr>
              <w:pStyle w:val="67"/>
              <w:spacing w:line="420" w:lineRule="exact"/>
              <w:rPr>
                <w:rFonts w:hint="default" w:ascii="Times New Roman" w:hAnsi="Times New Roman" w:cs="Times New Roman"/>
                <w:kern w:val="2"/>
              </w:rPr>
            </w:pPr>
            <w:r>
              <w:rPr>
                <w:rFonts w:hint="default" w:ascii="Times New Roman" w:hAnsi="Times New Roman" w:cs="Times New Roman"/>
                <w:kern w:val="2"/>
              </w:rPr>
              <w:t>加强对运输车辆的管理，禁止冒顶装载，对水泥、碎石等易洒落物质采取篷布遮挡、密闭运输等措施，避免沿途抛洒物料影响城市交通及道路沿线景观；并对进出场地的运输车辆轮胎进行清洗，避免将泥土带入城市道路。同时加强对运输车辆驾驶员的环保安全教育，控制车速，运输全线禁止鸣笛，错峰出行避开早晚交通车流高峰期，尽可能避免中午休息时间（12:00~14:00）进行运输作业。</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729" w:type="dxa"/>
            <w:tcBorders>
              <w:tl2br w:val="nil"/>
              <w:tr2bl w:val="nil"/>
            </w:tcBorders>
          </w:tcPr>
          <w:p>
            <w:pPr>
              <w:pStyle w:val="67"/>
              <w:spacing w:line="440" w:lineRule="exact"/>
              <w:ind w:firstLine="0" w:firstLineChars="0"/>
              <w:rPr>
                <w:rFonts w:hint="default" w:ascii="Times New Roman" w:hAnsi="Times New Roman" w:cs="Times New Roman"/>
              </w:rPr>
            </w:pPr>
            <w:r>
              <w:rPr>
                <w:rFonts w:hint="default" w:ascii="Times New Roman" w:hAnsi="Times New Roman" w:cs="Times New Roman"/>
                <w:b/>
                <w:kern w:val="2"/>
                <w:sz w:val="28"/>
                <w:szCs w:val="28"/>
              </w:rPr>
              <w:t>4.2运营期环境影响及环境保护措施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4858" w:hRule="atLeast"/>
          <w:jc w:val="center"/>
        </w:trPr>
        <w:tc>
          <w:tcPr>
            <w:tcW w:w="8729" w:type="dxa"/>
            <w:tcBorders>
              <w:tl2br w:val="nil"/>
              <w:tr2bl w:val="nil"/>
            </w:tcBorders>
          </w:tcPr>
          <w:p>
            <w:pPr>
              <w:spacing w:after="0" w:line="440" w:lineRule="exact"/>
              <w:ind w:firstLine="480" w:firstLineChars="200"/>
              <w:rPr>
                <w:rFonts w:hint="default" w:ascii="Times New Roman" w:hAnsi="Times New Roman" w:cs="Times New Roman"/>
                <w:szCs w:val="24"/>
              </w:rPr>
            </w:pPr>
            <w:r>
              <w:rPr>
                <w:rFonts w:hint="default" w:ascii="Times New Roman" w:hAnsi="Times New Roman" w:eastAsia="宋体" w:cs="Times New Roman"/>
                <w:sz w:val="24"/>
                <w:szCs w:val="24"/>
              </w:rPr>
              <w:t>本项目污染物核算依据</w:t>
            </w:r>
            <w:r>
              <w:rPr>
                <w:rFonts w:hint="default" w:ascii="Times New Roman" w:hAnsi="Times New Roman" w:cs="Times New Roman" w:eastAsiaTheme="minorEastAsia"/>
                <w:sz w:val="24"/>
              </w:rPr>
              <w:t>HJ884-2018《污染源源强核算指南  准则》</w:t>
            </w:r>
            <w:r>
              <w:rPr>
                <w:rFonts w:hint="default" w:ascii="Times New Roman" w:hAnsi="Times New Roman" w:eastAsia="宋体" w:cs="Times New Roman"/>
                <w:sz w:val="24"/>
                <w:szCs w:val="24"/>
              </w:rPr>
              <w:t>、</w:t>
            </w:r>
            <w:r>
              <w:rPr>
                <w:rFonts w:hint="default" w:ascii="Times New Roman" w:hAnsi="Times New Roman" w:cs="Times New Roman" w:eastAsiaTheme="minorEastAsia"/>
                <w:bCs/>
                <w:sz w:val="24"/>
                <w:szCs w:val="24"/>
              </w:rPr>
              <w:t>HJ971-2018《排污许可证申请与核发技术规范  汽车制造业》、HJ1097-2020《污染源源强核算技术指南  汽车制造》、《排污许可证申请与核发技术规范  橡胶和塑料制品工业》(HJ1122-2020)、</w:t>
            </w:r>
            <w:r>
              <w:rPr>
                <w:rFonts w:hint="default" w:ascii="Times New Roman" w:hAnsi="Times New Roman" w:eastAsia="宋体" w:cs="Times New Roman"/>
                <w:sz w:val="24"/>
                <w:szCs w:val="24"/>
              </w:rPr>
              <w:t>《排放源统计调查产排污核算方法和系数手册》（生态环境部公告2021年第24号）以及相关文献进行核算，同时类比同行业产排污水平。</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729" w:type="dxa"/>
            <w:tcBorders>
              <w:tl2br w:val="nil"/>
              <w:tr2bl w:val="nil"/>
            </w:tcBorders>
          </w:tcPr>
          <w:p>
            <w:pPr>
              <w:pStyle w:val="4"/>
              <w:spacing w:after="0" w:line="440" w:lineRule="exact"/>
              <w:ind w:firstLine="0"/>
              <w:rPr>
                <w:rFonts w:hint="default" w:ascii="Times New Roman" w:hAnsi="Times New Roman" w:cs="Times New Roman"/>
                <w:szCs w:val="24"/>
              </w:rPr>
            </w:pPr>
            <w:r>
              <w:rPr>
                <w:rFonts w:hint="default" w:ascii="Times New Roman" w:hAnsi="Times New Roman" w:cs="Times New Roman"/>
                <w:szCs w:val="24"/>
              </w:rPr>
              <w:t>4.2.1废气</w:t>
            </w:r>
          </w:p>
          <w:p>
            <w:pPr>
              <w:pStyle w:val="67"/>
              <w:spacing w:line="440" w:lineRule="exact"/>
              <w:ind w:left="0" w:leftChars="0" w:firstLine="0" w:firstLineChars="0"/>
              <w:rPr>
                <w:rFonts w:hint="default" w:ascii="Times New Roman" w:hAnsi="Times New Roman" w:cs="Times New Roman"/>
                <w:b/>
                <w:bCs/>
              </w:rPr>
            </w:pPr>
            <w:r>
              <w:rPr>
                <w:rFonts w:hint="default" w:ascii="Times New Roman" w:hAnsi="Times New Roman" w:cs="Times New Roman"/>
                <w:b/>
                <w:bCs/>
                <w:szCs w:val="24"/>
              </w:rPr>
              <w:t>4.2.1.1废气产排污分析</w:t>
            </w:r>
          </w:p>
          <w:p>
            <w:pPr>
              <w:pStyle w:val="67"/>
              <w:spacing w:line="440" w:lineRule="exact"/>
              <w:ind w:firstLine="482"/>
              <w:rPr>
                <w:rFonts w:hint="default" w:ascii="Times New Roman" w:hAnsi="Times New Roman" w:cs="Times New Roman"/>
                <w:b/>
                <w:bCs/>
              </w:rPr>
            </w:pPr>
            <w:r>
              <w:rPr>
                <w:rFonts w:hint="default" w:ascii="Times New Roman" w:hAnsi="Times New Roman" w:cs="Times New Roman"/>
                <w:b/>
                <w:bCs/>
              </w:rPr>
              <w:t>(1)隔热垫生产线产排污分析</w:t>
            </w:r>
          </w:p>
          <w:p>
            <w:pPr>
              <w:pStyle w:val="67"/>
              <w:spacing w:line="440" w:lineRule="exact"/>
              <w:ind w:firstLine="482"/>
              <w:rPr>
                <w:rFonts w:hint="default" w:ascii="Times New Roman" w:hAnsi="Times New Roman" w:cs="Times New Roman"/>
                <w:color w:val="auto"/>
              </w:rPr>
            </w:pPr>
            <w:r>
              <w:rPr>
                <w:rFonts w:hint="default" w:ascii="Times New Roman" w:hAnsi="Times New Roman" w:cs="Times New Roman"/>
                <w:b/>
                <w:bCs/>
              </w:rPr>
              <w:t>玻璃纤维粉尘（G1-1--G1-4）、玻璃/陶瓷纤维粉尘G1-5</w:t>
            </w:r>
            <w:r>
              <w:rPr>
                <w:rFonts w:hint="default" w:ascii="Times New Roman" w:hAnsi="Times New Roman" w:cs="Times New Roman"/>
              </w:rPr>
              <w:t>：隔热垫生产过程中使用的原料为玻璃纤维、陶瓷纤维，大气污染因子为颗粒物。短切、开松、梳理等工艺产生玻璃纤</w:t>
            </w:r>
            <w:r>
              <w:rPr>
                <w:rFonts w:hint="default" w:ascii="Times New Roman" w:hAnsi="Times New Roman" w:cs="Times New Roman"/>
                <w:color w:val="auto"/>
              </w:rPr>
              <w:t>维粉尘（G1-1--G1-4），裁切产生玻璃/陶瓷纤维粉尘G1-5。</w:t>
            </w:r>
          </w:p>
          <w:p>
            <w:pPr>
              <w:pStyle w:val="67"/>
              <w:spacing w:line="440" w:lineRule="exact"/>
              <w:rPr>
                <w:rFonts w:hint="default" w:ascii="Times New Roman" w:hAnsi="Times New Roman" w:cs="Times New Roman"/>
                <w:color w:val="auto"/>
                <w:lang w:eastAsia="zh-CN"/>
              </w:rPr>
            </w:pPr>
            <w:r>
              <w:rPr>
                <w:rFonts w:hint="default" w:ascii="Times New Roman" w:hAnsi="Times New Roman" w:cs="Times New Roman"/>
                <w:color w:val="auto"/>
              </w:rPr>
              <w:t>根据建设单位提供的资料，项目年使用玻璃纤维纱为</w:t>
            </w:r>
            <w:r>
              <w:rPr>
                <w:rFonts w:hint="default" w:ascii="Times New Roman" w:hAnsi="Times New Roman" w:cs="Times New Roman"/>
                <w:color w:val="auto"/>
                <w:lang w:val="en-US" w:eastAsia="zh-CN"/>
              </w:rPr>
              <w:t>2000</w:t>
            </w:r>
            <w:r>
              <w:rPr>
                <w:rFonts w:hint="default" w:ascii="Times New Roman" w:hAnsi="Times New Roman" w:cs="Times New Roman"/>
                <w:color w:val="auto"/>
              </w:rPr>
              <w:t>t</w:t>
            </w:r>
            <w:r>
              <w:rPr>
                <w:rFonts w:hint="default" w:ascii="Times New Roman" w:hAnsi="Times New Roman" w:cs="Times New Roman"/>
                <w:color w:val="auto"/>
                <w:lang w:eastAsia="zh-CN"/>
              </w:rPr>
              <w:t>、</w:t>
            </w:r>
            <w:r>
              <w:rPr>
                <w:rFonts w:hint="default" w:ascii="Times New Roman" w:hAnsi="Times New Roman" w:cs="Times New Roman"/>
                <w:color w:val="auto"/>
              </w:rPr>
              <w:t>陶瓷纤维毯</w:t>
            </w:r>
            <w:r>
              <w:rPr>
                <w:rFonts w:hint="default" w:ascii="Times New Roman" w:hAnsi="Times New Roman" w:cs="Times New Roman"/>
                <w:color w:val="auto"/>
                <w:lang w:val="en-US" w:eastAsia="zh-CN"/>
              </w:rPr>
              <w:t>300</w:t>
            </w:r>
            <w:r>
              <w:rPr>
                <w:rFonts w:hint="default" w:ascii="Times New Roman" w:hAnsi="Times New Roman" w:cs="Times New Roman"/>
                <w:color w:val="auto"/>
              </w:rPr>
              <w:t>t</w:t>
            </w:r>
            <w:r>
              <w:rPr>
                <w:rFonts w:hint="default" w:ascii="Times New Roman" w:hAnsi="Times New Roman" w:cs="Times New Roman"/>
                <w:color w:val="auto"/>
                <w:lang w:eastAsia="zh-CN"/>
              </w:rPr>
              <w:t>，其中有</w:t>
            </w:r>
            <w:r>
              <w:rPr>
                <w:rFonts w:hint="default" w:ascii="Times New Roman" w:hAnsi="Times New Roman" w:cs="Times New Roman"/>
                <w:color w:val="auto"/>
                <w:lang w:val="en-US" w:eastAsia="zh-CN"/>
              </w:rPr>
              <w:t>1000</w:t>
            </w:r>
            <w:r>
              <w:rPr>
                <w:rFonts w:hint="default" w:ascii="Times New Roman" w:hAnsi="Times New Roman" w:cs="Times New Roman"/>
                <w:color w:val="auto"/>
              </w:rPr>
              <w:t>t玻璃纤维短切纱</w:t>
            </w:r>
            <w:r>
              <w:rPr>
                <w:rFonts w:hint="default" w:ascii="Times New Roman" w:hAnsi="Times New Roman" w:cs="Times New Roman"/>
                <w:color w:val="auto"/>
                <w:lang w:eastAsia="zh-CN"/>
              </w:rPr>
              <w:t>不需要短切、</w:t>
            </w:r>
            <w:r>
              <w:rPr>
                <w:rFonts w:hint="default" w:ascii="Times New Roman" w:hAnsi="Times New Roman" w:cs="Times New Roman"/>
                <w:color w:val="auto"/>
              </w:rPr>
              <w:t>陶瓷纤维毯</w:t>
            </w:r>
            <w:r>
              <w:rPr>
                <w:rFonts w:hint="default" w:ascii="Times New Roman" w:hAnsi="Times New Roman" w:cs="Times New Roman"/>
                <w:color w:val="auto"/>
                <w:lang w:eastAsia="zh-CN"/>
              </w:rPr>
              <w:t>裁切产生少量陶瓷纤维，开松、</w:t>
            </w:r>
            <w:r>
              <w:rPr>
                <w:rFonts w:hint="default" w:ascii="Times New Roman" w:hAnsi="Times New Roman" w:cs="Times New Roman"/>
                <w:color w:val="auto"/>
              </w:rPr>
              <w:t>梳理等工艺产生玻璃</w:t>
            </w:r>
            <w:r>
              <w:rPr>
                <w:rFonts w:hint="default" w:ascii="Times New Roman" w:hAnsi="Times New Roman" w:cs="Times New Roman"/>
                <w:color w:val="auto"/>
                <w:lang w:val="en-US" w:eastAsia="zh-CN"/>
              </w:rPr>
              <w:t>/陶瓷</w:t>
            </w:r>
            <w:r>
              <w:rPr>
                <w:rFonts w:hint="default" w:ascii="Times New Roman" w:hAnsi="Times New Roman" w:cs="Times New Roman"/>
                <w:color w:val="auto"/>
              </w:rPr>
              <w:t>纤维粉尘</w:t>
            </w:r>
            <w:r>
              <w:rPr>
                <w:rFonts w:hint="default" w:ascii="Times New Roman" w:hAnsi="Times New Roman" w:cs="Times New Roman"/>
                <w:color w:val="auto"/>
                <w:lang w:eastAsia="zh-CN"/>
              </w:rPr>
              <w:t>产生量约为原料</w:t>
            </w:r>
            <w:r>
              <w:rPr>
                <w:rFonts w:hint="default" w:ascii="Times New Roman" w:hAnsi="Times New Roman" w:cs="Times New Roman"/>
                <w:color w:val="auto"/>
                <w:lang w:val="en-US" w:eastAsia="zh-CN"/>
              </w:rPr>
              <w:t>0.01</w:t>
            </w:r>
            <w:r>
              <w:rPr>
                <w:rFonts w:hint="default" w:ascii="Times New Roman" w:hAnsi="Times New Roman" w:cs="Times New Roman"/>
                <w:color w:val="auto"/>
              </w:rPr>
              <w:t>%</w:t>
            </w:r>
            <w:r>
              <w:rPr>
                <w:rFonts w:hint="default" w:ascii="Times New Roman" w:hAnsi="Times New Roman" w:cs="Times New Roman"/>
                <w:color w:val="auto"/>
                <w:lang w:eastAsia="zh-CN"/>
              </w:rPr>
              <w:t>，短切</w:t>
            </w:r>
            <w:r>
              <w:rPr>
                <w:rFonts w:hint="default" w:ascii="Times New Roman" w:hAnsi="Times New Roman" w:cs="Times New Roman"/>
                <w:color w:val="auto"/>
              </w:rPr>
              <w:t>工艺产生玻璃纤维粉尘</w:t>
            </w:r>
            <w:r>
              <w:rPr>
                <w:rFonts w:hint="default" w:ascii="Times New Roman" w:hAnsi="Times New Roman" w:cs="Times New Roman"/>
                <w:color w:val="auto"/>
                <w:lang w:eastAsia="zh-CN"/>
              </w:rPr>
              <w:t>产生量约为原料</w:t>
            </w:r>
            <w:r>
              <w:rPr>
                <w:rFonts w:hint="default" w:ascii="Times New Roman" w:hAnsi="Times New Roman" w:cs="Times New Roman"/>
                <w:color w:val="auto"/>
                <w:lang w:val="en-US" w:eastAsia="zh-CN"/>
              </w:rPr>
              <w:t>0.04</w:t>
            </w:r>
            <w:r>
              <w:rPr>
                <w:rFonts w:hint="default" w:ascii="Times New Roman" w:hAnsi="Times New Roman" w:cs="Times New Roman"/>
                <w:color w:val="auto"/>
              </w:rPr>
              <w:t>%量</w:t>
            </w:r>
            <w:r>
              <w:rPr>
                <w:rFonts w:hint="default" w:ascii="Times New Roman" w:hAnsi="Times New Roman" w:cs="Times New Roman"/>
                <w:color w:val="auto"/>
                <w:lang w:eastAsia="zh-CN"/>
              </w:rPr>
              <w:t>，</w:t>
            </w:r>
            <w:r>
              <w:rPr>
                <w:rFonts w:hint="default" w:ascii="Times New Roman" w:hAnsi="Times New Roman" w:cs="Times New Roman"/>
                <w:color w:val="auto"/>
              </w:rPr>
              <w:t>则玻璃</w:t>
            </w:r>
            <w:r>
              <w:rPr>
                <w:rFonts w:hint="default" w:ascii="Times New Roman" w:hAnsi="Times New Roman" w:cs="Times New Roman"/>
                <w:color w:val="auto"/>
                <w:lang w:val="en-US" w:eastAsia="zh-CN"/>
              </w:rPr>
              <w:t>/陶瓷</w:t>
            </w:r>
            <w:r>
              <w:rPr>
                <w:rFonts w:hint="default" w:ascii="Times New Roman" w:hAnsi="Times New Roman" w:cs="Times New Roman"/>
                <w:color w:val="auto"/>
                <w:lang w:eastAsia="zh-CN"/>
              </w:rPr>
              <w:t>纤维粉尘</w:t>
            </w:r>
            <w:r>
              <w:rPr>
                <w:rFonts w:hint="default" w:ascii="Times New Roman" w:hAnsi="Times New Roman" w:cs="Times New Roman"/>
                <w:color w:val="auto"/>
              </w:rPr>
              <w:t>产生量为0.</w:t>
            </w:r>
            <w:r>
              <w:rPr>
                <w:rFonts w:hint="default" w:ascii="Times New Roman" w:hAnsi="Times New Roman" w:cs="Times New Roman"/>
                <w:color w:val="auto"/>
                <w:lang w:val="en-US" w:eastAsia="zh-CN"/>
              </w:rPr>
              <w:t>53</w:t>
            </w:r>
            <w:r>
              <w:rPr>
                <w:rFonts w:hint="default" w:ascii="Times New Roman" w:hAnsi="Times New Roman" w:cs="Times New Roman"/>
                <w:color w:val="auto"/>
              </w:rPr>
              <w:t>t</w:t>
            </w:r>
            <w:r>
              <w:rPr>
                <w:rFonts w:hint="default" w:ascii="Times New Roman" w:hAnsi="Times New Roman" w:cs="Times New Roman"/>
                <w:color w:val="auto"/>
                <w:lang w:val="en-US"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0.147</w:t>
            </w:r>
            <w:r>
              <w:rPr>
                <w:rFonts w:hint="default" w:ascii="Times New Roman" w:hAnsi="Times New Roman" w:cs="Times New Roman"/>
                <w:color w:val="auto"/>
                <w:lang w:eastAsia="zh-CN"/>
              </w:rPr>
              <w:t>kg/h）。</w:t>
            </w:r>
          </w:p>
          <w:p>
            <w:pPr>
              <w:pStyle w:val="67"/>
              <w:spacing w:line="440" w:lineRule="exact"/>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本项目通过在裁断机、</w:t>
            </w:r>
            <w:r>
              <w:rPr>
                <w:rFonts w:hint="default" w:ascii="Times New Roman" w:hAnsi="Times New Roman" w:cs="Times New Roman"/>
                <w:color w:val="auto"/>
              </w:rPr>
              <w:t>精开松机</w:t>
            </w:r>
            <w:r>
              <w:rPr>
                <w:rFonts w:hint="default" w:ascii="Times New Roman" w:hAnsi="Times New Roman" w:cs="Times New Roman"/>
                <w:color w:val="auto"/>
                <w:lang w:eastAsia="zh-CN"/>
              </w:rPr>
              <w:t>、</w:t>
            </w:r>
            <w:r>
              <w:rPr>
                <w:rFonts w:hint="default" w:ascii="Times New Roman" w:hAnsi="Times New Roman" w:cs="Times New Roman"/>
                <w:color w:val="auto"/>
              </w:rPr>
              <w:t>混棉一体机</w:t>
            </w:r>
            <w:r>
              <w:rPr>
                <w:rFonts w:hint="default" w:ascii="Times New Roman" w:hAnsi="Times New Roman" w:cs="Times New Roman"/>
                <w:color w:val="auto"/>
                <w:lang w:eastAsia="zh-CN"/>
              </w:rPr>
              <w:t>、梳理机、针刺机上分别设置1.3m*0.</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m的集气罩对该部分颗粒物进行收集，一并汇入布袋除尘器进行处理，处理达标后经25m高排气筒（编号：DA002）排放，布袋除尘器的除尘效</w:t>
            </w:r>
            <w:r>
              <w:rPr>
                <w:rFonts w:hint="default" w:ascii="Times New Roman" w:hAnsi="Times New Roman" w:cs="Times New Roman"/>
                <w:color w:val="auto"/>
                <w:highlight w:val="none"/>
                <w:lang w:eastAsia="zh-CN"/>
              </w:rPr>
              <w:t>率以9</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%计</w:t>
            </w:r>
            <w:r>
              <w:rPr>
                <w:rFonts w:hint="default" w:ascii="Times New Roman" w:hAnsi="Times New Roman" w:cs="Times New Roman"/>
                <w:color w:val="auto"/>
                <w:lang w:eastAsia="zh-CN"/>
              </w:rPr>
              <w:t>，总风机量约</w:t>
            </w:r>
            <w:r>
              <w:rPr>
                <w:rFonts w:hint="default" w:ascii="Times New Roman" w:hAnsi="Times New Roman" w:cs="Times New Roman"/>
                <w:color w:val="auto"/>
                <w:lang w:val="en-US" w:eastAsia="zh-CN"/>
              </w:rPr>
              <w:t>130</w:t>
            </w:r>
            <w:r>
              <w:rPr>
                <w:rFonts w:hint="default" w:ascii="Times New Roman" w:hAnsi="Times New Roman" w:cs="Times New Roman"/>
                <w:color w:val="auto"/>
                <w:lang w:eastAsia="zh-CN"/>
              </w:rPr>
              <w:t>00m³/h，废气收集率为80%。</w:t>
            </w:r>
          </w:p>
          <w:p>
            <w:pPr>
              <w:pStyle w:val="67"/>
              <w:spacing w:line="440" w:lineRule="exact"/>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则裁切、梳理等工序有组织废气中颗粒物产生量为</w:t>
            </w:r>
            <w:r>
              <w:rPr>
                <w:rFonts w:hint="default" w:ascii="Times New Roman" w:hAnsi="Times New Roman" w:cs="Times New Roman"/>
                <w:color w:val="auto"/>
                <w:lang w:val="en-US" w:eastAsia="zh-CN"/>
              </w:rPr>
              <w:t>0.424</w:t>
            </w:r>
            <w:r>
              <w:rPr>
                <w:rFonts w:hint="default" w:ascii="Times New Roman" w:hAnsi="Times New Roman" w:cs="Times New Roman"/>
                <w:color w:val="auto"/>
              </w:rPr>
              <w:t>t</w:t>
            </w:r>
            <w:r>
              <w:rPr>
                <w:rFonts w:hint="default" w:ascii="Times New Roman" w:hAnsi="Times New Roman" w:cs="Times New Roman"/>
                <w:color w:val="auto"/>
                <w:lang w:val="en-US"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0.118</w:t>
            </w:r>
            <w:r>
              <w:rPr>
                <w:rFonts w:hint="default" w:ascii="Times New Roman" w:hAnsi="Times New Roman" w:cs="Times New Roman"/>
                <w:color w:val="auto"/>
                <w:lang w:eastAsia="zh-CN"/>
              </w:rPr>
              <w:t>kg/h）；</w:t>
            </w:r>
            <w:r>
              <w:rPr>
                <w:rFonts w:hint="default" w:ascii="Times New Roman" w:hAnsi="Times New Roman" w:cs="Times New Roman"/>
                <w:color w:val="auto"/>
                <w:lang w:val="en-US" w:eastAsia="zh-CN"/>
              </w:rPr>
              <w:t>20%的未收集废气按无组织考虑，则无组织废气中颗粒物产生量为0.106</w:t>
            </w:r>
            <w:r>
              <w:rPr>
                <w:rFonts w:hint="default" w:ascii="Times New Roman" w:hAnsi="Times New Roman" w:cs="Times New Roman"/>
                <w:color w:val="auto"/>
              </w:rPr>
              <w:t>t</w:t>
            </w:r>
            <w:r>
              <w:rPr>
                <w:rFonts w:hint="default" w:ascii="Times New Roman" w:hAnsi="Times New Roman" w:cs="Times New Roman"/>
                <w:color w:val="auto"/>
                <w:lang w:val="en-US" w:eastAsia="zh-CN"/>
              </w:rPr>
              <w:t>/</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0.029</w:t>
            </w:r>
            <w:r>
              <w:rPr>
                <w:rFonts w:hint="default" w:ascii="Times New Roman" w:hAnsi="Times New Roman" w:cs="Times New Roman"/>
                <w:color w:val="auto"/>
                <w:lang w:eastAsia="zh-CN"/>
              </w:rPr>
              <w:t>kg/h）。</w:t>
            </w:r>
          </w:p>
          <w:p>
            <w:pPr>
              <w:pStyle w:val="67"/>
              <w:spacing w:line="440" w:lineRule="exact"/>
              <w:ind w:firstLine="482"/>
              <w:rPr>
                <w:rFonts w:hint="default" w:ascii="Times New Roman" w:hAnsi="Times New Roman" w:cs="Times New Roman"/>
                <w:b/>
                <w:bCs/>
                <w:color w:val="auto"/>
              </w:rPr>
            </w:pPr>
            <w:r>
              <w:rPr>
                <w:rFonts w:hint="default" w:ascii="Times New Roman" w:hAnsi="Times New Roman" w:cs="Times New Roman"/>
                <w:b/>
                <w:bCs/>
                <w:color w:val="auto"/>
              </w:rPr>
              <w:t>(2)新能源线束生产线产排污分析</w:t>
            </w:r>
          </w:p>
          <w:p>
            <w:pPr>
              <w:pStyle w:val="67"/>
              <w:spacing w:line="440" w:lineRule="exact"/>
              <w:rPr>
                <w:rFonts w:hint="default" w:ascii="Times New Roman" w:hAnsi="Times New Roman" w:cs="Times New Roman"/>
                <w:color w:val="auto"/>
              </w:rPr>
            </w:pPr>
            <w:r>
              <w:rPr>
                <w:rFonts w:hint="default" w:ascii="Times New Roman" w:hAnsi="Times New Roman" w:cs="Times New Roman"/>
                <w:color w:val="auto"/>
              </w:rPr>
              <w:t>新能源线束</w:t>
            </w:r>
            <w:r>
              <w:rPr>
                <w:rFonts w:hint="default" w:ascii="Times New Roman" w:hAnsi="Times New Roman" w:cs="Times New Roman"/>
                <w:color w:val="auto"/>
                <w:kern w:val="2"/>
              </w:rPr>
              <w:t>生产过程中不涉及废气。</w:t>
            </w:r>
          </w:p>
          <w:p>
            <w:pPr>
              <w:pStyle w:val="67"/>
              <w:spacing w:line="440" w:lineRule="exact"/>
              <w:ind w:firstLine="482"/>
              <w:rPr>
                <w:rFonts w:hint="default" w:ascii="Times New Roman" w:hAnsi="Times New Roman" w:cs="Times New Roman"/>
                <w:b/>
                <w:bCs/>
              </w:rPr>
            </w:pPr>
            <w:r>
              <w:rPr>
                <w:rFonts w:hint="default" w:ascii="Times New Roman" w:hAnsi="Times New Roman" w:cs="Times New Roman"/>
                <w:b/>
                <w:bCs/>
              </w:rPr>
              <w:t>(3)车窗升降机生产线产排污分析</w:t>
            </w:r>
          </w:p>
          <w:p>
            <w:pPr>
              <w:pStyle w:val="67"/>
              <w:spacing w:line="440" w:lineRule="exact"/>
              <w:rPr>
                <w:rFonts w:hint="default" w:ascii="Times New Roman" w:hAnsi="Times New Roman" w:cs="Times New Roman"/>
              </w:rPr>
            </w:pPr>
            <w:r>
              <w:rPr>
                <w:rFonts w:hint="default" w:ascii="Times New Roman" w:hAnsi="Times New Roman" w:cs="Times New Roman"/>
              </w:rPr>
              <w:t>车窗升降机</w:t>
            </w:r>
            <w:r>
              <w:rPr>
                <w:rFonts w:hint="default" w:ascii="Times New Roman" w:hAnsi="Times New Roman" w:cs="Times New Roman"/>
                <w:kern w:val="2"/>
              </w:rPr>
              <w:t>生产过程中不涉及废气。</w:t>
            </w:r>
          </w:p>
          <w:p>
            <w:pPr>
              <w:pStyle w:val="67"/>
              <w:spacing w:line="440" w:lineRule="exact"/>
              <w:ind w:firstLine="482"/>
              <w:rPr>
                <w:rFonts w:hint="default" w:ascii="Times New Roman" w:hAnsi="Times New Roman" w:cs="Times New Roman"/>
                <w:b/>
                <w:bCs/>
              </w:rPr>
            </w:pPr>
            <w:r>
              <w:rPr>
                <w:rFonts w:hint="default" w:ascii="Times New Roman" w:hAnsi="Times New Roman" w:cs="Times New Roman"/>
                <w:b/>
                <w:bCs/>
              </w:rPr>
              <w:t>(4)电器盒壳体注塑件生产线产排污分析</w:t>
            </w:r>
          </w:p>
          <w:p>
            <w:pPr>
              <w:pStyle w:val="67"/>
              <w:spacing w:line="440" w:lineRule="exact"/>
              <w:ind w:firstLine="482"/>
              <w:rPr>
                <w:rFonts w:hint="default" w:ascii="Times New Roman" w:hAnsi="Times New Roman" w:cs="Times New Roman"/>
              </w:rPr>
            </w:pPr>
            <w:r>
              <w:rPr>
                <w:rFonts w:hint="default" w:ascii="Times New Roman" w:hAnsi="Times New Roman" w:cs="Times New Roman"/>
                <w:b/>
                <w:bCs/>
              </w:rPr>
              <w:t>注塑废气G2-1</w:t>
            </w:r>
            <w:r>
              <w:rPr>
                <w:rFonts w:hint="default" w:ascii="Times New Roman" w:hAnsi="Times New Roman" w:cs="Times New Roman"/>
              </w:rPr>
              <w:t>：电器盒壳体注塑件生产注塑工序采用电加热，使用的原料为PA66（尼龙66）及TPE（合成橡胶），大气污染因子主要有：非甲烷总烃、氨、臭气浓度。</w:t>
            </w:r>
          </w:p>
          <w:p>
            <w:pPr>
              <w:pStyle w:val="67"/>
              <w:spacing w:line="440" w:lineRule="exact"/>
              <w:rPr>
                <w:rFonts w:hint="default" w:ascii="Times New Roman" w:hAnsi="Times New Roman" w:cs="Times New Roman"/>
              </w:rPr>
            </w:pPr>
            <w:r>
              <w:rPr>
                <w:rFonts w:hint="default" w:ascii="Times New Roman" w:hAnsi="Times New Roman" w:cs="Times New Roman"/>
              </w:rPr>
              <w:t>注塑工序严格控制PA66注塑加热温度在230~280℃范围内；TPE注塑加热温度在200~240℃范围内，低于原料PA66（尼龙66）及TPE的热分解温度，原料不会进入大量分解的阶段。</w:t>
            </w:r>
          </w:p>
          <w:p>
            <w:pPr>
              <w:pStyle w:val="67"/>
              <w:spacing w:line="440" w:lineRule="exact"/>
              <w:rPr>
                <w:rFonts w:hint="default" w:ascii="Times New Roman" w:hAnsi="Times New Roman" w:cs="Times New Roman"/>
                <w:color w:val="auto"/>
              </w:rPr>
            </w:pPr>
            <w:r>
              <w:rPr>
                <w:rFonts w:hint="default" w:ascii="Times New Roman" w:hAnsi="Times New Roman" w:cs="Times New Roman"/>
              </w:rPr>
              <w:t>PA66（尼龙66）及TPE注塑工序有机废气污染物（以非甲烷总烃计）产生源强参考《排放源统计调查产排污核算方法和系数手册》中同类原料及工艺的系数。在机械行业系数手册—08树脂纤维加工中，在利用树脂材料或其他非金属材料通过注塑成型等工艺生产塑料部件的过程中，废气中挥发性有机物（以非甲烷总烃计）产污系数为1.2kg/t原料。本项目PA66用量100t/a、TPE用量120t/a，注塑生产过程中有机废气污染物（以非甲烷</w:t>
            </w:r>
            <w:r>
              <w:rPr>
                <w:rFonts w:hint="default" w:ascii="Times New Roman" w:hAnsi="Times New Roman" w:cs="Times New Roman"/>
                <w:color w:val="auto"/>
              </w:rPr>
              <w:t>总烃计）产生量为264kg/a。</w:t>
            </w:r>
          </w:p>
          <w:p>
            <w:pPr>
              <w:pStyle w:val="67"/>
              <w:spacing w:line="440" w:lineRule="exact"/>
              <w:rPr>
                <w:rFonts w:hint="default" w:ascii="Times New Roman" w:hAnsi="Times New Roman" w:cs="Times New Roman"/>
                <w:color w:val="auto"/>
                <w:shd w:val="clear" w:color="auto" w:fill="FFFFFF"/>
              </w:rPr>
            </w:pPr>
            <w:r>
              <w:rPr>
                <w:rFonts w:hint="default" w:ascii="Times New Roman" w:hAnsi="Times New Roman" w:cs="Times New Roman"/>
                <w:color w:val="auto"/>
              </w:rPr>
              <w:t>PA66（尼龙66）注塑工序中氨的源强产生系数，目前国家和地方均未发布。本评价参考化学工业出版社出版的《工业生产中的有害物质手册》（拉扎列夫 列文娜主编）</w:t>
            </w:r>
            <w:r>
              <w:rPr>
                <w:rFonts w:hint="default" w:ascii="Times New Roman" w:hAnsi="Times New Roman" w:cs="Times New Roman"/>
                <w:color w:val="auto"/>
                <w:lang w:eastAsia="zh-CN"/>
              </w:rPr>
              <w:t>：</w:t>
            </w:r>
            <w:r>
              <w:rPr>
                <w:rFonts w:hint="default" w:ascii="Times New Roman" w:hAnsi="Times New Roman" w:cs="Times New Roman"/>
                <w:color w:val="auto"/>
              </w:rPr>
              <w:t>塑料在加热过程中气态污染物的产生量约原料的万分之一左右</w:t>
            </w:r>
            <w:r>
              <w:rPr>
                <w:rFonts w:hint="default" w:ascii="Times New Roman" w:hAnsi="Times New Roman" w:cs="Times New Roman"/>
                <w:color w:val="auto"/>
                <w:lang w:eastAsia="zh-CN"/>
              </w:rPr>
              <w:t>。</w:t>
            </w:r>
            <w:r>
              <w:rPr>
                <w:rFonts w:hint="default" w:ascii="Times New Roman" w:hAnsi="Times New Roman" w:cs="Times New Roman"/>
                <w:color w:val="auto"/>
              </w:rPr>
              <w:t>据此可以估算</w:t>
            </w:r>
            <w:r>
              <w:rPr>
                <w:rFonts w:hint="default" w:ascii="Times New Roman" w:hAnsi="Times New Roman" w:cs="Times New Roman"/>
                <w:color w:val="auto"/>
                <w:lang w:eastAsia="zh-CN"/>
              </w:rPr>
              <w:t>本项目</w:t>
            </w:r>
            <w:r>
              <w:rPr>
                <w:rFonts w:hint="default" w:ascii="Times New Roman" w:hAnsi="Times New Roman" w:cs="Times New Roman"/>
                <w:color w:val="auto"/>
              </w:rPr>
              <w:t>PA</w:t>
            </w:r>
            <w:r>
              <w:rPr>
                <w:rFonts w:hint="default" w:ascii="Times New Roman" w:hAnsi="Times New Roman" w:cs="Times New Roman"/>
                <w:color w:val="auto"/>
                <w:lang w:val="en-US" w:eastAsia="zh-CN"/>
              </w:rPr>
              <w:t>66</w:t>
            </w:r>
            <w:r>
              <w:rPr>
                <w:rFonts w:hint="default" w:ascii="Times New Roman" w:hAnsi="Times New Roman" w:cs="Times New Roman"/>
                <w:color w:val="auto"/>
              </w:rPr>
              <w:t>（尼龙66）注塑工序中氨的产生量约</w:t>
            </w:r>
            <w:r>
              <w:rPr>
                <w:rFonts w:hint="default" w:ascii="Times New Roman" w:hAnsi="Times New Roman" w:cs="Times New Roman"/>
                <w:color w:val="auto"/>
                <w:lang w:val="en-US" w:eastAsia="zh-CN"/>
              </w:rPr>
              <w:t>10</w:t>
            </w:r>
            <w:r>
              <w:rPr>
                <w:rFonts w:hint="default" w:ascii="Times New Roman" w:hAnsi="Times New Roman" w:cs="Times New Roman"/>
                <w:color w:val="auto"/>
                <w:shd w:val="clear" w:color="auto" w:fill="FFFFFF"/>
              </w:rPr>
              <w:t>kg/a。</w:t>
            </w:r>
          </w:p>
          <w:p>
            <w:pPr>
              <w:spacing w:after="0" w:line="420" w:lineRule="exact"/>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根据GB/T14675-93《空气质量  恶臭的测定  三点比较式臭袋法》，臭气浓度是根据嗅觉器官试验法对臭气气味的大小予以数量化表示的指标，用无臭的清洁空气对臭气样品连续稀释至臭辩员阈值时的稀释倍数</w:t>
            </w:r>
            <w:r>
              <w:rPr>
                <w:rFonts w:hint="eastAsia" w:ascii="Times New Roman" w:hAnsi="Times New Roman" w:cs="Times New Roman" w:eastAsiaTheme="minorEastAsia"/>
                <w:bCs/>
                <w:color w:val="auto"/>
                <w:sz w:val="24"/>
                <w:szCs w:val="24"/>
                <w:lang w:eastAsia="zh-CN"/>
              </w:rPr>
              <w:t>叫做</w:t>
            </w:r>
            <w:r>
              <w:rPr>
                <w:rFonts w:hint="default" w:ascii="Times New Roman" w:hAnsi="Times New Roman" w:cs="Times New Roman" w:eastAsiaTheme="minorEastAsia"/>
                <w:bCs/>
                <w:color w:val="auto"/>
                <w:sz w:val="24"/>
                <w:szCs w:val="24"/>
              </w:rPr>
              <w:t>臭气浓度</w:t>
            </w:r>
            <w:r>
              <w:rPr>
                <w:rFonts w:hint="default" w:ascii="Times New Roman" w:hAnsi="Times New Roman" w:eastAsia="宋体" w:cs="Times New Roman"/>
                <w:color w:val="auto"/>
                <w:sz w:val="24"/>
                <w:szCs w:val="24"/>
              </w:rPr>
              <w:t>，</w:t>
            </w:r>
            <w:r>
              <w:rPr>
                <w:rFonts w:hint="default" w:ascii="Times New Roman" w:hAnsi="Times New Roman" w:cs="Times New Roman" w:eastAsiaTheme="minorEastAsia"/>
                <w:bCs/>
                <w:color w:val="auto"/>
                <w:sz w:val="24"/>
                <w:szCs w:val="24"/>
              </w:rPr>
              <w:t>故本次评价不对臭气浓度进行定量计算，仅作为竣工环保验收和自行监测控制指标。</w:t>
            </w:r>
          </w:p>
          <w:p>
            <w:pPr>
              <w:spacing w:after="0"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注塑工序平均每天工作12h，年工作300d。本项目注塑车间一共14台注塑机、6粉料机，设置1套废气收集、处理装置。每台注塑机出料口上方设置集气罩对废气进行收集，由管道与车间主排气管道连通，引至1#废气处理系统“</w:t>
            </w:r>
            <w:r>
              <w:rPr>
                <w:rFonts w:hint="default" w:ascii="Times New Roman" w:hAnsi="Times New Roman" w:eastAsia="宋体" w:cs="Times New Roman"/>
                <w:color w:val="auto"/>
                <w:sz w:val="24"/>
                <w:szCs w:val="24"/>
                <w:shd w:val="clear" w:color="auto" w:fill="FFFFFF"/>
              </w:rPr>
              <w:t>二级活性炭吸附</w:t>
            </w:r>
            <w:r>
              <w:rPr>
                <w:rFonts w:hint="default" w:ascii="Times New Roman" w:hAnsi="Times New Roman" w:eastAsia="宋体" w:cs="Times New Roman"/>
                <w:color w:val="auto"/>
                <w:sz w:val="24"/>
                <w:szCs w:val="24"/>
              </w:rPr>
              <w:t>装置”处理后由</w:t>
            </w:r>
            <w:r>
              <w:rPr>
                <w:rFonts w:hint="default" w:ascii="Times New Roman" w:hAnsi="Times New Roman" w:eastAsia="宋体" w:cs="Times New Roman"/>
                <w:color w:val="auto"/>
                <w:sz w:val="24"/>
                <w:szCs w:val="24"/>
                <w:lang w:bidi="ar"/>
              </w:rPr>
              <w:t>25m高</w:t>
            </w:r>
            <w:r>
              <w:rPr>
                <w:rFonts w:hint="default" w:ascii="Times New Roman" w:hAnsi="Times New Roman" w:eastAsia="宋体" w:cs="Times New Roman"/>
                <w:color w:val="auto"/>
                <w:sz w:val="24"/>
                <w:szCs w:val="24"/>
              </w:rPr>
              <w:t>1#排气筒</w:t>
            </w:r>
            <w:r>
              <w:rPr>
                <w:rFonts w:hint="default" w:ascii="Times New Roman" w:hAnsi="Times New Roman" w:cs="Times New Roman" w:eastAsiaTheme="minorEastAsia"/>
                <w:color w:val="auto"/>
                <w:sz w:val="24"/>
                <w:szCs w:val="24"/>
              </w:rPr>
              <w:t>（编号：DA001）排放，</w:t>
            </w:r>
            <w:r>
              <w:rPr>
                <w:rFonts w:hint="default" w:ascii="Times New Roman" w:hAnsi="Times New Roman" w:eastAsia="宋体" w:cs="Times New Roman"/>
                <w:color w:val="auto"/>
                <w:sz w:val="24"/>
                <w:szCs w:val="24"/>
              </w:rPr>
              <w:t>总风量为25000m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/h，注塑废气收集效率按80%计，非甲烷总烃处理效率为80%。后续计算废气产排污时，将按照设备台数对废气总量平均分配后进行计算。</w:t>
            </w:r>
          </w:p>
          <w:p>
            <w:pPr>
              <w:spacing w:after="0" w:line="440" w:lineRule="exact"/>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表4.2-1  注塑工序产污系数和注塑废气G2-1产生情况</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995"/>
              <w:gridCol w:w="1269"/>
              <w:gridCol w:w="1188"/>
              <w:gridCol w:w="970"/>
              <w:gridCol w:w="911"/>
              <w:gridCol w:w="1396"/>
              <w:gridCol w:w="234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95"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使用原料</w:t>
                  </w:r>
                </w:p>
              </w:tc>
              <w:tc>
                <w:tcPr>
                  <w:tcW w:w="1269"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188"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970"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产污系数</w:t>
                  </w:r>
                </w:p>
              </w:tc>
              <w:tc>
                <w:tcPr>
                  <w:tcW w:w="911"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用量</w:t>
                  </w:r>
                </w:p>
              </w:tc>
              <w:tc>
                <w:tcPr>
                  <w:tcW w:w="1396"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污染物产生量</w:t>
                  </w:r>
                </w:p>
              </w:tc>
              <w:tc>
                <w:tcPr>
                  <w:tcW w:w="2343"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依据（参照）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62" w:hRule="atLeast"/>
                <w:jc w:val="center"/>
              </w:trPr>
              <w:tc>
                <w:tcPr>
                  <w:tcW w:w="995" w:type="dxa"/>
                  <w:vMerge w:val="restart"/>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PA66</w:t>
                  </w:r>
                </w:p>
              </w:tc>
              <w:tc>
                <w:tcPr>
                  <w:tcW w:w="1269"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（NMHC）</w:t>
                  </w:r>
                </w:p>
              </w:tc>
              <w:tc>
                <w:tcPr>
                  <w:tcW w:w="1188"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kg/t三胶</w:t>
                  </w:r>
                </w:p>
              </w:tc>
              <w:tc>
                <w:tcPr>
                  <w:tcW w:w="970"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11"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100t/a</w:t>
                  </w:r>
                </w:p>
              </w:tc>
              <w:tc>
                <w:tcPr>
                  <w:tcW w:w="1396"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120kg/a</w:t>
                  </w:r>
                </w:p>
              </w:tc>
              <w:tc>
                <w:tcPr>
                  <w:tcW w:w="2343" w:type="dxa"/>
                  <w:vAlign w:val="center"/>
                </w:tcPr>
                <w:p>
                  <w:pPr>
                    <w:topLinePunct/>
                    <w:spacing w:after="0"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《排放源统计调查产排污核算方法和系数手册》机械行业系数手册</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62" w:hRule="atLeast"/>
                <w:jc w:val="center"/>
              </w:trPr>
              <w:tc>
                <w:tcPr>
                  <w:tcW w:w="995" w:type="dxa"/>
                  <w:vMerge w:val="continue"/>
                  <w:vAlign w:val="center"/>
                </w:tcPr>
                <w:p>
                  <w:pPr>
                    <w:topLinePunct/>
                    <w:spacing w:after="0" w:line="300" w:lineRule="exact"/>
                    <w:jc w:val="center"/>
                    <w:rPr>
                      <w:rFonts w:hint="default" w:ascii="Times New Roman" w:hAnsi="Times New Roman" w:eastAsia="宋体" w:cs="Times New Roman"/>
                      <w:color w:val="auto"/>
                      <w:sz w:val="21"/>
                      <w:szCs w:val="21"/>
                    </w:rPr>
                  </w:pPr>
                </w:p>
              </w:tc>
              <w:tc>
                <w:tcPr>
                  <w:tcW w:w="1269"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1188"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70"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1"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100t/a</w:t>
                  </w:r>
                </w:p>
              </w:tc>
              <w:tc>
                <w:tcPr>
                  <w:tcW w:w="1396" w:type="dxa"/>
                  <w:tcBorders>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kg/a</w:t>
                  </w:r>
                </w:p>
              </w:tc>
              <w:tc>
                <w:tcPr>
                  <w:tcW w:w="2343"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《工业生产中的有害物质手册》</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95"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TPE</w:t>
                  </w:r>
                </w:p>
              </w:tc>
              <w:tc>
                <w:tcPr>
                  <w:tcW w:w="1269" w:type="dxa"/>
                  <w:tcBorders>
                    <w:top w:val="single" w:color="auto" w:sz="4" w:space="0"/>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（NMHC）</w:t>
                  </w:r>
                </w:p>
              </w:tc>
              <w:tc>
                <w:tcPr>
                  <w:tcW w:w="1188" w:type="dxa"/>
                  <w:tcBorders>
                    <w:top w:val="single" w:color="auto" w:sz="4" w:space="0"/>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kg/t三胶</w:t>
                  </w:r>
                </w:p>
              </w:tc>
              <w:tc>
                <w:tcPr>
                  <w:tcW w:w="970" w:type="dxa"/>
                  <w:tcBorders>
                    <w:top w:val="single" w:color="auto" w:sz="4" w:space="0"/>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911"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120t/a</w:t>
                  </w:r>
                </w:p>
              </w:tc>
              <w:tc>
                <w:tcPr>
                  <w:tcW w:w="1396"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144kg/a</w:t>
                  </w:r>
                </w:p>
              </w:tc>
              <w:tc>
                <w:tcPr>
                  <w:tcW w:w="2343" w:type="dxa"/>
                  <w:vAlign w:val="center"/>
                </w:tcPr>
                <w:p>
                  <w:pPr>
                    <w:topLinePunct/>
                    <w:spacing w:after="0"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《排放源统计调查产排污核算方法和系数手册》机械行业系数手册</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95"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269" w:type="dxa"/>
                  <w:tcBorders>
                    <w:top w:val="single" w:color="auto" w:sz="4" w:space="0"/>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（NMHC）</w:t>
                  </w:r>
                </w:p>
              </w:tc>
              <w:tc>
                <w:tcPr>
                  <w:tcW w:w="1188" w:type="dxa"/>
                  <w:tcBorders>
                    <w:top w:val="single" w:color="auto" w:sz="4" w:space="0"/>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70" w:type="dxa"/>
                  <w:tcBorders>
                    <w:top w:val="single" w:color="auto" w:sz="4" w:space="0"/>
                    <w:bottom w:val="single" w:color="auto" w:sz="4" w:space="0"/>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1"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96"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264kg/a</w:t>
                  </w:r>
                </w:p>
              </w:tc>
              <w:tc>
                <w:tcPr>
                  <w:tcW w:w="2343"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spacing w:after="0" w:line="440" w:lineRule="exact"/>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续表4.2-1  注塑工序产污系数和注塑废气G2-1产生情况</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95"/>
              <w:gridCol w:w="1157"/>
              <w:gridCol w:w="1131"/>
              <w:gridCol w:w="1104"/>
              <w:gridCol w:w="1302"/>
              <w:gridCol w:w="1073"/>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43" w:type="dxa"/>
                  <w:vMerge w:val="restart"/>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使用工序</w:t>
                  </w:r>
                </w:p>
              </w:tc>
              <w:tc>
                <w:tcPr>
                  <w:tcW w:w="1495" w:type="dxa"/>
                  <w:vMerge w:val="restart"/>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3392" w:type="dxa"/>
                  <w:gridSpan w:val="3"/>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各单元有机废气产生量（kg/a）</w:t>
                  </w:r>
                </w:p>
              </w:tc>
              <w:tc>
                <w:tcPr>
                  <w:tcW w:w="1302" w:type="dxa"/>
                  <w:vMerge w:val="restart"/>
                  <w:vAlign w:val="center"/>
                </w:tcPr>
                <w:p>
                  <w:pPr>
                    <w:topLinePunct/>
                    <w:spacing w:after="0" w:line="300" w:lineRule="exact"/>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排放规律（h/a）</w:t>
                  </w:r>
                </w:p>
              </w:tc>
              <w:tc>
                <w:tcPr>
                  <w:tcW w:w="2130" w:type="dxa"/>
                  <w:gridSpan w:val="2"/>
                  <w:vAlign w:val="center"/>
                </w:tcPr>
                <w:p>
                  <w:pPr>
                    <w:topLinePunct/>
                    <w:spacing w:after="0" w:line="300" w:lineRule="exact"/>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有机废气产生速率（kg/h）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43" w:type="dxa"/>
                  <w:vMerge w:val="continue"/>
                  <w:vAlign w:val="center"/>
                </w:tcPr>
                <w:p>
                  <w:pPr>
                    <w:topLinePunct/>
                    <w:spacing w:after="0" w:line="300" w:lineRule="exact"/>
                    <w:jc w:val="center"/>
                    <w:rPr>
                      <w:rFonts w:hint="default" w:ascii="Times New Roman" w:hAnsi="Times New Roman" w:eastAsia="宋体" w:cs="Times New Roman"/>
                      <w:color w:val="auto"/>
                      <w:sz w:val="21"/>
                      <w:szCs w:val="21"/>
                    </w:rPr>
                  </w:pPr>
                </w:p>
              </w:tc>
              <w:tc>
                <w:tcPr>
                  <w:tcW w:w="1495" w:type="dxa"/>
                  <w:vMerge w:val="continue"/>
                  <w:vAlign w:val="center"/>
                </w:tcPr>
                <w:p>
                  <w:pPr>
                    <w:topLinePunct/>
                    <w:spacing w:after="0" w:line="300" w:lineRule="exact"/>
                    <w:jc w:val="center"/>
                    <w:rPr>
                      <w:rFonts w:hint="default" w:ascii="Times New Roman" w:hAnsi="Times New Roman" w:eastAsia="宋体" w:cs="Times New Roman"/>
                      <w:color w:val="auto"/>
                      <w:sz w:val="21"/>
                      <w:szCs w:val="21"/>
                    </w:rPr>
                  </w:pPr>
                </w:p>
              </w:tc>
              <w:tc>
                <w:tcPr>
                  <w:tcW w:w="1157" w:type="dxa"/>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产生总量</w:t>
                  </w:r>
                </w:p>
              </w:tc>
              <w:tc>
                <w:tcPr>
                  <w:tcW w:w="1131" w:type="dxa"/>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有组织废气</w:t>
                  </w:r>
                </w:p>
              </w:tc>
              <w:tc>
                <w:tcPr>
                  <w:tcW w:w="1104" w:type="dxa"/>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无组织废气</w:t>
                  </w:r>
                </w:p>
              </w:tc>
              <w:tc>
                <w:tcPr>
                  <w:tcW w:w="1302" w:type="dxa"/>
                  <w:vMerge w:val="continue"/>
                  <w:vAlign w:val="center"/>
                </w:tcPr>
                <w:p>
                  <w:pPr>
                    <w:topLinePunct/>
                    <w:spacing w:after="0" w:line="300" w:lineRule="exact"/>
                    <w:jc w:val="center"/>
                    <w:rPr>
                      <w:rFonts w:hint="default" w:ascii="Times New Roman" w:hAnsi="Times New Roman" w:eastAsia="宋体" w:cs="Times New Roman"/>
                      <w:color w:val="auto"/>
                      <w:sz w:val="21"/>
                      <w:szCs w:val="21"/>
                    </w:rPr>
                  </w:pPr>
                </w:p>
              </w:tc>
              <w:tc>
                <w:tcPr>
                  <w:tcW w:w="1073"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有组织废气</w:t>
                  </w:r>
                </w:p>
              </w:tc>
              <w:tc>
                <w:tcPr>
                  <w:tcW w:w="1057"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743" w:type="dxa"/>
                  <w:vMerge w:val="restart"/>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注塑工序</w:t>
                  </w:r>
                </w:p>
              </w:tc>
              <w:tc>
                <w:tcPr>
                  <w:tcW w:w="1495"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157"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264</w:t>
                  </w:r>
                </w:p>
              </w:tc>
              <w:tc>
                <w:tcPr>
                  <w:tcW w:w="1131"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211.2</w:t>
                  </w:r>
                </w:p>
              </w:tc>
              <w:tc>
                <w:tcPr>
                  <w:tcW w:w="1104"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52.8</w:t>
                  </w:r>
                </w:p>
              </w:tc>
              <w:tc>
                <w:tcPr>
                  <w:tcW w:w="1302" w:type="dxa"/>
                  <w:vMerge w:val="restart"/>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3600</w:t>
                  </w:r>
                </w:p>
              </w:tc>
              <w:tc>
                <w:tcPr>
                  <w:tcW w:w="1073"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0.059</w:t>
                  </w:r>
                </w:p>
              </w:tc>
              <w:tc>
                <w:tcPr>
                  <w:tcW w:w="1057"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77" w:hRule="atLeast"/>
                <w:jc w:val="center"/>
              </w:trPr>
              <w:tc>
                <w:tcPr>
                  <w:tcW w:w="743" w:type="dxa"/>
                  <w:vMerge w:val="continue"/>
                  <w:vAlign w:val="center"/>
                </w:tcPr>
                <w:p>
                  <w:pPr>
                    <w:topLinePunct/>
                    <w:spacing w:after="0" w:line="300" w:lineRule="exact"/>
                    <w:jc w:val="center"/>
                    <w:rPr>
                      <w:rFonts w:hint="default" w:ascii="Times New Roman" w:hAnsi="Times New Roman" w:eastAsia="宋体" w:cs="Times New Roman"/>
                      <w:color w:val="auto"/>
                      <w:sz w:val="21"/>
                      <w:szCs w:val="21"/>
                    </w:rPr>
                  </w:pPr>
                </w:p>
              </w:tc>
              <w:tc>
                <w:tcPr>
                  <w:tcW w:w="1495"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1157" w:type="dxa"/>
                  <w:vAlign w:val="center"/>
                </w:tcPr>
                <w:p>
                  <w:pPr>
                    <w:topLinePunct/>
                    <w:spacing w:after="0" w:line="300" w:lineRule="exact"/>
                    <w:jc w:val="center"/>
                    <w:rPr>
                      <w:rFonts w:hint="default" w:ascii="Times New Roman" w:hAnsi="Times New Roman" w:eastAsia="微软雅黑"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 10</w:t>
                  </w:r>
                </w:p>
              </w:tc>
              <w:tc>
                <w:tcPr>
                  <w:tcW w:w="1131" w:type="dxa"/>
                  <w:vAlign w:val="center"/>
                </w:tcPr>
                <w:p>
                  <w:pPr>
                    <w:topLinePunct/>
                    <w:spacing w:after="0"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8</w:t>
                  </w:r>
                </w:p>
              </w:tc>
              <w:tc>
                <w:tcPr>
                  <w:tcW w:w="1104" w:type="dxa"/>
                  <w:vAlign w:val="center"/>
                </w:tcPr>
                <w:p>
                  <w:pPr>
                    <w:topLinePunct/>
                    <w:spacing w:after="0"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2</w:t>
                  </w:r>
                </w:p>
              </w:tc>
              <w:tc>
                <w:tcPr>
                  <w:tcW w:w="1302" w:type="dxa"/>
                  <w:vMerge w:val="continue"/>
                  <w:vAlign w:val="center"/>
                </w:tcPr>
                <w:p>
                  <w:pPr>
                    <w:topLinePunct/>
                    <w:spacing w:after="0" w:line="300" w:lineRule="exact"/>
                    <w:jc w:val="center"/>
                    <w:rPr>
                      <w:rFonts w:hint="default" w:ascii="Times New Roman" w:hAnsi="Times New Roman" w:eastAsia="宋体" w:cs="Times New Roman"/>
                      <w:color w:val="auto"/>
                      <w:sz w:val="21"/>
                      <w:szCs w:val="21"/>
                    </w:rPr>
                  </w:pPr>
                </w:p>
              </w:tc>
              <w:tc>
                <w:tcPr>
                  <w:tcW w:w="1073" w:type="dxa"/>
                  <w:vAlign w:val="center"/>
                </w:tcPr>
                <w:p>
                  <w:pPr>
                    <w:topLinePunct/>
                    <w:spacing w:after="0"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02</w:t>
                  </w:r>
                </w:p>
              </w:tc>
              <w:tc>
                <w:tcPr>
                  <w:tcW w:w="1057" w:type="dxa"/>
                  <w:vAlign w:val="center"/>
                </w:tcPr>
                <w:p>
                  <w:pPr>
                    <w:topLinePunct/>
                    <w:spacing w:after="0"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0.00</w:t>
                  </w:r>
                  <w:r>
                    <w:rPr>
                      <w:rFonts w:hint="default" w:ascii="Times New Roman" w:hAnsi="Times New Roman" w:eastAsia="宋体" w:cs="Times New Roman"/>
                      <w:color w:val="auto"/>
                      <w:sz w:val="21"/>
                      <w:szCs w:val="21"/>
                      <w:lang w:val="en-US" w:eastAsia="zh-CN"/>
                    </w:rPr>
                    <w:t>06</w:t>
                  </w:r>
                </w:p>
              </w:tc>
            </w:tr>
          </w:tbl>
          <w:p>
            <w:pPr>
              <w:spacing w:after="0" w:line="420" w:lineRule="exact"/>
              <w:ind w:firstLine="480" w:firstLineChars="200"/>
              <w:rPr>
                <w:rFonts w:hint="default" w:ascii="Times New Roman" w:hAnsi="Times New Roman" w:cs="Times New Roman"/>
                <w:b/>
                <w:bCs/>
                <w:color w:val="auto"/>
                <w:sz w:val="24"/>
                <w:szCs w:val="24"/>
              </w:rPr>
            </w:pPr>
            <w:r>
              <w:rPr>
                <w:rFonts w:hint="default" w:ascii="Times New Roman" w:hAnsi="Times New Roman" w:cs="Times New Roman" w:eastAsiaTheme="minorEastAsia"/>
                <w:bCs/>
                <w:color w:val="auto"/>
                <w:sz w:val="24"/>
                <w:szCs w:val="24"/>
              </w:rPr>
              <w:t>由表4.2-1可知，注塑废气G2-1中氨产生量少，排放量0.0</w:t>
            </w:r>
            <w:r>
              <w:rPr>
                <w:rFonts w:hint="default" w:ascii="Times New Roman" w:hAnsi="Times New Roman" w:cs="Times New Roman" w:eastAsiaTheme="minorEastAsia"/>
                <w:bCs/>
                <w:color w:val="auto"/>
                <w:sz w:val="24"/>
                <w:szCs w:val="24"/>
                <w:lang w:val="en-US" w:eastAsia="zh-CN"/>
              </w:rPr>
              <w:t>02</w:t>
            </w:r>
            <w:r>
              <w:rPr>
                <w:rFonts w:hint="default" w:ascii="Times New Roman" w:hAnsi="Times New Roman" w:cs="Times New Roman" w:eastAsiaTheme="minorEastAsia"/>
                <w:bCs/>
                <w:color w:val="auto"/>
                <w:sz w:val="24"/>
                <w:szCs w:val="24"/>
              </w:rPr>
              <w:t>kg/h远小于《恶臭污染物排放标准值》（GB14554-93）中氨排放量（14kg/h），产生浓度</w:t>
            </w:r>
            <w:r>
              <w:rPr>
                <w:rFonts w:hint="default" w:ascii="Times New Roman" w:hAnsi="Times New Roman" w:cs="Times New Roman" w:eastAsiaTheme="minorEastAsia"/>
                <w:bCs/>
                <w:color w:val="auto"/>
                <w:sz w:val="24"/>
                <w:szCs w:val="24"/>
                <w:lang w:val="en-US" w:eastAsia="zh-CN"/>
              </w:rPr>
              <w:t>0.3</w:t>
            </w:r>
            <w:r>
              <w:rPr>
                <w:rFonts w:hint="default" w:ascii="Times New Roman" w:hAnsi="Times New Roman" w:cs="Times New Roman" w:eastAsiaTheme="minorEastAsia"/>
                <w:bCs/>
                <w:color w:val="auto"/>
                <w:sz w:val="24"/>
                <w:szCs w:val="24"/>
              </w:rPr>
              <w:t>2mg/m</w:t>
            </w:r>
            <w:r>
              <w:rPr>
                <w:rFonts w:hint="default" w:ascii="Times New Roman" w:hAnsi="Times New Roman" w:cs="Times New Roman" w:eastAsiaTheme="minorEastAsia"/>
                <w:bCs/>
                <w:color w:val="auto"/>
                <w:sz w:val="24"/>
                <w:szCs w:val="24"/>
                <w:vertAlign w:val="superscript"/>
              </w:rPr>
              <w:t>3</w:t>
            </w:r>
            <w:r>
              <w:rPr>
                <w:rFonts w:hint="default" w:ascii="Times New Roman" w:hAnsi="Times New Roman" w:cs="Times New Roman" w:eastAsiaTheme="minorEastAsia"/>
                <w:bCs/>
                <w:color w:val="auto"/>
                <w:sz w:val="24"/>
                <w:szCs w:val="24"/>
              </w:rPr>
              <w:t>远小于《合成树脂工业污染物排放标准》(GB31572-2015)中氨排放限值（20mg/m</w:t>
            </w:r>
            <w:r>
              <w:rPr>
                <w:rFonts w:hint="default" w:ascii="Times New Roman" w:hAnsi="Times New Roman" w:cs="Times New Roman" w:eastAsiaTheme="minorEastAsia"/>
                <w:bCs/>
                <w:color w:val="auto"/>
                <w:sz w:val="24"/>
                <w:szCs w:val="24"/>
                <w:vertAlign w:val="superscript"/>
              </w:rPr>
              <w:t>3</w:t>
            </w:r>
            <w:r>
              <w:rPr>
                <w:rFonts w:hint="default" w:ascii="Times New Roman" w:hAnsi="Times New Roman" w:cs="Times New Roman" w:eastAsiaTheme="minorEastAsia"/>
                <w:bCs/>
                <w:color w:val="auto"/>
                <w:sz w:val="24"/>
                <w:szCs w:val="24"/>
              </w:rPr>
              <w:t>），考虑到实际生产情况，氨仅竣工环保验收时作为监控指标。</w:t>
            </w:r>
          </w:p>
          <w:p>
            <w:pPr>
              <w:spacing w:after="0" w:line="44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粉尘G2-2：修剪过程中产生的边角料、不合格品S4经过粉碎机粉碎后作为原料，继续投放至注塑机进行注塑，破碎过程中产的粉尘很少，且粉料机上端自带有布袋搜集粉尘。</w:t>
            </w:r>
          </w:p>
          <w:p>
            <w:pPr>
              <w:pStyle w:val="67"/>
              <w:spacing w:line="440" w:lineRule="exact"/>
              <w:ind w:firstLine="482"/>
              <w:rPr>
                <w:rFonts w:hint="default" w:ascii="Times New Roman" w:hAnsi="Times New Roman" w:cs="Times New Roman"/>
                <w:b/>
                <w:bCs/>
                <w:color w:val="auto"/>
              </w:rPr>
            </w:pPr>
            <w:r>
              <w:rPr>
                <w:rFonts w:hint="default" w:ascii="Times New Roman" w:hAnsi="Times New Roman" w:cs="Times New Roman"/>
                <w:b/>
                <w:bCs/>
                <w:color w:val="auto"/>
              </w:rPr>
              <w:t>(5)连接器密封件生产线产排污分析</w:t>
            </w:r>
          </w:p>
          <w:p>
            <w:pPr>
              <w:spacing w:after="0" w:line="420" w:lineRule="exact"/>
              <w:ind w:firstLine="481" w:firstLineChars="200"/>
              <w:rPr>
                <w:rFonts w:hint="default" w:ascii="Times New Roman" w:hAnsi="Times New Roman" w:cs="Times New Roman" w:eastAsiaTheme="minorEastAsia"/>
                <w:bCs/>
                <w:color w:val="auto"/>
                <w:sz w:val="24"/>
                <w:szCs w:val="24"/>
              </w:rPr>
            </w:pPr>
            <w:r>
              <w:rPr>
                <w:rFonts w:hint="default" w:ascii="Times New Roman" w:hAnsi="Times New Roman" w:eastAsia="宋体" w:cs="Times New Roman"/>
                <w:b/>
                <w:bCs/>
                <w:color w:val="auto"/>
                <w:sz w:val="24"/>
                <w:szCs w:val="24"/>
              </w:rPr>
              <w:t>解包配料粉尘G3-1：</w:t>
            </w:r>
            <w:r>
              <w:rPr>
                <w:rFonts w:hint="default" w:ascii="Times New Roman" w:hAnsi="Times New Roman" w:cs="Times New Roman" w:eastAsiaTheme="minorEastAsia"/>
                <w:bCs/>
                <w:color w:val="auto"/>
                <w:sz w:val="24"/>
                <w:szCs w:val="24"/>
              </w:rPr>
              <w:t>根据产品配方，需对粉料（炭黑、碳酸钙、促进剂、防老剂、成型剂、陶土、滑石粉）进行解包、计量、配料，粉料在解包、配料时因受到扰动会有极少量解包配料粉尘G3-1产生。颗粒物产生量按建设方经验数据0.5‰进行核算，以上各类粉料用量合计为415.7t/a，颗粒物产生量合计为0.20785t/a。项目粉料解包配料时间约1h/d，则粉尘产生量约0.693kg/h。</w:t>
            </w:r>
          </w:p>
          <w:p>
            <w:pPr>
              <w:spacing w:after="0" w:line="420" w:lineRule="exact"/>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备料区称量台上方进料口设置1个1.3m*0.6m的</w:t>
            </w:r>
            <w:r>
              <w:rPr>
                <w:rFonts w:hint="default" w:ascii="Times New Roman" w:hAnsi="Times New Roman" w:cs="Times New Roman" w:eastAsiaTheme="minorEastAsia"/>
                <w:color w:val="auto"/>
                <w:sz w:val="24"/>
                <w:szCs w:val="24"/>
              </w:rPr>
              <w:t>集气罩对配料粉尘进行收集，风机量约1600m³/h，废气收集率为80%。</w:t>
            </w:r>
            <w:r>
              <w:rPr>
                <w:rFonts w:hint="default" w:ascii="Times New Roman" w:hAnsi="Times New Roman" w:cs="Times New Roman" w:eastAsiaTheme="minorEastAsia"/>
                <w:bCs/>
                <w:color w:val="auto"/>
                <w:sz w:val="24"/>
                <w:szCs w:val="24"/>
              </w:rPr>
              <w:t>解包配料粉尘G3-1经集气罩收集与</w:t>
            </w:r>
            <w:r>
              <w:rPr>
                <w:rFonts w:hint="default" w:ascii="Times New Roman" w:hAnsi="Times New Roman" w:eastAsia="宋体" w:cs="Times New Roman"/>
                <w:color w:val="auto"/>
                <w:sz w:val="24"/>
                <w:szCs w:val="24"/>
              </w:rPr>
              <w:t>投料废气G3-2一并汇入</w:t>
            </w:r>
            <w:r>
              <w:rPr>
                <w:rFonts w:hint="default" w:ascii="Times New Roman" w:hAnsi="Times New Roman" w:cs="Times New Roman" w:eastAsiaTheme="minorEastAsia"/>
                <w:bCs/>
                <w:color w:val="auto"/>
                <w:sz w:val="24"/>
                <w:szCs w:val="24"/>
              </w:rPr>
              <w:t>布袋除尘器进行处理，处理达标后经</w:t>
            </w:r>
            <w:r>
              <w:rPr>
                <w:rFonts w:hint="default" w:ascii="Times New Roman" w:hAnsi="Times New Roman" w:eastAsia="宋体" w:cs="Times New Roman"/>
                <w:color w:val="auto"/>
                <w:sz w:val="24"/>
                <w:szCs w:val="24"/>
                <w:lang w:bidi="ar"/>
              </w:rPr>
              <w:t>25m高排气筒</w:t>
            </w:r>
            <w:r>
              <w:rPr>
                <w:rFonts w:hint="default" w:ascii="Times New Roman" w:hAnsi="Times New Roman" w:cs="Times New Roman" w:eastAsiaTheme="minorEastAsia"/>
                <w:color w:val="auto"/>
                <w:sz w:val="24"/>
                <w:szCs w:val="24"/>
              </w:rPr>
              <w:t>（编号：DA002）排放，布袋除尘器的除尘效率</w:t>
            </w:r>
            <w:r>
              <w:rPr>
                <w:rFonts w:hint="default" w:ascii="Times New Roman" w:hAnsi="Times New Roman" w:cs="Times New Roman" w:eastAsiaTheme="minorEastAsia"/>
                <w:color w:val="auto"/>
                <w:sz w:val="24"/>
                <w:szCs w:val="24"/>
                <w:highlight w:val="none"/>
              </w:rPr>
              <w:t>以9</w:t>
            </w:r>
            <w:r>
              <w:rPr>
                <w:rFonts w:hint="default"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rPr>
              <w:t>%计</w:t>
            </w:r>
            <w:r>
              <w:rPr>
                <w:rFonts w:hint="default" w:ascii="Times New Roman" w:hAnsi="Times New Roman" w:cs="Times New Roman" w:eastAsiaTheme="minorEastAsia"/>
                <w:color w:val="auto"/>
                <w:sz w:val="24"/>
                <w:szCs w:val="24"/>
              </w:rPr>
              <w:t>。</w:t>
            </w:r>
          </w:p>
          <w:p>
            <w:pPr>
              <w:spacing w:after="0" w:line="420" w:lineRule="exact"/>
              <w:ind w:firstLine="481" w:firstLineChars="200"/>
              <w:rPr>
                <w:rFonts w:hint="default" w:ascii="Times New Roman" w:hAnsi="Times New Roman" w:cs="Times New Roman" w:eastAsiaTheme="minorEastAsia"/>
                <w:bCs/>
                <w:color w:val="auto"/>
                <w:sz w:val="24"/>
                <w:szCs w:val="24"/>
              </w:rPr>
            </w:pPr>
            <w:r>
              <w:rPr>
                <w:rFonts w:hint="default" w:ascii="Times New Roman" w:hAnsi="Times New Roman" w:eastAsia="宋体" w:cs="Times New Roman"/>
                <w:b/>
                <w:bCs/>
                <w:color w:val="auto"/>
                <w:sz w:val="24"/>
                <w:szCs w:val="24"/>
              </w:rPr>
              <w:t>投料废气G3-2：</w:t>
            </w:r>
            <w:r>
              <w:rPr>
                <w:rFonts w:hint="default" w:ascii="Times New Roman" w:hAnsi="Times New Roman" w:cs="Times New Roman" w:eastAsiaTheme="minorEastAsia"/>
                <w:bCs/>
                <w:color w:val="auto"/>
                <w:sz w:val="24"/>
                <w:szCs w:val="24"/>
              </w:rPr>
              <w:t>参照国内同类行业，投料过程中粉尘产生量约占粉末状原辅材料用量的1‰。本项目需投加的粉状原辅材料炭黑、碳酸钙、促进剂、防老剂、成型剂、陶土、滑石粉）共计415.7t/a，颗粒物产生量合计为0.4157t/a。项目料解投料时间约0.5h/d，则粉尘产生量约2.77kg/h。</w:t>
            </w:r>
          </w:p>
          <w:p>
            <w:pPr>
              <w:spacing w:after="0" w:line="420" w:lineRule="exact"/>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color w:val="auto"/>
                <w:sz w:val="24"/>
                <w:szCs w:val="24"/>
              </w:rPr>
              <w:t>1#厂房东侧二楼三楼设置1套配料输送系统，上方进料口设置1个1.3m*0.6m的集气罩对投料粉尘进行收集，风机量约1600m³/h，废气收集率为80%。</w:t>
            </w:r>
            <w:r>
              <w:rPr>
                <w:rFonts w:hint="default" w:ascii="Times New Roman" w:hAnsi="Times New Roman" w:eastAsia="宋体" w:cs="Times New Roman"/>
                <w:color w:val="auto"/>
                <w:sz w:val="24"/>
                <w:szCs w:val="24"/>
              </w:rPr>
              <w:t>投料废气G3-2</w:t>
            </w:r>
            <w:r>
              <w:rPr>
                <w:rFonts w:hint="default" w:ascii="Times New Roman" w:hAnsi="Times New Roman" w:cs="Times New Roman" w:eastAsiaTheme="minorEastAsia"/>
                <w:bCs/>
                <w:color w:val="auto"/>
                <w:sz w:val="24"/>
                <w:szCs w:val="24"/>
              </w:rPr>
              <w:t>经集气罩收集与解包配料粉尘G3-1</w:t>
            </w:r>
            <w:r>
              <w:rPr>
                <w:rFonts w:hint="default" w:ascii="Times New Roman" w:hAnsi="Times New Roman" w:eastAsia="宋体" w:cs="Times New Roman"/>
                <w:color w:val="auto"/>
                <w:sz w:val="24"/>
                <w:szCs w:val="24"/>
              </w:rPr>
              <w:t>一并汇入</w:t>
            </w:r>
            <w:r>
              <w:rPr>
                <w:rFonts w:hint="default" w:ascii="Times New Roman" w:hAnsi="Times New Roman" w:cs="Times New Roman" w:eastAsiaTheme="minorEastAsia"/>
                <w:bCs/>
                <w:color w:val="auto"/>
                <w:sz w:val="24"/>
                <w:szCs w:val="24"/>
              </w:rPr>
              <w:t>布袋除尘器进行处理，处理达标后经</w:t>
            </w:r>
            <w:r>
              <w:rPr>
                <w:rFonts w:hint="default" w:ascii="Times New Roman" w:hAnsi="Times New Roman" w:eastAsia="宋体" w:cs="Times New Roman"/>
                <w:color w:val="auto"/>
                <w:sz w:val="24"/>
                <w:szCs w:val="24"/>
                <w:lang w:bidi="ar"/>
              </w:rPr>
              <w:t>25m高排气筒</w:t>
            </w:r>
            <w:r>
              <w:rPr>
                <w:rFonts w:hint="default" w:ascii="Times New Roman" w:hAnsi="Times New Roman" w:cs="Times New Roman" w:eastAsiaTheme="minorEastAsia"/>
                <w:color w:val="auto"/>
                <w:sz w:val="24"/>
                <w:szCs w:val="24"/>
              </w:rPr>
              <w:t>（编号：DA002）排放，布袋除尘器的除尘效率以</w:t>
            </w:r>
            <w:r>
              <w:rPr>
                <w:rFonts w:hint="default" w:ascii="Times New Roman" w:hAnsi="Times New Roman" w:cs="Times New Roman" w:eastAsiaTheme="minorEastAsia"/>
                <w:color w:val="auto"/>
                <w:sz w:val="24"/>
                <w:szCs w:val="24"/>
                <w:highlight w:val="none"/>
              </w:rPr>
              <w:t>9</w:t>
            </w:r>
            <w:r>
              <w:rPr>
                <w:rFonts w:hint="default"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rPr>
              <w:t>%计。</w:t>
            </w:r>
          </w:p>
          <w:p>
            <w:pPr>
              <w:spacing w:after="0" w:line="440" w:lineRule="exact"/>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表4.2-2  解包配料粉尘G3-1、投料废气G3-2产排污情况表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55"/>
              <w:gridCol w:w="767"/>
              <w:gridCol w:w="793"/>
              <w:gridCol w:w="600"/>
              <w:gridCol w:w="890"/>
              <w:gridCol w:w="1022"/>
              <w:gridCol w:w="846"/>
              <w:gridCol w:w="1009"/>
              <w:gridCol w:w="84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Merge w:val="restart"/>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废气种类</w:t>
                  </w:r>
                </w:p>
              </w:tc>
              <w:tc>
                <w:tcPr>
                  <w:tcW w:w="755" w:type="dxa"/>
                  <w:vMerge w:val="restart"/>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污染</w:t>
                  </w:r>
                </w:p>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因子</w:t>
                  </w:r>
                </w:p>
              </w:tc>
              <w:tc>
                <w:tcPr>
                  <w:tcW w:w="767"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w:t>
                  </w:r>
                </w:p>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eastAsia="宋体" w:cs="Times New Roman"/>
                      <w:color w:val="auto"/>
                      <w:sz w:val="21"/>
                      <w:szCs w:val="21"/>
                    </w:rPr>
                    <w:t>时间</w:t>
                  </w:r>
                </w:p>
              </w:tc>
              <w:tc>
                <w:tcPr>
                  <w:tcW w:w="793"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default" w:ascii="Times New Roman" w:hAnsi="Times New Roman" w:cs="Times New Roman" w:eastAsiaTheme="minorEastAsia"/>
                      <w:bCs/>
                      <w:color w:val="auto"/>
                      <w:sz w:val="21"/>
                      <w:szCs w:val="21"/>
                    </w:rPr>
                    <w:t>t/a</w:t>
                  </w:r>
                </w:p>
              </w:tc>
              <w:tc>
                <w:tcPr>
                  <w:tcW w:w="600"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风量</w:t>
                  </w:r>
                  <w:r>
                    <w:rPr>
                      <w:rFonts w:hint="default" w:ascii="Times New Roman" w:hAnsi="Times New Roman" w:cs="Times New Roman" w:eastAsiaTheme="minorEastAsia"/>
                      <w:bCs/>
                      <w:color w:val="auto"/>
                      <w:sz w:val="21"/>
                      <w:szCs w:val="21"/>
                    </w:rPr>
                    <w:t>m³/h</w:t>
                  </w:r>
                </w:p>
              </w:tc>
              <w:tc>
                <w:tcPr>
                  <w:tcW w:w="3767" w:type="dxa"/>
                  <w:gridSpan w:val="4"/>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有组织废气</w:t>
                  </w:r>
                </w:p>
              </w:tc>
              <w:tc>
                <w:tcPr>
                  <w:tcW w:w="1592" w:type="dxa"/>
                  <w:gridSpan w:val="2"/>
                  <w:tcMar>
                    <w:top w:w="0" w:type="dxa"/>
                    <w:left w:w="0" w:type="dxa"/>
                    <w:bottom w:w="0" w:type="dxa"/>
                    <w:right w:w="0" w:type="dxa"/>
                  </w:tcMar>
                  <w:vAlign w:val="center"/>
                </w:tcPr>
                <w:p>
                  <w:pPr>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continue"/>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p>
              </w:tc>
              <w:tc>
                <w:tcPr>
                  <w:tcW w:w="755" w:type="dxa"/>
                  <w:vMerge w:val="continue"/>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p>
              </w:tc>
              <w:tc>
                <w:tcPr>
                  <w:tcW w:w="767" w:type="dxa"/>
                  <w:vMerge w:val="continue"/>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p>
              </w:tc>
              <w:tc>
                <w:tcPr>
                  <w:tcW w:w="793" w:type="dxa"/>
                  <w:vMerge w:val="continue"/>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p>
              </w:tc>
              <w:tc>
                <w:tcPr>
                  <w:tcW w:w="600" w:type="dxa"/>
                  <w:vMerge w:val="continue"/>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p>
              </w:tc>
              <w:tc>
                <w:tcPr>
                  <w:tcW w:w="89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lang w:val="zh-CN"/>
                    </w:rPr>
                  </w:pPr>
                  <w:r>
                    <w:rPr>
                      <w:rFonts w:hint="default" w:ascii="Times New Roman" w:hAnsi="Times New Roman" w:cs="Times New Roman" w:eastAsiaTheme="minorEastAsia"/>
                      <w:bCs/>
                      <w:color w:val="auto"/>
                      <w:sz w:val="21"/>
                      <w:szCs w:val="21"/>
                      <w:lang w:val="zh-CN"/>
                    </w:rPr>
                    <w:t>速度</w:t>
                  </w:r>
                </w:p>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val="zh-CN"/>
                    </w:rPr>
                    <w:t>kg/h</w:t>
                  </w:r>
                </w:p>
              </w:tc>
              <w:tc>
                <w:tcPr>
                  <w:tcW w:w="102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浓度mg/m³</w:t>
                  </w:r>
                </w:p>
              </w:tc>
              <w:tc>
                <w:tcPr>
                  <w:tcW w:w="84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lang w:eastAsia="zh-CN"/>
                    </w:rPr>
                    <w:t>速度</w:t>
                  </w:r>
                  <w:r>
                    <w:rPr>
                      <w:rFonts w:hint="default" w:ascii="Times New Roman" w:hAnsi="Times New Roman" w:cs="Times New Roman" w:eastAsiaTheme="minorEastAsia"/>
                      <w:bCs/>
                      <w:color w:val="auto"/>
                      <w:sz w:val="21"/>
                      <w:szCs w:val="21"/>
                      <w:lang w:val="zh-CN"/>
                    </w:rPr>
                    <w:t>kg/h</w:t>
                  </w:r>
                </w:p>
              </w:tc>
              <w:tc>
                <w:tcPr>
                  <w:tcW w:w="1009"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排放浓度mg/m³</w:t>
                  </w:r>
                </w:p>
              </w:tc>
              <w:tc>
                <w:tcPr>
                  <w:tcW w:w="849"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color w:val="auto"/>
                      <w:sz w:val="21"/>
                      <w:szCs w:val="21"/>
                      <w:lang w:eastAsia="zh-CN"/>
                    </w:rPr>
                    <w:t>速度</w:t>
                  </w:r>
                  <w:r>
                    <w:rPr>
                      <w:rFonts w:hint="default" w:ascii="Times New Roman" w:hAnsi="Times New Roman" w:cs="Times New Roman" w:eastAsiaTheme="minorEastAsia"/>
                      <w:bCs/>
                      <w:color w:val="auto"/>
                      <w:sz w:val="21"/>
                      <w:szCs w:val="21"/>
                      <w:lang w:val="zh-CN"/>
                    </w:rPr>
                    <w:t>kg/h</w:t>
                  </w:r>
                </w:p>
              </w:tc>
              <w:tc>
                <w:tcPr>
                  <w:tcW w:w="743"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8"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解包</w:t>
                  </w:r>
                </w:p>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配料</w:t>
                  </w:r>
                </w:p>
              </w:tc>
              <w:tc>
                <w:tcPr>
                  <w:tcW w:w="75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颗粒物</w:t>
                  </w:r>
                </w:p>
              </w:tc>
              <w:tc>
                <w:tcPr>
                  <w:tcW w:w="767" w:type="dxa"/>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1h/d,</w:t>
                  </w:r>
                </w:p>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300h/a</w:t>
                  </w:r>
                </w:p>
              </w:tc>
              <w:tc>
                <w:tcPr>
                  <w:tcW w:w="793" w:type="dxa"/>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0.20785</w:t>
                  </w:r>
                </w:p>
              </w:tc>
              <w:tc>
                <w:tcPr>
                  <w:tcW w:w="600" w:type="dxa"/>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w:t>
                  </w:r>
                </w:p>
              </w:tc>
              <w:tc>
                <w:tcPr>
                  <w:tcW w:w="89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0.554</w:t>
                  </w:r>
                </w:p>
              </w:tc>
              <w:tc>
                <w:tcPr>
                  <w:tcW w:w="102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346.25</w:t>
                  </w:r>
                </w:p>
              </w:tc>
              <w:tc>
                <w:tcPr>
                  <w:tcW w:w="84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0.0</w:t>
                  </w:r>
                  <w:r>
                    <w:rPr>
                      <w:rFonts w:hint="default" w:ascii="Times New Roman" w:hAnsi="Times New Roman" w:cs="Times New Roman" w:eastAsiaTheme="minorEastAsia"/>
                      <w:bCs/>
                      <w:color w:val="auto"/>
                      <w:sz w:val="21"/>
                      <w:szCs w:val="21"/>
                      <w:lang w:val="en-US" w:eastAsia="zh-CN"/>
                    </w:rPr>
                    <w:t>22</w:t>
                  </w:r>
                </w:p>
              </w:tc>
              <w:tc>
                <w:tcPr>
                  <w:tcW w:w="1009"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13.86</w:t>
                  </w:r>
                </w:p>
              </w:tc>
              <w:tc>
                <w:tcPr>
                  <w:tcW w:w="849"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0.139</w:t>
                  </w:r>
                </w:p>
              </w:tc>
              <w:tc>
                <w:tcPr>
                  <w:tcW w:w="743"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0.</w:t>
                  </w:r>
                  <w:r>
                    <w:rPr>
                      <w:rFonts w:hint="default" w:ascii="Times New Roman" w:hAnsi="Times New Roman" w:cs="Times New Roman" w:eastAsiaTheme="minorEastAsia"/>
                      <w:bCs/>
                      <w:color w:val="auto"/>
                      <w:sz w:val="21"/>
                      <w:szCs w:val="21"/>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投料废气</w:t>
                  </w:r>
                </w:p>
              </w:tc>
              <w:tc>
                <w:tcPr>
                  <w:tcW w:w="75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颗粒物</w:t>
                  </w:r>
                </w:p>
              </w:tc>
              <w:tc>
                <w:tcPr>
                  <w:tcW w:w="767" w:type="dxa"/>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0.5h/d,</w:t>
                  </w:r>
                </w:p>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150h/a</w:t>
                  </w:r>
                </w:p>
              </w:tc>
              <w:tc>
                <w:tcPr>
                  <w:tcW w:w="793" w:type="dxa"/>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0.4157</w:t>
                  </w:r>
                </w:p>
              </w:tc>
              <w:tc>
                <w:tcPr>
                  <w:tcW w:w="600" w:type="dxa"/>
                  <w:tcMar>
                    <w:top w:w="0" w:type="dxa"/>
                    <w:left w:w="0" w:type="dxa"/>
                    <w:bottom w:w="0" w:type="dxa"/>
                    <w:right w:w="0" w:type="dxa"/>
                  </w:tcMar>
                  <w:vAlign w:val="center"/>
                </w:tcPr>
                <w:p>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w:t>
                  </w:r>
                </w:p>
              </w:tc>
              <w:tc>
                <w:tcPr>
                  <w:tcW w:w="89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2.22</w:t>
                  </w:r>
                </w:p>
              </w:tc>
              <w:tc>
                <w:tcPr>
                  <w:tcW w:w="102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1387.5</w:t>
                  </w:r>
                </w:p>
              </w:tc>
              <w:tc>
                <w:tcPr>
                  <w:tcW w:w="84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0.0</w:t>
                  </w:r>
                  <w:r>
                    <w:rPr>
                      <w:rFonts w:hint="default" w:ascii="Times New Roman" w:hAnsi="Times New Roman" w:cs="Times New Roman" w:eastAsiaTheme="minorEastAsia"/>
                      <w:bCs/>
                      <w:color w:val="auto"/>
                      <w:sz w:val="21"/>
                      <w:szCs w:val="21"/>
                      <w:lang w:val="en-US" w:eastAsia="zh-CN"/>
                    </w:rPr>
                    <w:t>89</w:t>
                  </w:r>
                </w:p>
              </w:tc>
              <w:tc>
                <w:tcPr>
                  <w:tcW w:w="1009"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55.43</w:t>
                  </w:r>
                </w:p>
              </w:tc>
              <w:tc>
                <w:tcPr>
                  <w:tcW w:w="849"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0.55</w:t>
                  </w:r>
                </w:p>
              </w:tc>
              <w:tc>
                <w:tcPr>
                  <w:tcW w:w="743"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0.</w:t>
                  </w:r>
                  <w:r>
                    <w:rPr>
                      <w:rFonts w:hint="default" w:ascii="Times New Roman" w:hAnsi="Times New Roman" w:cs="Times New Roman" w:eastAsiaTheme="minorEastAsia"/>
                      <w:bCs/>
                      <w:color w:val="auto"/>
                      <w:sz w:val="21"/>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2" w:type="dxa"/>
                  <w:gridSpan w:val="11"/>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4"/>
                      <w:szCs w:val="24"/>
                    </w:rPr>
                    <w:t>收集效率（80%），袋式除尘器（效率9</w:t>
                  </w:r>
                  <w:r>
                    <w:rPr>
                      <w:rFonts w:hint="default" w:ascii="Times New Roman" w:hAnsi="Times New Roman" w:cs="Times New Roman" w:eastAsiaTheme="minorEastAsia"/>
                      <w:bCs/>
                      <w:color w:val="auto"/>
                      <w:sz w:val="24"/>
                      <w:szCs w:val="24"/>
                      <w:lang w:val="en-US" w:eastAsia="zh-CN"/>
                    </w:rPr>
                    <w:t>6</w:t>
                  </w:r>
                  <w:r>
                    <w:rPr>
                      <w:rFonts w:hint="default" w:ascii="Times New Roman" w:hAnsi="Times New Roman" w:cs="Times New Roman" w:eastAsiaTheme="minorEastAsia"/>
                      <w:bCs/>
                      <w:color w:val="auto"/>
                      <w:sz w:val="24"/>
                      <w:szCs w:val="24"/>
                    </w:rPr>
                    <w:t>%）</w:t>
                  </w:r>
                </w:p>
              </w:tc>
            </w:tr>
          </w:tbl>
          <w:p>
            <w:pPr>
              <w:spacing w:after="0" w:line="420" w:lineRule="exact"/>
              <w:ind w:firstLine="481"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炼胶废气（密炼废气G3-3、开炼废气G3-4）：</w:t>
            </w:r>
          </w:p>
          <w:p>
            <w:pPr>
              <w:spacing w:after="0" w:line="420" w:lineRule="exact"/>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项目在密炼、开炼等工段均有炼胶废气产生，根据有关资料，炼胶废气的特点是排放量大、污染物浓度低、成分复杂，废气中约有几十种有机成分，主要为烷烃、烯烃和芳香烃，并带有臭味。参考《橡胶制品工业含硫恶臭气体分析与评价》（丁学峰等，环境科学导刊，2014，33（3）），对比介绍了轮胎企业和美国国家环保总局编制的《空气污染物排放系数汇编》（AP-42）炼胶废气和硫化废气中硫化氢和二硫化碳排放系数，结论明确说明生产过程中含硫恶臭气体主要二硫化碳，硫化氢的产生量极少，环评应选取二硫化碳作为大气环境影响评价因子。</w:t>
            </w:r>
          </w:p>
          <w:p>
            <w:pPr>
              <w:spacing w:after="0" w:line="420" w:lineRule="exact"/>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本项目炼胶工段主要涉及2个步骤：密炼和开炼。炼胶过程废气产生情况见表4.2-3。</w:t>
            </w:r>
          </w:p>
          <w:p>
            <w:pPr>
              <w:spacing w:after="0" w:line="440" w:lineRule="exact"/>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表4.2-3  炼胶过程废气产生情况一览表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693"/>
              <w:gridCol w:w="1547"/>
              <w:gridCol w:w="1846"/>
              <w:gridCol w:w="968"/>
              <w:gridCol w:w="804"/>
              <w:gridCol w:w="1666"/>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577" w:type="dxa"/>
                  <w:vMerge w:val="restart"/>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产污工段</w:t>
                  </w:r>
                </w:p>
              </w:tc>
              <w:tc>
                <w:tcPr>
                  <w:tcW w:w="693" w:type="dxa"/>
                  <w:vMerge w:val="restart"/>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废气种类</w:t>
                  </w:r>
                </w:p>
              </w:tc>
              <w:tc>
                <w:tcPr>
                  <w:tcW w:w="1547" w:type="dxa"/>
                  <w:vMerge w:val="restart"/>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污染因子</w:t>
                  </w:r>
                </w:p>
              </w:tc>
              <w:tc>
                <w:tcPr>
                  <w:tcW w:w="1846" w:type="dxa"/>
                  <w:vMerge w:val="restart"/>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产污规律</w:t>
                  </w:r>
                </w:p>
              </w:tc>
              <w:tc>
                <w:tcPr>
                  <w:tcW w:w="3438" w:type="dxa"/>
                  <w:gridSpan w:val="3"/>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排放规律</w:t>
                  </w:r>
                </w:p>
              </w:tc>
              <w:tc>
                <w:tcPr>
                  <w:tcW w:w="961" w:type="dxa"/>
                  <w:vMerge w:val="restart"/>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577" w:type="dxa"/>
                  <w:vMerge w:val="continue"/>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p>
              </w:tc>
              <w:tc>
                <w:tcPr>
                  <w:tcW w:w="693" w:type="dxa"/>
                  <w:vMerge w:val="continue"/>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p>
              </w:tc>
              <w:tc>
                <w:tcPr>
                  <w:tcW w:w="1547" w:type="dxa"/>
                  <w:vMerge w:val="continue"/>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p>
              </w:tc>
              <w:tc>
                <w:tcPr>
                  <w:tcW w:w="1846" w:type="dxa"/>
                  <w:vMerge w:val="continue"/>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p>
              </w:tc>
              <w:tc>
                <w:tcPr>
                  <w:tcW w:w="968"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单次排放时间</w:t>
                  </w:r>
                </w:p>
              </w:tc>
              <w:tc>
                <w:tcPr>
                  <w:tcW w:w="804"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每天排污次数</w:t>
                  </w:r>
                </w:p>
              </w:tc>
              <w:tc>
                <w:tcPr>
                  <w:tcW w:w="1666"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排污时间</w:t>
                  </w:r>
                </w:p>
              </w:tc>
              <w:tc>
                <w:tcPr>
                  <w:tcW w:w="961" w:type="dxa"/>
                  <w:vMerge w:val="continue"/>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jc w:val="center"/>
              </w:trPr>
              <w:tc>
                <w:tcPr>
                  <w:tcW w:w="577"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密炼</w:t>
                  </w:r>
                </w:p>
              </w:tc>
              <w:tc>
                <w:tcPr>
                  <w:tcW w:w="693"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密炼废气</w:t>
                  </w:r>
                </w:p>
              </w:tc>
              <w:tc>
                <w:tcPr>
                  <w:tcW w:w="1547" w:type="dxa"/>
                  <w:tcMar>
                    <w:top w:w="0" w:type="dxa"/>
                    <w:left w:w="0" w:type="dxa"/>
                    <w:bottom w:w="0" w:type="dxa"/>
                    <w:right w:w="0" w:type="dxa"/>
                  </w:tcMar>
                  <w:vAlign w:val="center"/>
                </w:tcPr>
                <w:p>
                  <w:pPr>
                    <w:topLinePunct/>
                    <w:spacing w:after="0" w:line="300" w:lineRule="exac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颗粒物、非甲烷总烃、二硫化碳</w:t>
                  </w:r>
                </w:p>
              </w:tc>
              <w:tc>
                <w:tcPr>
                  <w:tcW w:w="1846" w:type="dxa"/>
                  <w:tcMar>
                    <w:top w:w="0" w:type="dxa"/>
                    <w:left w:w="0" w:type="dxa"/>
                    <w:bottom w:w="0" w:type="dxa"/>
                    <w:right w:w="0" w:type="dxa"/>
                  </w:tcMar>
                  <w:vAlign w:val="center"/>
                </w:tcPr>
                <w:p>
                  <w:pPr>
                    <w:topLinePunct/>
                    <w:spacing w:after="0" w:line="300" w:lineRule="exac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于密炼过程中产生，密炼过程不排放，密炼出料过程短时间排放</w:t>
                  </w:r>
                </w:p>
              </w:tc>
              <w:tc>
                <w:tcPr>
                  <w:tcW w:w="968"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1min/次</w:t>
                  </w:r>
                </w:p>
              </w:tc>
              <w:tc>
                <w:tcPr>
                  <w:tcW w:w="804"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65次/d</w:t>
                  </w:r>
                </w:p>
              </w:tc>
              <w:tc>
                <w:tcPr>
                  <w:tcW w:w="1666"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65min/d,325h/a</w:t>
                  </w:r>
                </w:p>
              </w:tc>
              <w:tc>
                <w:tcPr>
                  <w:tcW w:w="961" w:type="dxa"/>
                  <w:vMerge w:val="restart"/>
                  <w:tcMar>
                    <w:top w:w="0" w:type="dxa"/>
                    <w:left w:w="0" w:type="dxa"/>
                    <w:bottom w:w="0" w:type="dxa"/>
                    <w:right w:w="0" w:type="dxa"/>
                  </w:tcMar>
                  <w:vAlign w:val="center"/>
                </w:tcPr>
                <w:p>
                  <w:pPr>
                    <w:topLinePunct/>
                    <w:spacing w:after="0" w:line="300" w:lineRule="exac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开炼废气续，密炼废气间歇排放出（出料时排放）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 w:hRule="atLeast"/>
                <w:jc w:val="center"/>
              </w:trPr>
              <w:tc>
                <w:tcPr>
                  <w:tcW w:w="577"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开炼</w:t>
                  </w:r>
                </w:p>
              </w:tc>
              <w:tc>
                <w:tcPr>
                  <w:tcW w:w="693"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开炼废气</w:t>
                  </w:r>
                </w:p>
              </w:tc>
              <w:tc>
                <w:tcPr>
                  <w:tcW w:w="1547" w:type="dxa"/>
                  <w:tcMar>
                    <w:top w:w="0" w:type="dxa"/>
                    <w:left w:w="0" w:type="dxa"/>
                    <w:bottom w:w="0" w:type="dxa"/>
                    <w:right w:w="0" w:type="dxa"/>
                  </w:tcMar>
                  <w:vAlign w:val="center"/>
                </w:tcPr>
                <w:p>
                  <w:pPr>
                    <w:topLinePunct/>
                    <w:spacing w:after="0" w:line="300" w:lineRule="exac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非甲烷总烃、二硫化碳</w:t>
                  </w:r>
                </w:p>
              </w:tc>
              <w:tc>
                <w:tcPr>
                  <w:tcW w:w="1846" w:type="dxa"/>
                  <w:tcMar>
                    <w:top w:w="0" w:type="dxa"/>
                    <w:left w:w="0" w:type="dxa"/>
                    <w:bottom w:w="0" w:type="dxa"/>
                    <w:right w:w="0" w:type="dxa"/>
                  </w:tcMar>
                  <w:vAlign w:val="center"/>
                </w:tcPr>
                <w:p>
                  <w:pPr>
                    <w:topLinePunct/>
                    <w:spacing w:after="0" w:line="300" w:lineRule="exac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于开炼过程持续产生，持续排放</w:t>
                  </w:r>
                </w:p>
              </w:tc>
              <w:tc>
                <w:tcPr>
                  <w:tcW w:w="968"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7min/次</w:t>
                  </w:r>
                </w:p>
              </w:tc>
              <w:tc>
                <w:tcPr>
                  <w:tcW w:w="804" w:type="dxa"/>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65次/d</w:t>
                  </w:r>
                </w:p>
              </w:tc>
              <w:tc>
                <w:tcPr>
                  <w:tcW w:w="1666" w:type="dxa"/>
                  <w:tcMar>
                    <w:top w:w="0" w:type="dxa"/>
                    <w:left w:w="0" w:type="dxa"/>
                    <w:bottom w:w="0" w:type="dxa"/>
                    <w:right w:w="0" w:type="dxa"/>
                  </w:tcMar>
                  <w:vAlign w:val="center"/>
                </w:tcPr>
                <w:p>
                  <w:pPr>
                    <w:topLinePunct/>
                    <w:spacing w:after="0" w:line="300" w:lineRule="exac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455min/d,2275h/a</w:t>
                  </w:r>
                </w:p>
              </w:tc>
              <w:tc>
                <w:tcPr>
                  <w:tcW w:w="961" w:type="dxa"/>
                  <w:vMerge w:val="continue"/>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color w:val="auto"/>
                      <w:sz w:val="21"/>
                      <w:szCs w:val="21"/>
                    </w:rPr>
                  </w:pPr>
                </w:p>
              </w:tc>
            </w:tr>
          </w:tbl>
          <w:p>
            <w:pPr>
              <w:spacing w:after="0" w:line="420" w:lineRule="exact"/>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密炼、开炼均布置在炼胶室内，炼胶室为密闭房间。</w:t>
            </w:r>
          </w:p>
          <w:p>
            <w:pPr>
              <w:spacing w:after="0" w:line="420" w:lineRule="exact"/>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炼胶工序由密炼和开炼组成。一次密炼一次开炼；密炼时需投加炭黑、碳酸钙，开炼时需投加促进剂、成型剂。密炼机其密炼腔体为密封结构，进料口进料时有少量颗粒物产生，卸料时卸料口有热胶废气产生；开炼机为开敞结构，进料口时有少量颗粒物产生，通过两个辊筒间对胶料的挤压和剪切完成开炼，辊筒处有热胶废气产生。项目开炼炼胶温度较低，但是胶料仍会挥发产生一定量的有机废气，开炼结束后，胶片输送冷却过程将会有少量有机废气无组织排放，由于该部分有机废气量极少，本评价不对其进行定量分析。</w:t>
            </w:r>
          </w:p>
          <w:p>
            <w:pPr>
              <w:spacing w:after="0" w:line="420" w:lineRule="exact"/>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根据GB/T14675-93《空气质量  恶臭的测定  三点比较式臭袋法》，臭气浓度是根据嗅觉器官试验法对臭气气味的大小予以数量化表示的指标，用无臭的清洁空气对臭气样品连续稀释至臭辩员阈值时的稀释倍数叫作臭气浓度</w:t>
            </w:r>
            <w:r>
              <w:rPr>
                <w:rFonts w:hint="default" w:ascii="Times New Roman" w:hAnsi="Times New Roman" w:eastAsia="宋体" w:cs="Times New Roman"/>
                <w:color w:val="auto"/>
                <w:sz w:val="24"/>
                <w:szCs w:val="24"/>
              </w:rPr>
              <w:t>，</w:t>
            </w:r>
            <w:r>
              <w:rPr>
                <w:rFonts w:hint="default" w:ascii="Times New Roman" w:hAnsi="Times New Roman" w:cs="Times New Roman" w:eastAsiaTheme="minorEastAsia"/>
                <w:bCs/>
                <w:color w:val="auto"/>
                <w:sz w:val="24"/>
                <w:szCs w:val="24"/>
              </w:rPr>
              <w:t>故本次评价不对臭气浓度进行定量计算，仅作为竣工环保验收和自行监测控制指标。</w:t>
            </w:r>
          </w:p>
          <w:p>
            <w:pPr>
              <w:spacing w:after="0" w:line="420" w:lineRule="exact"/>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根据二污普《165.291橡胶制品行业系数手册》，挥发性有机物（以非甲烷总烃计）产污系数为3.27千克/吨三胶-原料、颗粒物产污系数为12.60千克/吨三胶-原料，那么本项目非甲烷总烃产生量为4.251t/a、颗粒物产生量为16.38t/a；</w:t>
            </w:r>
            <w:r>
              <w:rPr>
                <w:rFonts w:hint="default" w:ascii="Times New Roman" w:hAnsi="Times New Roman" w:cs="Times New Roman" w:eastAsiaTheme="minorEastAsia"/>
                <w:color w:val="auto"/>
                <w:sz w:val="24"/>
                <w:szCs w:val="24"/>
              </w:rPr>
              <w:t>根据</w:t>
            </w:r>
            <w:r>
              <w:rPr>
                <w:rFonts w:hint="default" w:ascii="Times New Roman" w:hAnsi="Times New Roman" w:cs="Times New Roman" w:eastAsiaTheme="minorEastAsia"/>
                <w:bCs/>
                <w:color w:val="auto"/>
                <w:sz w:val="24"/>
                <w:szCs w:val="24"/>
              </w:rPr>
              <w:t>《排污许可证申请与核发技术规范  橡胶和塑料制品工业》(HJ1122-2020)“其他橡胶制品 非甲烷总烃产污系数为3.265千克/吨三胶”、颗粒物产污系数为12.593千克/吨三胶-原料，</w:t>
            </w:r>
            <w:r>
              <w:rPr>
                <w:rFonts w:hint="default" w:ascii="Times New Roman" w:hAnsi="Times New Roman" w:cs="Times New Roman" w:eastAsiaTheme="minorEastAsia"/>
                <w:color w:val="auto"/>
                <w:sz w:val="24"/>
                <w:szCs w:val="24"/>
              </w:rPr>
              <w:t>本项目非甲烷</w:t>
            </w:r>
            <w:r>
              <w:rPr>
                <w:rFonts w:hint="default" w:ascii="Times New Roman" w:hAnsi="Times New Roman" w:cs="Times New Roman" w:eastAsiaTheme="minorEastAsia"/>
                <w:bCs/>
                <w:color w:val="auto"/>
                <w:sz w:val="24"/>
                <w:szCs w:val="24"/>
              </w:rPr>
              <w:t>总烃产生量为4.2445t/a、颗粒物产生量为16.37t/a，跟实际情况不符合</w:t>
            </w:r>
            <w:r>
              <w:rPr>
                <w:rFonts w:hint="default" w:ascii="Times New Roman" w:hAnsi="Times New Roman" w:cs="Times New Roman" w:eastAsiaTheme="minorEastAsia"/>
                <w:bCs/>
                <w:color w:val="auto"/>
                <w:sz w:val="24"/>
                <w:szCs w:val="24"/>
                <w:lang w:eastAsia="zh-CN"/>
              </w:rPr>
              <w:t>，建设单位及同行业企业也不认同</w:t>
            </w:r>
            <w:r>
              <w:rPr>
                <w:rFonts w:hint="default" w:ascii="Times New Roman" w:hAnsi="Times New Roman" w:cs="Times New Roman" w:eastAsiaTheme="minorEastAsia"/>
                <w:bCs/>
                <w:color w:val="auto"/>
                <w:sz w:val="24"/>
                <w:szCs w:val="24"/>
              </w:rPr>
              <w:t>。同时根据GB27632-2011《橡胶制品工业污染物排放标准》规定，轮胎企业及其他制品企业炼胶、硫化装置折算到基准排气量为2000m</w:t>
            </w:r>
            <w:r>
              <w:rPr>
                <w:rFonts w:hint="default" w:ascii="Times New Roman" w:hAnsi="Times New Roman" w:cs="Times New Roman" w:eastAsiaTheme="minorEastAsia"/>
                <w:bCs/>
                <w:color w:val="auto"/>
                <w:sz w:val="24"/>
                <w:szCs w:val="24"/>
                <w:vertAlign w:val="superscript"/>
              </w:rPr>
              <w:t>3</w:t>
            </w:r>
            <w:r>
              <w:rPr>
                <w:rFonts w:hint="default" w:ascii="Times New Roman" w:hAnsi="Times New Roman" w:cs="Times New Roman" w:eastAsiaTheme="minorEastAsia"/>
                <w:bCs/>
                <w:color w:val="auto"/>
                <w:sz w:val="24"/>
                <w:szCs w:val="24"/>
              </w:rPr>
              <w:t>/t胶时非甲烷总烃排放浓度限值为10mg/m</w:t>
            </w:r>
            <w:r>
              <w:rPr>
                <w:rFonts w:hint="default" w:ascii="Times New Roman" w:hAnsi="Times New Roman" w:cs="Times New Roman" w:eastAsiaTheme="minorEastAsia"/>
                <w:bCs/>
                <w:color w:val="auto"/>
                <w:sz w:val="24"/>
                <w:szCs w:val="24"/>
                <w:vertAlign w:val="superscript"/>
              </w:rPr>
              <w:t>3</w:t>
            </w:r>
            <w:r>
              <w:rPr>
                <w:rFonts w:hint="default" w:ascii="Times New Roman" w:hAnsi="Times New Roman" w:cs="Times New Roman" w:eastAsiaTheme="minorEastAsia"/>
                <w:bCs/>
                <w:color w:val="auto"/>
                <w:sz w:val="24"/>
                <w:szCs w:val="24"/>
              </w:rPr>
              <w:t>、颗粒物排放浓度限值为12mg/m</w:t>
            </w:r>
            <w:r>
              <w:rPr>
                <w:rFonts w:hint="default" w:ascii="Times New Roman" w:hAnsi="Times New Roman" w:cs="Times New Roman" w:eastAsiaTheme="minorEastAsia"/>
                <w:bCs/>
                <w:color w:val="auto"/>
                <w:sz w:val="24"/>
                <w:szCs w:val="24"/>
                <w:vertAlign w:val="superscript"/>
              </w:rPr>
              <w:t>3</w:t>
            </w:r>
            <w:r>
              <w:rPr>
                <w:rFonts w:hint="default" w:ascii="Times New Roman" w:hAnsi="Times New Roman" w:cs="Times New Roman" w:eastAsiaTheme="minorEastAsia"/>
                <w:bCs/>
                <w:color w:val="auto"/>
                <w:sz w:val="24"/>
                <w:szCs w:val="24"/>
              </w:rPr>
              <w:t>。根据产污系数计算，那么非甲烷总烃处理效率高达99.4%(1-2000*10/3270000)，也不符合实际处理效率。</w:t>
            </w:r>
          </w:p>
          <w:p>
            <w:pPr>
              <w:spacing w:after="0" w:line="420" w:lineRule="exact"/>
              <w:ind w:firstLine="480" w:firstLineChars="200"/>
              <w:rPr>
                <w:rFonts w:hint="default" w:ascii="Times New Roman" w:hAnsi="Times New Roman" w:cs="Times New Roman" w:eastAsiaTheme="minorEastAsia"/>
                <w:bCs/>
                <w:color w:val="auto"/>
                <w:sz w:val="24"/>
                <w:szCs w:val="24"/>
                <w:lang w:val="zh-CN"/>
              </w:rPr>
            </w:pPr>
            <w:r>
              <w:rPr>
                <w:rFonts w:hint="default" w:ascii="Times New Roman" w:hAnsi="Times New Roman" w:cs="Times New Roman" w:eastAsiaTheme="minorEastAsia"/>
                <w:bCs/>
                <w:color w:val="auto"/>
                <w:sz w:val="24"/>
                <w:szCs w:val="24"/>
              </w:rPr>
              <w:t>根据《橡胶制品生产过程中有机废气的排放系数》（张芝兰，橡胶工业，2006年第53卷）对橡胶制品生产过程中有机废气排放系数的测试过程和结果，炼胶（密炼、开炼） 工序有机废气类（主要为非甲烷总烃）的最大排放系数为140mg/kg-橡胶原料，颗粒物的最大排放系数为222mg/kg-橡胶原料,二硫化碳的最大排放系数为103mg/kg-橡胶原料。开炼（压延）工序有机废气类（主要为非甲烷总烃）的最大排放系数为102mg/kg-橡胶原料,二硫化碳的最大排放系数为74.3mg/kg-橡胶原料。本项目橡胶原料为1300t/a，故密炼产生的非甲烷总烃为0.182t/a、0.56</w:t>
            </w:r>
            <w:r>
              <w:rPr>
                <w:rFonts w:hint="default" w:ascii="Times New Roman" w:hAnsi="Times New Roman" w:cs="Times New Roman" w:eastAsiaTheme="minorEastAsia"/>
                <w:bCs/>
                <w:color w:val="auto"/>
                <w:sz w:val="24"/>
                <w:szCs w:val="24"/>
                <w:lang w:val="zh-CN"/>
              </w:rPr>
              <w:t>kg/h</w:t>
            </w:r>
            <w:r>
              <w:rPr>
                <w:rFonts w:hint="default" w:ascii="Times New Roman" w:hAnsi="Times New Roman" w:cs="Times New Roman" w:eastAsiaTheme="minorEastAsia"/>
                <w:bCs/>
                <w:color w:val="auto"/>
                <w:sz w:val="24"/>
                <w:szCs w:val="24"/>
              </w:rPr>
              <w:t>，颗粒物为0.2886t/a、0.888</w:t>
            </w:r>
            <w:r>
              <w:rPr>
                <w:rFonts w:hint="default" w:ascii="Times New Roman" w:hAnsi="Times New Roman" w:cs="Times New Roman" w:eastAsiaTheme="minorEastAsia"/>
                <w:bCs/>
                <w:color w:val="auto"/>
                <w:sz w:val="24"/>
                <w:szCs w:val="24"/>
                <w:lang w:val="zh-CN"/>
              </w:rPr>
              <w:t>kg/h</w:t>
            </w:r>
            <w:r>
              <w:rPr>
                <w:rFonts w:hint="default" w:ascii="Times New Roman" w:hAnsi="Times New Roman" w:cs="Times New Roman" w:eastAsiaTheme="minorEastAsia"/>
                <w:bCs/>
                <w:color w:val="auto"/>
                <w:sz w:val="24"/>
                <w:szCs w:val="24"/>
                <w:lang w:val="en-US" w:eastAsia="zh-CN"/>
              </w:rPr>
              <w:t xml:space="preserve"> ，</w:t>
            </w:r>
            <w:r>
              <w:rPr>
                <w:rFonts w:hint="default" w:ascii="Times New Roman" w:hAnsi="Times New Roman" w:cs="Times New Roman" w:eastAsiaTheme="minorEastAsia"/>
                <w:bCs/>
                <w:color w:val="auto"/>
                <w:sz w:val="24"/>
                <w:szCs w:val="24"/>
              </w:rPr>
              <w:t>二硫化碳为0.1339t/a、0.412</w:t>
            </w:r>
            <w:r>
              <w:rPr>
                <w:rFonts w:hint="default" w:ascii="Times New Roman" w:hAnsi="Times New Roman" w:cs="Times New Roman" w:eastAsiaTheme="minorEastAsia"/>
                <w:bCs/>
                <w:color w:val="auto"/>
                <w:sz w:val="24"/>
                <w:szCs w:val="24"/>
                <w:lang w:val="zh-CN"/>
              </w:rPr>
              <w:t>kg/h；</w:t>
            </w:r>
            <w:r>
              <w:rPr>
                <w:rFonts w:hint="default" w:ascii="Times New Roman" w:hAnsi="Times New Roman" w:cs="Times New Roman" w:eastAsiaTheme="minorEastAsia"/>
                <w:bCs/>
                <w:color w:val="auto"/>
                <w:sz w:val="24"/>
                <w:szCs w:val="24"/>
              </w:rPr>
              <w:t>开炼产生的非甲烷总烃为0.1391t/a、0.061</w:t>
            </w:r>
            <w:r>
              <w:rPr>
                <w:rFonts w:hint="default" w:ascii="Times New Roman" w:hAnsi="Times New Roman" w:cs="Times New Roman" w:eastAsiaTheme="minorEastAsia"/>
                <w:bCs/>
                <w:color w:val="auto"/>
                <w:sz w:val="24"/>
                <w:szCs w:val="24"/>
                <w:lang w:val="zh-CN"/>
              </w:rPr>
              <w:t>kg/h</w:t>
            </w:r>
            <w:r>
              <w:rPr>
                <w:rFonts w:hint="default" w:ascii="Times New Roman" w:hAnsi="Times New Roman" w:cs="Times New Roman" w:eastAsiaTheme="minorEastAsia"/>
                <w:bCs/>
                <w:color w:val="auto"/>
                <w:sz w:val="24"/>
                <w:szCs w:val="24"/>
                <w:lang w:val="en-US" w:eastAsia="zh-CN"/>
              </w:rPr>
              <w:t xml:space="preserve"> ，</w:t>
            </w:r>
            <w:r>
              <w:rPr>
                <w:rFonts w:hint="default" w:ascii="Times New Roman" w:hAnsi="Times New Roman" w:cs="Times New Roman" w:eastAsiaTheme="minorEastAsia"/>
                <w:bCs/>
                <w:color w:val="auto"/>
                <w:sz w:val="24"/>
                <w:szCs w:val="24"/>
              </w:rPr>
              <w:t>二硫化碳为0.0966t/a、0.042</w:t>
            </w:r>
            <w:r>
              <w:rPr>
                <w:rFonts w:hint="default" w:ascii="Times New Roman" w:hAnsi="Times New Roman" w:cs="Times New Roman" w:eastAsiaTheme="minorEastAsia"/>
                <w:bCs/>
                <w:color w:val="auto"/>
                <w:sz w:val="24"/>
                <w:szCs w:val="24"/>
                <w:lang w:val="zh-CN"/>
              </w:rPr>
              <w:t>kg/h。</w:t>
            </w:r>
          </w:p>
          <w:p>
            <w:pPr>
              <w:spacing w:after="0" w:line="420" w:lineRule="exact"/>
              <w:ind w:firstLine="480" w:firstLineChars="200"/>
              <w:rPr>
                <w:rFonts w:hint="default" w:ascii="Times New Roman" w:hAnsi="Times New Roman" w:eastAsia="宋体" w:cs="Times New Roman"/>
                <w:b/>
                <w:bCs/>
                <w:color w:val="auto"/>
                <w:sz w:val="24"/>
                <w:szCs w:val="24"/>
              </w:rPr>
            </w:pPr>
            <w:r>
              <w:rPr>
                <w:rFonts w:hint="default" w:ascii="Times New Roman" w:hAnsi="Times New Roman" w:cs="Times New Roman" w:eastAsiaTheme="minorEastAsia"/>
                <w:bCs/>
                <w:color w:val="auto"/>
                <w:sz w:val="24"/>
                <w:szCs w:val="24"/>
                <w:lang w:eastAsia="zh-CN"/>
              </w:rPr>
              <w:t>通过计算可知，</w:t>
            </w:r>
            <w:r>
              <w:rPr>
                <w:rFonts w:hint="default" w:ascii="Times New Roman" w:hAnsi="Times New Roman" w:cs="Times New Roman" w:eastAsiaTheme="minorEastAsia"/>
                <w:bCs/>
                <w:color w:val="auto"/>
                <w:sz w:val="24"/>
                <w:szCs w:val="24"/>
              </w:rPr>
              <w:t>炼胶废气（G3-3、G3-4）中二硫化碳排放量远小于《恶臭污染物排放标准值》（GB14554-93）中二硫化碳排放量（4.2kg/h），</w:t>
            </w:r>
            <w:r>
              <w:rPr>
                <w:rFonts w:hint="default" w:ascii="Times New Roman" w:hAnsi="Times New Roman" w:cs="Times New Roman" w:eastAsiaTheme="minorEastAsia"/>
                <w:bCs/>
                <w:color w:val="auto"/>
                <w:sz w:val="24"/>
                <w:szCs w:val="24"/>
                <w:lang w:eastAsia="zh-CN"/>
              </w:rPr>
              <w:t>故</w:t>
            </w:r>
            <w:r>
              <w:rPr>
                <w:rFonts w:hint="default" w:ascii="Times New Roman" w:hAnsi="Times New Roman" w:cs="Times New Roman" w:eastAsiaTheme="minorEastAsia"/>
                <w:bCs/>
                <w:color w:val="auto"/>
                <w:sz w:val="24"/>
                <w:szCs w:val="24"/>
              </w:rPr>
              <w:t>二硫化碳仅竣工环保验收时作为监控指标。</w:t>
            </w:r>
          </w:p>
          <w:p>
            <w:pPr>
              <w:spacing w:after="0" w:line="4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eastAsiaTheme="minorEastAsia"/>
                <w:color w:val="auto"/>
                <w:sz w:val="24"/>
                <w:szCs w:val="24"/>
              </w:rPr>
              <w:t>本项目设置2台捏炼机、5台开炼机，拟在每台捏炼机、开炼机出料口上方设集1个气罩对炼胶废气进行收集(捏炼机设置风量</w:t>
            </w:r>
            <w:r>
              <w:rPr>
                <w:rFonts w:hint="default" w:ascii="Times New Roman" w:hAnsi="Times New Roman" w:eastAsia="宋体" w:cs="Times New Roman"/>
                <w:color w:val="auto"/>
                <w:sz w:val="24"/>
                <w:szCs w:val="24"/>
              </w:rPr>
              <w:t>3000m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cs="Times New Roman" w:eastAsiaTheme="minorEastAsia"/>
                <w:color w:val="auto"/>
                <w:sz w:val="24"/>
                <w:szCs w:val="24"/>
              </w:rPr>
              <w:t>开炼机设置风量</w:t>
            </w:r>
            <w:r>
              <w:rPr>
                <w:rFonts w:hint="default" w:ascii="Times New Roman" w:hAnsi="Times New Roman" w:eastAsia="宋体" w:cs="Times New Roman"/>
                <w:color w:val="auto"/>
                <w:sz w:val="24"/>
                <w:szCs w:val="24"/>
              </w:rPr>
              <w:t>4500m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r>
              <w:rPr>
                <w:rFonts w:hint="default" w:ascii="Times New Roman" w:hAnsi="Times New Roman" w:cs="Times New Roman" w:eastAsiaTheme="minorEastAsia"/>
                <w:color w:val="auto"/>
                <w:sz w:val="24"/>
                <w:szCs w:val="24"/>
              </w:rPr>
              <w:t>，由管道与车间主排气管道连通，一并汇入有机废气处理系统（二级活性炭装置）处理后由25m高3#排气筒（编号：DA003）排放，</w:t>
            </w:r>
            <w:r>
              <w:rPr>
                <w:rFonts w:hint="default" w:ascii="Times New Roman" w:hAnsi="Times New Roman" w:eastAsia="宋体" w:cs="Times New Roman"/>
                <w:color w:val="auto"/>
                <w:sz w:val="24"/>
                <w:szCs w:val="24"/>
              </w:rPr>
              <w:t>总风量为28500m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/h，废气收集效率按80%计，二级活性炭非甲烷总烃处理效率为80%，颗粒物处理效率为96%。</w:t>
            </w:r>
          </w:p>
          <w:p>
            <w:pPr>
              <w:spacing w:after="0" w:line="420" w:lineRule="exact"/>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表4.2-4</w:t>
            </w:r>
            <w:r>
              <w:rPr>
                <w:rFonts w:hint="eastAsia" w:ascii="Times New Roman" w:hAnsi="Times New Roman" w:cs="Times New Roman" w:eastAsiaTheme="minorEastAsia"/>
                <w:b/>
                <w:color w:val="auto"/>
                <w:sz w:val="24"/>
                <w:szCs w:val="24"/>
                <w:lang w:val="en-US" w:eastAsia="zh-CN"/>
              </w:rPr>
              <w:t xml:space="preserve"> </w:t>
            </w:r>
            <w:r>
              <w:rPr>
                <w:rFonts w:hint="default" w:ascii="Times New Roman" w:hAnsi="Times New Roman" w:cs="Times New Roman" w:eastAsiaTheme="minorEastAsia"/>
                <w:b/>
                <w:color w:val="auto"/>
                <w:sz w:val="24"/>
                <w:szCs w:val="24"/>
              </w:rPr>
              <w:t xml:space="preserve"> 密炼、开炼废气污染物产生情况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975"/>
              <w:gridCol w:w="1019"/>
              <w:gridCol w:w="1098"/>
              <w:gridCol w:w="1045"/>
              <w:gridCol w:w="1045"/>
              <w:gridCol w:w="1045"/>
              <w:gridCol w:w="1046"/>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743" w:type="dxa"/>
                  <w:vMerge w:val="restart"/>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废气种类</w:t>
                  </w:r>
                </w:p>
              </w:tc>
              <w:tc>
                <w:tcPr>
                  <w:tcW w:w="975" w:type="dxa"/>
                  <w:vMerge w:val="restart"/>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污染因子</w:t>
                  </w:r>
                </w:p>
              </w:tc>
              <w:tc>
                <w:tcPr>
                  <w:tcW w:w="1019" w:type="dxa"/>
                  <w:vMerge w:val="restart"/>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产生量t/a</w:t>
                  </w:r>
                </w:p>
              </w:tc>
              <w:tc>
                <w:tcPr>
                  <w:tcW w:w="1098" w:type="dxa"/>
                  <w:vMerge w:val="restart"/>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lang w:val="zh-CN"/>
                    </w:rPr>
                    <w:t>产生速率</w:t>
                  </w:r>
                  <w:r>
                    <w:rPr>
                      <w:rFonts w:hint="default" w:ascii="Times New Roman" w:hAnsi="Times New Roman" w:cs="Times New Roman" w:eastAsiaTheme="minorEastAsia"/>
                      <w:bCs/>
                      <w:color w:val="auto"/>
                      <w:sz w:val="24"/>
                      <w:szCs w:val="24"/>
                    </w:rPr>
                    <w:t>kg/h</w:t>
                  </w:r>
                </w:p>
              </w:tc>
              <w:tc>
                <w:tcPr>
                  <w:tcW w:w="1045" w:type="dxa"/>
                  <w:vMerge w:val="restart"/>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排污时间</w:t>
                  </w:r>
                </w:p>
              </w:tc>
              <w:tc>
                <w:tcPr>
                  <w:tcW w:w="2090" w:type="dxa"/>
                  <w:gridSpan w:val="2"/>
                  <w:vAlign w:val="center"/>
                </w:tcPr>
                <w:p>
                  <w:pPr>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有组织废气产生量</w:t>
                  </w:r>
                </w:p>
              </w:tc>
              <w:tc>
                <w:tcPr>
                  <w:tcW w:w="2092" w:type="dxa"/>
                  <w:gridSpan w:val="2"/>
                  <w:vAlign w:val="center"/>
                </w:tcPr>
                <w:p>
                  <w:pPr>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无组织废气产生量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43" w:type="dxa"/>
                  <w:vMerge w:val="continue"/>
                  <w:vAlign w:val="center"/>
                </w:tcPr>
                <w:p>
                  <w:pPr>
                    <w:spacing w:after="0"/>
                    <w:jc w:val="center"/>
                    <w:rPr>
                      <w:rFonts w:hint="default" w:ascii="Times New Roman" w:hAnsi="Times New Roman" w:cs="Times New Roman" w:eastAsiaTheme="minorEastAsia"/>
                      <w:bCs/>
                      <w:color w:val="auto"/>
                      <w:sz w:val="24"/>
                      <w:szCs w:val="24"/>
                    </w:rPr>
                  </w:pPr>
                </w:p>
              </w:tc>
              <w:tc>
                <w:tcPr>
                  <w:tcW w:w="975" w:type="dxa"/>
                  <w:vMerge w:val="continue"/>
                  <w:vAlign w:val="center"/>
                </w:tcPr>
                <w:p>
                  <w:pPr>
                    <w:spacing w:after="0"/>
                    <w:jc w:val="center"/>
                    <w:rPr>
                      <w:rFonts w:hint="default" w:ascii="Times New Roman" w:hAnsi="Times New Roman" w:cs="Times New Roman" w:eastAsiaTheme="minorEastAsia"/>
                      <w:bCs/>
                      <w:color w:val="auto"/>
                      <w:sz w:val="24"/>
                      <w:szCs w:val="24"/>
                    </w:rPr>
                  </w:pPr>
                </w:p>
              </w:tc>
              <w:tc>
                <w:tcPr>
                  <w:tcW w:w="1019" w:type="dxa"/>
                  <w:vMerge w:val="continue"/>
                  <w:vAlign w:val="center"/>
                </w:tcPr>
                <w:p>
                  <w:pPr>
                    <w:spacing w:after="0"/>
                    <w:jc w:val="center"/>
                    <w:rPr>
                      <w:rFonts w:hint="default" w:ascii="Times New Roman" w:hAnsi="Times New Roman" w:cs="Times New Roman" w:eastAsiaTheme="minorEastAsia"/>
                      <w:bCs/>
                      <w:color w:val="auto"/>
                      <w:sz w:val="24"/>
                      <w:szCs w:val="24"/>
                    </w:rPr>
                  </w:pPr>
                </w:p>
              </w:tc>
              <w:tc>
                <w:tcPr>
                  <w:tcW w:w="1098" w:type="dxa"/>
                  <w:vMerge w:val="continue"/>
                  <w:vAlign w:val="center"/>
                </w:tcPr>
                <w:p>
                  <w:pPr>
                    <w:spacing w:after="0"/>
                    <w:jc w:val="center"/>
                    <w:rPr>
                      <w:rFonts w:hint="default" w:ascii="Times New Roman" w:hAnsi="Times New Roman" w:cs="Times New Roman" w:eastAsiaTheme="minorEastAsia"/>
                      <w:bCs/>
                      <w:color w:val="auto"/>
                      <w:sz w:val="24"/>
                      <w:szCs w:val="24"/>
                    </w:rPr>
                  </w:pPr>
                </w:p>
              </w:tc>
              <w:tc>
                <w:tcPr>
                  <w:tcW w:w="1045" w:type="dxa"/>
                  <w:vMerge w:val="continue"/>
                  <w:vAlign w:val="center"/>
                </w:tcPr>
                <w:p>
                  <w:pPr>
                    <w:spacing w:after="0"/>
                    <w:jc w:val="center"/>
                    <w:rPr>
                      <w:rFonts w:hint="default" w:ascii="Times New Roman" w:hAnsi="Times New Roman" w:cs="Times New Roman" w:eastAsiaTheme="minorEastAsia"/>
                      <w:bCs/>
                      <w:color w:val="auto"/>
                      <w:sz w:val="24"/>
                      <w:szCs w:val="24"/>
                    </w:rPr>
                  </w:pP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t/a</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kg/h</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t/a</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restart"/>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密炼废气</w:t>
                  </w:r>
                </w:p>
              </w:tc>
              <w:tc>
                <w:tcPr>
                  <w:tcW w:w="97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颗粒物</w:t>
                  </w:r>
                </w:p>
              </w:tc>
              <w:tc>
                <w:tcPr>
                  <w:tcW w:w="1019"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0.2886</w:t>
                  </w:r>
                </w:p>
              </w:tc>
              <w:tc>
                <w:tcPr>
                  <w:tcW w:w="1098"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0.888</w:t>
                  </w:r>
                </w:p>
              </w:tc>
              <w:tc>
                <w:tcPr>
                  <w:tcW w:w="1045" w:type="dxa"/>
                  <w:vMerge w:val="restart"/>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65min/d,325h/a</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0.2309</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0.7104</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0.0578</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0.1776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vAlign w:val="center"/>
                </w:tcPr>
                <w:p>
                  <w:pPr>
                    <w:spacing w:after="0"/>
                    <w:jc w:val="center"/>
                    <w:rPr>
                      <w:rFonts w:hint="default" w:ascii="Times New Roman" w:hAnsi="Times New Roman" w:cs="Times New Roman" w:eastAsiaTheme="minorEastAsia"/>
                      <w:bCs/>
                      <w:color w:val="auto"/>
                      <w:sz w:val="24"/>
                      <w:szCs w:val="24"/>
                    </w:rPr>
                  </w:pPr>
                </w:p>
              </w:tc>
              <w:tc>
                <w:tcPr>
                  <w:tcW w:w="97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非甲烷总烃</w:t>
                  </w:r>
                </w:p>
              </w:tc>
              <w:tc>
                <w:tcPr>
                  <w:tcW w:w="1019"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0.182</w:t>
                  </w:r>
                </w:p>
              </w:tc>
              <w:tc>
                <w:tcPr>
                  <w:tcW w:w="1098"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0.56</w:t>
                  </w:r>
                </w:p>
              </w:tc>
              <w:tc>
                <w:tcPr>
                  <w:tcW w:w="1045" w:type="dxa"/>
                  <w:vMerge w:val="continue"/>
                  <w:vAlign w:val="center"/>
                </w:tcPr>
                <w:p>
                  <w:pPr>
                    <w:spacing w:after="0"/>
                    <w:jc w:val="center"/>
                    <w:rPr>
                      <w:rFonts w:hint="default" w:ascii="Times New Roman" w:hAnsi="Times New Roman" w:cs="Times New Roman" w:eastAsiaTheme="minorEastAsia"/>
                      <w:bCs/>
                      <w:color w:val="auto"/>
                      <w:sz w:val="24"/>
                      <w:szCs w:val="24"/>
                    </w:rPr>
                  </w:pP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0.1456</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0.448</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0.0364</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开炼废气</w:t>
                  </w:r>
                </w:p>
              </w:tc>
              <w:tc>
                <w:tcPr>
                  <w:tcW w:w="97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非甲烷总烃</w:t>
                  </w:r>
                </w:p>
              </w:tc>
              <w:tc>
                <w:tcPr>
                  <w:tcW w:w="1019"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0.1391</w:t>
                  </w:r>
                </w:p>
              </w:tc>
              <w:tc>
                <w:tcPr>
                  <w:tcW w:w="1098"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0.061</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455min/d,2275h/a</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0.1113</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0.0488</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0.0278</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restart"/>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合计</w:t>
                  </w:r>
                </w:p>
              </w:tc>
              <w:tc>
                <w:tcPr>
                  <w:tcW w:w="97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颗粒物</w:t>
                  </w:r>
                </w:p>
              </w:tc>
              <w:tc>
                <w:tcPr>
                  <w:tcW w:w="1019"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0.2886</w:t>
                  </w:r>
                </w:p>
              </w:tc>
              <w:tc>
                <w:tcPr>
                  <w:tcW w:w="1098"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continue"/>
                  <w:vAlign w:val="center"/>
                </w:tcPr>
                <w:p>
                  <w:pPr>
                    <w:spacing w:after="0"/>
                    <w:jc w:val="center"/>
                    <w:rPr>
                      <w:rFonts w:hint="default" w:ascii="Times New Roman" w:hAnsi="Times New Roman" w:cs="Times New Roman" w:eastAsiaTheme="minorEastAsia"/>
                      <w:bCs/>
                      <w:color w:val="auto"/>
                      <w:sz w:val="24"/>
                      <w:szCs w:val="24"/>
                    </w:rPr>
                  </w:pPr>
                </w:p>
              </w:tc>
              <w:tc>
                <w:tcPr>
                  <w:tcW w:w="97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非甲烷总烃</w:t>
                  </w:r>
                </w:p>
              </w:tc>
              <w:tc>
                <w:tcPr>
                  <w:tcW w:w="1019"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0.3211</w:t>
                  </w:r>
                </w:p>
              </w:tc>
              <w:tc>
                <w:tcPr>
                  <w:tcW w:w="1098"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5"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1046" w:type="dxa"/>
                  <w:vAlign w:val="center"/>
                </w:tcPr>
                <w:p>
                  <w:pPr>
                    <w:spacing w:after="0"/>
                    <w:jc w:val="center"/>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r>
          </w:tbl>
          <w:p>
            <w:pPr>
              <w:spacing w:after="0" w:line="420" w:lineRule="exact"/>
              <w:ind w:firstLine="481"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成型废气（G3-5、G3-6）</w:t>
            </w:r>
          </w:p>
          <w:p>
            <w:pPr>
              <w:spacing w:after="0" w:line="420" w:lineRule="exact"/>
              <w:ind w:firstLine="480" w:firstLineChars="200"/>
              <w:rPr>
                <w:rFonts w:hint="default" w:ascii="Times New Roman" w:hAnsi="Times New Roman" w:cs="Times New Roman" w:eastAsiaTheme="minorEastAsia"/>
                <w:bCs/>
                <w:sz w:val="24"/>
                <w:szCs w:val="24"/>
              </w:rPr>
            </w:pPr>
            <w:r>
              <w:rPr>
                <w:rFonts w:hint="default" w:ascii="Times New Roman" w:hAnsi="Times New Roman" w:eastAsia="宋体" w:cs="Times New Roman"/>
                <w:color w:val="auto"/>
                <w:kern w:val="2"/>
                <w:sz w:val="24"/>
                <w:szCs w:val="24"/>
                <w:lang w:bidi="ar"/>
              </w:rPr>
              <w:t>成型分为橡胶成型和二次成型。切片后的胶片需要通过成型机和模具进行加</w:t>
            </w:r>
            <w:r>
              <w:rPr>
                <w:rFonts w:hint="default" w:ascii="Times New Roman" w:hAnsi="Times New Roman" w:eastAsia="宋体" w:cs="Times New Roman"/>
                <w:kern w:val="2"/>
                <w:sz w:val="24"/>
                <w:szCs w:val="24"/>
                <w:lang w:bidi="ar"/>
              </w:rPr>
              <w:t>热受压成型，一般橡胶的成型温度在130℃~210℃的范围，在加热条件下，胶料中的生胶和含硫颗粒物发生化学反应，由线型结构的大分子交联成为立体网状结构的大分子，并使胶料的物料机械性能及其他性能随之发生变化。修剪成型后的胶体进入电烘箱进行加热。二次成型指橡胶制品达到一定硫化程度，除去热源继续加热的工艺，橡胶制品仍可在余热的作用下，继续加深硫化程序，改善橡胶制品的力学性能和压缩永久变形性能等。本项目成型工序过程会产生硫化废气。硫化废气重要污染物为橡胶中挥发出的非甲烷总烃。</w:t>
            </w:r>
            <w:r>
              <w:rPr>
                <w:rFonts w:hint="default" w:ascii="Times New Roman" w:hAnsi="Times New Roman" w:cs="Times New Roman" w:eastAsiaTheme="minorEastAsia"/>
                <w:bCs/>
                <w:sz w:val="24"/>
                <w:szCs w:val="24"/>
              </w:rPr>
              <w:t>本项目原材料中仅有400顿三元乙丙橡胶和100顿聚异丁烯需要加入含硫化合物进行硫化。</w:t>
            </w:r>
          </w:p>
          <w:p>
            <w:pPr>
              <w:spacing w:after="0" w:line="420" w:lineRule="exact"/>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根据《橡胶制品生产过程中有机废气的排放系数》（张芝兰，橡胶工业，2006年第53卷）对橡胶制品生产过程中有机废气排放系数的测试过程和结果，硫化工序有机废气类（主要为非甲烷总烃）的最大排放系数为149mg/kg-橡胶原料，二硫化碳的最大排放系数为25.6mg/kg-橡胶原料。</w:t>
            </w:r>
            <w:r>
              <w:rPr>
                <w:rFonts w:hint="default" w:ascii="Times New Roman" w:hAnsi="Times New Roman" w:eastAsia="宋体" w:cs="Times New Roman"/>
                <w:color w:val="000000" w:themeColor="text1"/>
                <w:kern w:val="2"/>
                <w:sz w:val="24"/>
                <w:szCs w:val="24"/>
                <w:lang w:bidi="ar"/>
                <w14:textFill>
                  <w14:solidFill>
                    <w14:schemeClr w14:val="tx1"/>
                  </w14:solidFill>
                </w14:textFill>
              </w:rPr>
              <w:t>项目用胶约500t/a，因此，本项目非甲烷总烃产生量为0.0745t/a,0.0103</w:t>
            </w:r>
            <w:r>
              <w:rPr>
                <w:rFonts w:hint="default" w:ascii="Times New Roman" w:hAnsi="Times New Roman" w:cs="Times New Roman" w:eastAsiaTheme="minorEastAsia"/>
                <w:color w:val="000000" w:themeColor="text1"/>
                <w:sz w:val="21"/>
                <w:szCs w:val="21"/>
                <w14:textFill>
                  <w14:solidFill>
                    <w14:schemeClr w14:val="tx1"/>
                  </w14:solidFill>
                </w14:textFill>
              </w:rPr>
              <w:t>kg/h</w:t>
            </w:r>
            <w:r>
              <w:rPr>
                <w:rFonts w:hint="default" w:ascii="Times New Roman" w:hAnsi="Times New Roman" w:eastAsia="宋体" w:cs="Times New Roman"/>
                <w:color w:val="000000" w:themeColor="text1"/>
                <w:kern w:val="2"/>
                <w:sz w:val="24"/>
                <w:szCs w:val="24"/>
                <w:lang w:bidi="ar"/>
                <w14:textFill>
                  <w14:solidFill>
                    <w14:schemeClr w14:val="tx1"/>
                  </w14:solidFill>
                </w14:textFill>
              </w:rPr>
              <w:t>，</w:t>
            </w:r>
            <w:r>
              <w:rPr>
                <w:rFonts w:hint="default" w:ascii="Times New Roman" w:hAnsi="Times New Roman" w:cs="Times New Roman" w:eastAsiaTheme="minorEastAsia"/>
                <w:bCs/>
                <w:color w:val="000000" w:themeColor="text1"/>
                <w:sz w:val="24"/>
                <w:szCs w:val="24"/>
                <w14:textFill>
                  <w14:solidFill>
                    <w14:schemeClr w14:val="tx1"/>
                  </w14:solidFill>
                </w14:textFill>
              </w:rPr>
              <w:t>二硫化碳为0.0128t/a、0.002</w:t>
            </w:r>
            <w:r>
              <w:rPr>
                <w:rFonts w:hint="default" w:ascii="Times New Roman" w:hAnsi="Times New Roman" w:cs="Times New Roman" w:eastAsiaTheme="minorEastAsia"/>
                <w:bCs/>
                <w:color w:val="000000" w:themeColor="text1"/>
                <w:sz w:val="24"/>
                <w:szCs w:val="24"/>
                <w:lang w:val="zh-CN"/>
                <w14:textFill>
                  <w14:solidFill>
                    <w14:schemeClr w14:val="tx1"/>
                  </w14:solidFill>
                </w14:textFill>
              </w:rPr>
              <w:t>kg/h</w:t>
            </w:r>
            <w:r>
              <w:rPr>
                <w:rFonts w:hint="default" w:ascii="Times New Roman" w:hAnsi="Times New Roman" w:eastAsia="宋体" w:cs="Times New Roman"/>
                <w:color w:val="000000" w:themeColor="text1"/>
                <w:kern w:val="2"/>
                <w:sz w:val="24"/>
                <w:szCs w:val="24"/>
                <w:lang w:bidi="ar"/>
                <w14:textFill>
                  <w14:solidFill>
                    <w14:schemeClr w14:val="tx1"/>
                  </w14:solidFill>
                </w14:textFill>
              </w:rPr>
              <w:t>。成型</w:t>
            </w:r>
            <w:r>
              <w:rPr>
                <w:rFonts w:hint="default" w:ascii="Times New Roman" w:hAnsi="Times New Roman" w:cs="Times New Roman" w:eastAsiaTheme="minorEastAsia"/>
                <w:bCs/>
                <w:color w:val="000000" w:themeColor="text1"/>
                <w:sz w:val="24"/>
                <w:szCs w:val="24"/>
                <w14:textFill>
                  <w14:solidFill>
                    <w14:schemeClr w14:val="tx1"/>
                  </w14:solidFill>
                </w14:textFill>
              </w:rPr>
              <w:t>废气（G3-5）中二硫化碳排放量远小于《恶臭污染物排放标准值》（GB14554-93）中二硫化碳排放量（4.2kg/h），仅竣工环保验收时作为监控指标。</w:t>
            </w:r>
          </w:p>
          <w:p>
            <w:pPr>
              <w:spacing w:after="0" w:line="420" w:lineRule="exac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bidi="ar"/>
                <w14:textFill>
                  <w14:solidFill>
                    <w14:schemeClr w14:val="tx1"/>
                  </w14:solidFill>
                </w14:textFill>
              </w:rPr>
              <w:t>项目设置50台成型机，每天工作约24h。</w:t>
            </w:r>
            <w:r>
              <w:rPr>
                <w:rFonts w:hint="default" w:ascii="Times New Roman" w:hAnsi="Times New Roman" w:cs="Times New Roman" w:eastAsiaTheme="minorEastAsia"/>
                <w:color w:val="000000" w:themeColor="text1"/>
                <w:sz w:val="24"/>
                <w:szCs w:val="24"/>
                <w14:textFill>
                  <w14:solidFill>
                    <w14:schemeClr w14:val="tx1"/>
                  </w14:solidFill>
                </w14:textFill>
              </w:rPr>
              <w:t>拟在每台成型机出料口上方设集1个气罩对成型废气进行收集，由管道与车间主排气管道连通，一并汇入有机废气处理系统（二级活性炭装置）处理后由25m高4#排气筒（编号：DA004）排放，针对50台成型机共设置50个集气罩，其中300吨成型机设置风量1000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/h</w:t>
            </w:r>
            <w:r>
              <w:rPr>
                <w:rFonts w:hint="default" w:ascii="Times New Roman" w:hAnsi="Times New Roman" w:cs="Times New Roman" w:eastAsiaTheme="minorEastAsia"/>
                <w:color w:val="000000" w:themeColor="text1"/>
                <w:sz w:val="24"/>
                <w:szCs w:val="24"/>
                <w14:textFill>
                  <w14:solidFill>
                    <w14:schemeClr w14:val="tx1"/>
                  </w14:solidFill>
                </w14:textFill>
              </w:rPr>
              <w:t>，其余成型机设置风量800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/h，总风量为45000m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/h，废气收集效率按80%计，二级活性炭非甲烷总烃处理效率为80%。</w:t>
            </w:r>
          </w:p>
          <w:p>
            <w:pPr>
              <w:spacing w:after="0" w:line="420" w:lineRule="exact"/>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表4.2-5  成型废气污染物产生情况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975"/>
              <w:gridCol w:w="1019"/>
              <w:gridCol w:w="1098"/>
              <w:gridCol w:w="1045"/>
              <w:gridCol w:w="1045"/>
              <w:gridCol w:w="1045"/>
              <w:gridCol w:w="1046"/>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Merge w:val="restart"/>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废气种类</w:t>
                  </w:r>
                </w:p>
              </w:tc>
              <w:tc>
                <w:tcPr>
                  <w:tcW w:w="975" w:type="dxa"/>
                  <w:vMerge w:val="restart"/>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污染因子</w:t>
                  </w:r>
                </w:p>
              </w:tc>
              <w:tc>
                <w:tcPr>
                  <w:tcW w:w="1019" w:type="dxa"/>
                  <w:vMerge w:val="restart"/>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产生量t/a</w:t>
                  </w:r>
                </w:p>
              </w:tc>
              <w:tc>
                <w:tcPr>
                  <w:tcW w:w="1098" w:type="dxa"/>
                  <w:vMerge w:val="restart"/>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lang w:val="zh-CN"/>
                      <w14:textFill>
                        <w14:solidFill>
                          <w14:schemeClr w14:val="tx1"/>
                        </w14:solidFill>
                      </w14:textFill>
                    </w:rPr>
                    <w:t>产生速率</w:t>
                  </w:r>
                  <w:r>
                    <w:rPr>
                      <w:rFonts w:hint="default" w:ascii="Times New Roman" w:hAnsi="Times New Roman" w:cs="Times New Roman" w:eastAsiaTheme="minorEastAsia"/>
                      <w:bCs/>
                      <w:color w:val="000000" w:themeColor="text1"/>
                      <w:sz w:val="24"/>
                      <w:szCs w:val="24"/>
                      <w14:textFill>
                        <w14:solidFill>
                          <w14:schemeClr w14:val="tx1"/>
                        </w14:solidFill>
                      </w14:textFill>
                    </w:rPr>
                    <w:t>kg/h</w:t>
                  </w:r>
                </w:p>
              </w:tc>
              <w:tc>
                <w:tcPr>
                  <w:tcW w:w="1045" w:type="dxa"/>
                  <w:vMerge w:val="restart"/>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排污时间</w:t>
                  </w:r>
                </w:p>
              </w:tc>
              <w:tc>
                <w:tcPr>
                  <w:tcW w:w="2090" w:type="dxa"/>
                  <w:gridSpan w:val="2"/>
                  <w:vAlign w:val="center"/>
                </w:tcPr>
                <w:p>
                  <w:pPr>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有组织废气产生量</w:t>
                  </w:r>
                </w:p>
              </w:tc>
              <w:tc>
                <w:tcPr>
                  <w:tcW w:w="2092" w:type="dxa"/>
                  <w:gridSpan w:val="2"/>
                  <w:vAlign w:val="center"/>
                </w:tcPr>
                <w:p>
                  <w:pPr>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无组织废气产生量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43" w:type="dxa"/>
                  <w:vMerge w:val="continue"/>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p>
              </w:tc>
              <w:tc>
                <w:tcPr>
                  <w:tcW w:w="975" w:type="dxa"/>
                  <w:vMerge w:val="continue"/>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p>
              </w:tc>
              <w:tc>
                <w:tcPr>
                  <w:tcW w:w="1019" w:type="dxa"/>
                  <w:vMerge w:val="continue"/>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p>
              </w:tc>
              <w:tc>
                <w:tcPr>
                  <w:tcW w:w="1098" w:type="dxa"/>
                  <w:vMerge w:val="continue"/>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p>
              </w:tc>
              <w:tc>
                <w:tcPr>
                  <w:tcW w:w="1045" w:type="dxa"/>
                  <w:vMerge w:val="continue"/>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p>
              </w:tc>
              <w:tc>
                <w:tcPr>
                  <w:tcW w:w="1045"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t/a</w:t>
                  </w:r>
                </w:p>
              </w:tc>
              <w:tc>
                <w:tcPr>
                  <w:tcW w:w="1045"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kg/h</w:t>
                  </w:r>
                </w:p>
              </w:tc>
              <w:tc>
                <w:tcPr>
                  <w:tcW w:w="1046"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t/a</w:t>
                  </w:r>
                </w:p>
              </w:tc>
              <w:tc>
                <w:tcPr>
                  <w:tcW w:w="1046"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成型废气</w:t>
                  </w:r>
                </w:p>
              </w:tc>
              <w:tc>
                <w:tcPr>
                  <w:tcW w:w="975"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非甲烷总烃</w:t>
                  </w:r>
                </w:p>
              </w:tc>
              <w:tc>
                <w:tcPr>
                  <w:tcW w:w="1019"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bidi="ar"/>
                      <w14:textFill>
                        <w14:solidFill>
                          <w14:schemeClr w14:val="tx1"/>
                        </w14:solidFill>
                      </w14:textFill>
                    </w:rPr>
                    <w:t>0.0745</w:t>
                  </w:r>
                </w:p>
              </w:tc>
              <w:tc>
                <w:tcPr>
                  <w:tcW w:w="1098"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bidi="ar"/>
                      <w14:textFill>
                        <w14:solidFill>
                          <w14:schemeClr w14:val="tx1"/>
                        </w14:solidFill>
                      </w14:textFill>
                    </w:rPr>
                    <w:t>0.0103</w:t>
                  </w:r>
                </w:p>
              </w:tc>
              <w:tc>
                <w:tcPr>
                  <w:tcW w:w="1045"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24h/d,7200h/a</w:t>
                  </w:r>
                </w:p>
              </w:tc>
              <w:tc>
                <w:tcPr>
                  <w:tcW w:w="1045"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0.0596</w:t>
                  </w:r>
                </w:p>
              </w:tc>
              <w:tc>
                <w:tcPr>
                  <w:tcW w:w="1045"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0.0082</w:t>
                  </w:r>
                </w:p>
              </w:tc>
              <w:tc>
                <w:tcPr>
                  <w:tcW w:w="1046"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0.0149</w:t>
                  </w:r>
                </w:p>
              </w:tc>
              <w:tc>
                <w:tcPr>
                  <w:tcW w:w="1046" w:type="dxa"/>
                  <w:vAlign w:val="center"/>
                </w:tcPr>
                <w:p>
                  <w:pPr>
                    <w:spacing w:after="0"/>
                    <w:jc w:val="center"/>
                    <w:rPr>
                      <w:rFonts w:hint="default" w:ascii="Times New Roman" w:hAnsi="Times New Roman" w:cs="Times New Roman" w:eastAsiaTheme="minorEastAsia"/>
                      <w:bCs/>
                      <w:color w:val="000000" w:themeColor="text1"/>
                      <w:sz w:val="24"/>
                      <w:szCs w:val="24"/>
                      <w14:textFill>
                        <w14:solidFill>
                          <w14:schemeClr w14:val="tx1"/>
                        </w14:solidFill>
                      </w14:textFill>
                    </w:rPr>
                  </w:pPr>
                  <w:r>
                    <w:rPr>
                      <w:rFonts w:hint="default" w:ascii="Times New Roman" w:hAnsi="Times New Roman" w:cs="Times New Roman" w:eastAsiaTheme="minorEastAsia"/>
                      <w:bCs/>
                      <w:color w:val="000000" w:themeColor="text1"/>
                      <w:sz w:val="24"/>
                      <w:szCs w:val="24"/>
                      <w14:textFill>
                        <w14:solidFill>
                          <w14:schemeClr w14:val="tx1"/>
                        </w14:solidFill>
                      </w14:textFill>
                    </w:rPr>
                    <w:t>0.0021</w:t>
                  </w:r>
                </w:p>
              </w:tc>
            </w:tr>
          </w:tbl>
          <w:p>
            <w:pPr>
              <w:pStyle w:val="4"/>
              <w:spacing w:after="0" w:line="440" w:lineRule="exact"/>
              <w:ind w:left="0" w:leftChars="0" w:firstLine="0" w:firstLineChars="0"/>
              <w:rPr>
                <w:rFonts w:hint="default" w:ascii="Times New Roman" w:hAnsi="Times New Roman" w:eastAsia="宋体" w:cs="Times New Roman"/>
                <w:b/>
                <w:bCs w:val="0"/>
                <w:szCs w:val="24"/>
              </w:rPr>
            </w:pPr>
            <w:r>
              <w:rPr>
                <w:rFonts w:hint="default" w:ascii="Times New Roman" w:hAnsi="Times New Roman" w:eastAsia="宋体" w:cs="Times New Roman"/>
                <w:b/>
                <w:bCs w:val="0"/>
                <w:szCs w:val="24"/>
              </w:rPr>
              <w:t>4.2.1.2非正常排放分析</w:t>
            </w:r>
          </w:p>
          <w:p>
            <w:pPr>
              <w:spacing w:after="0" w:line="440" w:lineRule="exact"/>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sz w:val="24"/>
                <w:szCs w:val="24"/>
              </w:rPr>
              <w:t>本项目开、停机及检</w:t>
            </w:r>
            <w:r>
              <w:rPr>
                <w:rFonts w:hint="default" w:ascii="Times New Roman" w:hAnsi="Times New Roman" w:cs="Times New Roman" w:eastAsiaTheme="minorEastAsia"/>
                <w:bCs/>
                <w:color w:val="auto"/>
                <w:sz w:val="24"/>
                <w:szCs w:val="24"/>
              </w:rPr>
              <w:t>修时均不涉及废气的非正常排放，因此非正常工况主要考虑废气处理设施故障时废气综合处理效率下降至0%的状态，非正常排放情况详见表4.2-6。</w:t>
            </w:r>
          </w:p>
          <w:p>
            <w:pPr>
              <w:pStyle w:val="43"/>
              <w:bidi w:val="0"/>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kern w:val="2"/>
                <w:sz w:val="24"/>
                <w:szCs w:val="24"/>
              </w:rPr>
              <w:t>表4.2-6</w:t>
            </w:r>
            <w:r>
              <w:rPr>
                <w:rFonts w:hint="default" w:ascii="Times New Roman" w:hAnsi="Times New Roman" w:eastAsia="宋体" w:cs="Times New Roman"/>
                <w:b/>
                <w:bCs w:val="0"/>
                <w:color w:val="auto"/>
                <w:sz w:val="24"/>
                <w:szCs w:val="24"/>
                <w:lang w:val="en-US" w:eastAsia="zh-CN"/>
              </w:rPr>
              <w:t xml:space="preserve">  </w:t>
            </w:r>
            <w:r>
              <w:rPr>
                <w:rFonts w:hint="default" w:ascii="Times New Roman" w:hAnsi="Times New Roman" w:eastAsia="宋体" w:cs="Times New Roman"/>
                <w:b/>
                <w:bCs w:val="0"/>
                <w:color w:val="auto"/>
                <w:kern w:val="2"/>
                <w:sz w:val="24"/>
                <w:szCs w:val="24"/>
                <w:lang w:val="en-US" w:eastAsia="zh-CN"/>
              </w:rPr>
              <w:t>非正常工况废气排放情况表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080"/>
              <w:gridCol w:w="860"/>
              <w:gridCol w:w="1864"/>
              <w:gridCol w:w="1646"/>
              <w:gridCol w:w="1070"/>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非正常排放</w:t>
                  </w:r>
                </w:p>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原因</w:t>
                  </w:r>
                </w:p>
              </w:tc>
              <w:tc>
                <w:tcPr>
                  <w:tcW w:w="596"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w:t>
                  </w:r>
                </w:p>
              </w:tc>
              <w:tc>
                <w:tcPr>
                  <w:tcW w:w="47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排气筒</w:t>
                  </w:r>
                </w:p>
              </w:tc>
              <w:tc>
                <w:tcPr>
                  <w:tcW w:w="1029"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非正常排放浓度（mg/m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c>
                <w:tcPr>
                  <w:tcW w:w="908"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非正常排放速率（kg/h）</w:t>
                  </w:r>
                </w:p>
              </w:tc>
              <w:tc>
                <w:tcPr>
                  <w:tcW w:w="590"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持续时间（h）</w:t>
                  </w:r>
                </w:p>
              </w:tc>
              <w:tc>
                <w:tcPr>
                  <w:tcW w:w="555"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排放量（t）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活性炭吸附处理设施故障</w:t>
                  </w:r>
                </w:p>
              </w:tc>
              <w:tc>
                <w:tcPr>
                  <w:tcW w:w="596"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非甲烷总烃</w:t>
                  </w:r>
                </w:p>
              </w:tc>
              <w:tc>
                <w:tcPr>
                  <w:tcW w:w="47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DA001</w:t>
                  </w:r>
                </w:p>
              </w:tc>
              <w:tc>
                <w:tcPr>
                  <w:tcW w:w="1029"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2.344</w:t>
                  </w:r>
                </w:p>
              </w:tc>
              <w:tc>
                <w:tcPr>
                  <w:tcW w:w="908"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0.0584</w:t>
                  </w:r>
                </w:p>
              </w:tc>
              <w:tc>
                <w:tcPr>
                  <w:tcW w:w="590"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布袋除尘器</w:t>
                  </w:r>
                </w:p>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故障</w:t>
                  </w:r>
                </w:p>
              </w:tc>
              <w:tc>
                <w:tcPr>
                  <w:tcW w:w="596" w:type="pct"/>
                  <w:noWrap w:val="0"/>
                  <w:vAlign w:val="center"/>
                </w:tcPr>
                <w:p>
                  <w:pPr>
                    <w:pStyle w:val="121"/>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颗粒物</w:t>
                  </w:r>
                </w:p>
              </w:tc>
              <w:tc>
                <w:tcPr>
                  <w:tcW w:w="47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DA002</w:t>
                  </w:r>
                </w:p>
              </w:tc>
              <w:tc>
                <w:tcPr>
                  <w:tcW w:w="1864" w:type="dxa"/>
                  <w:noWrap w:val="0"/>
                  <w:vAlign w:val="top"/>
                </w:tcPr>
                <w:p>
                  <w:pPr>
                    <w:topLinePunct/>
                    <w:spacing w:after="0"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867.5</w:t>
                  </w:r>
                </w:p>
              </w:tc>
              <w:tc>
                <w:tcPr>
                  <w:tcW w:w="1646" w:type="dxa"/>
                  <w:noWrap w:val="0"/>
                  <w:vAlign w:val="top"/>
                </w:tcPr>
                <w:p>
                  <w:pPr>
                    <w:topLinePunct/>
                    <w:spacing w:after="0"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2.776</w:t>
                  </w:r>
                </w:p>
              </w:tc>
              <w:tc>
                <w:tcPr>
                  <w:tcW w:w="590" w:type="pct"/>
                  <w:noWrap w:val="0"/>
                  <w:vAlign w:val="center"/>
                </w:tcPr>
                <w:p>
                  <w:pPr>
                    <w:pStyle w:val="1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55" w:type="pct"/>
                  <w:noWrap w:val="0"/>
                  <w:vAlign w:val="center"/>
                </w:tcPr>
                <w:p>
                  <w:pPr>
                    <w:pStyle w:val="121"/>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4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布袋除尘器</w:t>
                  </w:r>
                </w:p>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故障</w:t>
                  </w:r>
                </w:p>
              </w:tc>
              <w:tc>
                <w:tcPr>
                  <w:tcW w:w="596"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颗粒物</w:t>
                  </w:r>
                </w:p>
              </w:tc>
              <w:tc>
                <w:tcPr>
                  <w:tcW w:w="474" w:type="pct"/>
                  <w:vMerge w:val="restar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DA003</w:t>
                  </w:r>
                </w:p>
              </w:tc>
              <w:tc>
                <w:tcPr>
                  <w:tcW w:w="1864" w:type="dxa"/>
                  <w:noWrap w:val="0"/>
                  <w:vAlign w:val="bottom"/>
                </w:tcPr>
                <w:p>
                  <w:pPr>
                    <w:topLinePunct/>
                    <w:spacing w:after="0"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lang w:val="en-US" w:eastAsia="zh-CN"/>
                    </w:rPr>
                    <w:t>24.93</w:t>
                  </w:r>
                </w:p>
              </w:tc>
              <w:tc>
                <w:tcPr>
                  <w:tcW w:w="1646" w:type="dxa"/>
                  <w:noWrap w:val="0"/>
                  <w:vAlign w:val="bottom"/>
                </w:tcPr>
                <w:p>
                  <w:pPr>
                    <w:topLinePunct/>
                    <w:spacing w:after="0"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lang w:val="en-US" w:eastAsia="zh-CN"/>
                    </w:rPr>
                    <w:t>0.71</w:t>
                  </w:r>
                </w:p>
              </w:tc>
              <w:tc>
                <w:tcPr>
                  <w:tcW w:w="590"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活性炭吸附处理设施故障</w:t>
                  </w:r>
                </w:p>
              </w:tc>
              <w:tc>
                <w:tcPr>
                  <w:tcW w:w="596"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474" w:type="pct"/>
                  <w:vMerge w:val="continue"/>
                  <w:noWrap w:val="0"/>
                  <w:vAlign w:val="center"/>
                </w:tcPr>
                <w:p>
                  <w:pPr>
                    <w:pStyle w:val="121"/>
                    <w:bidi w:val="0"/>
                    <w:jc w:val="center"/>
                    <w:rPr>
                      <w:rFonts w:hint="default" w:ascii="Times New Roman" w:hAnsi="Times New Roman" w:cs="Times New Roman"/>
                      <w:color w:val="auto"/>
                      <w:sz w:val="21"/>
                      <w:szCs w:val="21"/>
                      <w:lang w:val="en-US" w:eastAsia="zh-CN"/>
                    </w:rPr>
                  </w:pPr>
                </w:p>
              </w:tc>
              <w:tc>
                <w:tcPr>
                  <w:tcW w:w="1864" w:type="dxa"/>
                  <w:noWrap w:val="0"/>
                  <w:vAlign w:val="bottom"/>
                </w:tcPr>
                <w:p>
                  <w:pPr>
                    <w:topLinePunct/>
                    <w:spacing w:after="0"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lang w:val="en-US" w:eastAsia="zh-CN"/>
                    </w:rPr>
                    <w:t>17.46</w:t>
                  </w:r>
                </w:p>
              </w:tc>
              <w:tc>
                <w:tcPr>
                  <w:tcW w:w="1646" w:type="dxa"/>
                  <w:noWrap w:val="0"/>
                  <w:vAlign w:val="bottom"/>
                </w:tcPr>
                <w:p>
                  <w:pPr>
                    <w:topLinePunct/>
                    <w:spacing w:after="0"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lang w:val="en-US" w:eastAsia="zh-CN"/>
                    </w:rPr>
                    <w:t>0.498</w:t>
                  </w:r>
                </w:p>
              </w:tc>
              <w:tc>
                <w:tcPr>
                  <w:tcW w:w="590"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活性炭吸附处理设施故障</w:t>
                  </w:r>
                </w:p>
              </w:tc>
              <w:tc>
                <w:tcPr>
                  <w:tcW w:w="596"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474"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DA004</w:t>
                  </w:r>
                </w:p>
              </w:tc>
              <w:tc>
                <w:tcPr>
                  <w:tcW w:w="1864" w:type="dxa"/>
                  <w:noWrap w:val="0"/>
                  <w:vAlign w:val="center"/>
                </w:tcPr>
                <w:p>
                  <w:pPr>
                    <w:topLinePunct/>
                    <w:spacing w:after="0"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184</w:t>
                  </w:r>
                </w:p>
              </w:tc>
              <w:tc>
                <w:tcPr>
                  <w:tcW w:w="1646" w:type="dxa"/>
                  <w:noWrap w:val="0"/>
                  <w:vAlign w:val="center"/>
                </w:tcPr>
                <w:p>
                  <w:pPr>
                    <w:topLinePunct/>
                    <w:spacing w:after="0"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0.0</w:t>
                  </w:r>
                  <w:r>
                    <w:rPr>
                      <w:rFonts w:hint="default" w:ascii="Times New Roman" w:hAnsi="Times New Roman" w:cs="Times New Roman" w:eastAsiaTheme="minorEastAsia"/>
                      <w:color w:val="auto"/>
                      <w:sz w:val="21"/>
                      <w:szCs w:val="21"/>
                      <w:lang w:val="en-US" w:eastAsia="zh-CN"/>
                    </w:rPr>
                    <w:t>08</w:t>
                  </w:r>
                </w:p>
              </w:tc>
              <w:tc>
                <w:tcPr>
                  <w:tcW w:w="590"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30" w:type="dxa"/>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布袋除尘器</w:t>
                  </w:r>
                </w:p>
                <w:p>
                  <w:pPr>
                    <w:pStyle w:val="121"/>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故障</w:t>
                  </w:r>
                </w:p>
              </w:tc>
              <w:tc>
                <w:tcPr>
                  <w:tcW w:w="1080" w:type="dxa"/>
                  <w:noWrap w:val="0"/>
                  <w:vAlign w:val="center"/>
                </w:tcPr>
                <w:p>
                  <w:pPr>
                    <w:pStyle w:val="121"/>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颗粒物</w:t>
                  </w:r>
                </w:p>
              </w:tc>
              <w:tc>
                <w:tcPr>
                  <w:tcW w:w="860" w:type="dxa"/>
                  <w:noWrap w:val="0"/>
                  <w:vAlign w:val="center"/>
                </w:tcPr>
                <w:p>
                  <w:pPr>
                    <w:pStyle w:val="121"/>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DA005</w:t>
                  </w:r>
                </w:p>
              </w:tc>
              <w:tc>
                <w:tcPr>
                  <w:tcW w:w="1864" w:type="dxa"/>
                  <w:noWrap w:val="0"/>
                  <w:vAlign w:val="center"/>
                </w:tcPr>
                <w:p>
                  <w:pPr>
                    <w:topLinePunct/>
                    <w:spacing w:after="0"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9.06</w:t>
                  </w:r>
                </w:p>
              </w:tc>
              <w:tc>
                <w:tcPr>
                  <w:tcW w:w="1646" w:type="dxa"/>
                  <w:noWrap w:val="0"/>
                  <w:vAlign w:val="center"/>
                </w:tcPr>
                <w:p>
                  <w:pPr>
                    <w:topLinePunct/>
                    <w:spacing w:after="0"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0.118</w:t>
                  </w:r>
                </w:p>
              </w:tc>
              <w:tc>
                <w:tcPr>
                  <w:tcW w:w="590"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55" w:type="pct"/>
                  <w:noWrap w:val="0"/>
                  <w:vAlign w:val="center"/>
                </w:tcPr>
                <w:p>
                  <w:pPr>
                    <w:pStyle w:val="121"/>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0.00015</w:t>
                  </w:r>
                </w:p>
              </w:tc>
            </w:tr>
          </w:tbl>
          <w:p>
            <w:pPr>
              <w:spacing w:after="0" w:line="440" w:lineRule="exact"/>
              <w:ind w:firstLine="480" w:firstLineChars="200"/>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lang w:val="en-US" w:eastAsia="zh-CN"/>
              </w:rPr>
              <w:t>根据上表可知，非正常工况下污染物浓度显著增加，污染物排放量增加，因此应防止事故的发生，项目应加强对废气净化装置的管理和维护。</w:t>
            </w:r>
          </w:p>
          <w:p>
            <w:pPr>
              <w:pStyle w:val="4"/>
              <w:spacing w:after="0" w:line="440" w:lineRule="exact"/>
              <w:ind w:left="0" w:leftChars="0" w:firstLine="0" w:firstLineChars="0"/>
              <w:rPr>
                <w:rFonts w:hint="default" w:ascii="Times New Roman" w:hAnsi="Times New Roman" w:eastAsia="宋体" w:cs="Times New Roman"/>
                <w:b/>
                <w:bCs w:val="0"/>
                <w:color w:val="auto"/>
                <w:szCs w:val="24"/>
              </w:rPr>
            </w:pPr>
            <w:r>
              <w:rPr>
                <w:rFonts w:hint="default" w:ascii="Times New Roman" w:hAnsi="Times New Roman" w:eastAsia="宋体" w:cs="Times New Roman"/>
                <w:b/>
                <w:bCs w:val="0"/>
                <w:color w:val="auto"/>
                <w:szCs w:val="24"/>
              </w:rPr>
              <w:t>4.2.1.3废气污染源源强核算结果及相关参数</w:t>
            </w:r>
          </w:p>
          <w:p>
            <w:pPr>
              <w:spacing w:after="0" w:line="420" w:lineRule="exact"/>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auto"/>
                <w:sz w:val="24"/>
                <w:szCs w:val="24"/>
              </w:rPr>
              <w:t>本项目废气污染源源强核算结果及相关参数，见表4.2-</w:t>
            </w:r>
            <w:r>
              <w:rPr>
                <w:rFonts w:hint="eastAsia"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rPr>
              <w:t>。</w:t>
            </w:r>
          </w:p>
        </w:tc>
      </w:tr>
    </w:tbl>
    <w:p>
      <w:pPr>
        <w:rPr>
          <w:rFonts w:hint="default" w:ascii="Times New Roman" w:hAnsi="Times New Roman" w:cs="Times New Roman"/>
        </w:rPr>
        <w:sectPr>
          <w:pgSz w:w="11906" w:h="16838"/>
          <w:pgMar w:top="1417" w:right="1417" w:bottom="1417" w:left="1417" w:header="1134" w:footer="1021" w:gutter="0"/>
          <w:cols w:space="708" w:num="1"/>
          <w:docGrid w:linePitch="360" w:charSpace="0"/>
        </w:sectPr>
      </w:pPr>
    </w:p>
    <w:p>
      <w:pPr>
        <w:spacing w:after="0" w:line="420" w:lineRule="exact"/>
        <w:jc w:val="center"/>
        <w:rPr>
          <w:rFonts w:hint="default" w:ascii="Times New Roman" w:hAnsi="Times New Roman" w:eastAsia="宋体" w:cs="Times New Roman"/>
          <w:b/>
          <w:color w:val="auto"/>
          <w:sz w:val="24"/>
          <w:szCs w:val="24"/>
        </w:rPr>
      </w:pPr>
      <w:bookmarkStart w:id="1" w:name="_Toc21942915"/>
      <w:bookmarkStart w:id="2" w:name="_Toc21943393"/>
      <w:r>
        <w:rPr>
          <w:rFonts w:hint="default" w:ascii="Times New Roman" w:hAnsi="Times New Roman" w:eastAsia="宋体" w:cs="Times New Roman"/>
          <w:b/>
          <w:color w:val="auto"/>
          <w:sz w:val="24"/>
          <w:szCs w:val="24"/>
        </w:rPr>
        <w:t>表4.2-7  排气筒（最不利情况）污染物排放情况一览表</w:t>
      </w:r>
    </w:p>
    <w:tbl>
      <w:tblPr>
        <w:tblStyle w:val="31"/>
        <w:tblW w:w="51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982"/>
        <w:gridCol w:w="742"/>
        <w:gridCol w:w="1001"/>
        <w:gridCol w:w="1366"/>
        <w:gridCol w:w="1513"/>
        <w:gridCol w:w="1692"/>
        <w:gridCol w:w="699"/>
        <w:gridCol w:w="666"/>
        <w:gridCol w:w="682"/>
        <w:gridCol w:w="1053"/>
        <w:gridCol w:w="1525"/>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排放工矿</w:t>
            </w:r>
          </w:p>
        </w:tc>
        <w:tc>
          <w:tcPr>
            <w:tcW w:w="981"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同时排放</w:t>
            </w:r>
          </w:p>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时间</w:t>
            </w:r>
          </w:p>
        </w:tc>
        <w:tc>
          <w:tcPr>
            <w:tcW w:w="742"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w:t>
            </w:r>
          </w:p>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因子</w:t>
            </w:r>
          </w:p>
        </w:tc>
        <w:tc>
          <w:tcPr>
            <w:tcW w:w="3877" w:type="dxa"/>
            <w:gridSpan w:val="3"/>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污染物产生情况</w:t>
            </w:r>
          </w:p>
        </w:tc>
        <w:tc>
          <w:tcPr>
            <w:tcW w:w="1691"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治理措施</w:t>
            </w:r>
          </w:p>
        </w:tc>
        <w:tc>
          <w:tcPr>
            <w:tcW w:w="699"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风量</w:t>
            </w:r>
          </w:p>
          <w:p>
            <w:pPr>
              <w:spacing w:after="0"/>
              <w:jc w:val="center"/>
              <w:rPr>
                <w:rFonts w:hint="default" w:ascii="Times New Roman" w:hAnsi="Times New Roman" w:eastAsia="宋体" w:cs="Times New Roman"/>
                <w:bCs/>
                <w:color w:val="auto"/>
                <w:sz w:val="21"/>
                <w:szCs w:val="21"/>
              </w:rPr>
            </w:pPr>
            <w:r>
              <w:rPr>
                <w:rFonts w:hint="default" w:ascii="Times New Roman" w:hAnsi="Times New Roman" w:cs="Times New Roman" w:eastAsiaTheme="minorEastAsia"/>
                <w:bCs/>
                <w:color w:val="auto"/>
                <w:sz w:val="21"/>
                <w:szCs w:val="21"/>
              </w:rPr>
              <w:t>m³/h</w:t>
            </w:r>
          </w:p>
        </w:tc>
        <w:tc>
          <w:tcPr>
            <w:tcW w:w="666"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收集率</w:t>
            </w:r>
          </w:p>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682"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去除率</w:t>
            </w:r>
          </w:p>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4072" w:type="dxa"/>
            <w:gridSpan w:val="3"/>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vMerge w:val="continue"/>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p>
        </w:tc>
        <w:tc>
          <w:tcPr>
            <w:tcW w:w="981" w:type="dxa"/>
            <w:vMerge w:val="continue"/>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p>
        </w:tc>
        <w:tc>
          <w:tcPr>
            <w:tcW w:w="742" w:type="dxa"/>
            <w:vMerge w:val="continue"/>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p>
        </w:tc>
        <w:tc>
          <w:tcPr>
            <w:tcW w:w="1000"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产生量</w:t>
            </w:r>
            <w:r>
              <w:rPr>
                <w:rFonts w:hint="default" w:ascii="Times New Roman" w:hAnsi="Times New Roman" w:cs="Times New Roman" w:eastAsiaTheme="minorEastAsia"/>
                <w:bCs/>
                <w:color w:val="auto"/>
                <w:sz w:val="21"/>
                <w:szCs w:val="21"/>
              </w:rPr>
              <w:t>t/a</w:t>
            </w:r>
          </w:p>
        </w:tc>
        <w:tc>
          <w:tcPr>
            <w:tcW w:w="1365"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产生速率</w:t>
            </w:r>
            <w:r>
              <w:rPr>
                <w:rFonts w:hint="default" w:ascii="Times New Roman" w:hAnsi="Times New Roman" w:cs="Times New Roman" w:eastAsiaTheme="minorEastAsia"/>
                <w:bCs/>
                <w:color w:val="auto"/>
                <w:sz w:val="21"/>
                <w:szCs w:val="21"/>
                <w:lang w:val="zh-CN"/>
              </w:rPr>
              <w:t>kg/h</w:t>
            </w:r>
          </w:p>
        </w:tc>
        <w:tc>
          <w:tcPr>
            <w:tcW w:w="1512"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产生浓度</w:t>
            </w:r>
            <w:r>
              <w:rPr>
                <w:rFonts w:hint="default" w:ascii="Times New Roman" w:hAnsi="Times New Roman" w:cs="Times New Roman" w:eastAsiaTheme="minorEastAsia"/>
                <w:bCs/>
                <w:color w:val="auto"/>
                <w:sz w:val="21"/>
                <w:szCs w:val="21"/>
              </w:rPr>
              <w:t>mg/m</w:t>
            </w:r>
            <w:r>
              <w:rPr>
                <w:rFonts w:hint="default" w:ascii="Times New Roman" w:hAnsi="Times New Roman" w:cs="Times New Roman" w:eastAsiaTheme="minorEastAsia"/>
                <w:bCs/>
                <w:color w:val="auto"/>
                <w:sz w:val="21"/>
                <w:szCs w:val="21"/>
                <w:vertAlign w:val="superscript"/>
              </w:rPr>
              <w:t>3</w:t>
            </w:r>
          </w:p>
        </w:tc>
        <w:tc>
          <w:tcPr>
            <w:tcW w:w="1691" w:type="dxa"/>
            <w:vMerge w:val="continue"/>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p>
        </w:tc>
        <w:tc>
          <w:tcPr>
            <w:tcW w:w="699" w:type="dxa"/>
            <w:vMerge w:val="continue"/>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p>
        </w:tc>
        <w:tc>
          <w:tcPr>
            <w:tcW w:w="666" w:type="dxa"/>
            <w:vMerge w:val="continue"/>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p>
        </w:tc>
        <w:tc>
          <w:tcPr>
            <w:tcW w:w="682" w:type="dxa"/>
            <w:vMerge w:val="continue"/>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p>
        </w:tc>
        <w:tc>
          <w:tcPr>
            <w:tcW w:w="1052"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产生量</w:t>
            </w:r>
            <w:r>
              <w:rPr>
                <w:rFonts w:hint="default" w:ascii="Times New Roman" w:hAnsi="Times New Roman" w:cs="Times New Roman" w:eastAsiaTheme="minorEastAsia"/>
                <w:bCs/>
                <w:color w:val="auto"/>
                <w:sz w:val="21"/>
                <w:szCs w:val="21"/>
              </w:rPr>
              <w:t>t/a</w:t>
            </w:r>
          </w:p>
        </w:tc>
        <w:tc>
          <w:tcPr>
            <w:tcW w:w="1524"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产生速率</w:t>
            </w:r>
            <w:r>
              <w:rPr>
                <w:rFonts w:hint="default" w:ascii="Times New Roman" w:hAnsi="Times New Roman" w:cs="Times New Roman" w:eastAsiaTheme="minorEastAsia"/>
                <w:bCs/>
                <w:color w:val="auto"/>
                <w:sz w:val="21"/>
                <w:szCs w:val="21"/>
                <w:lang w:val="zh-CN"/>
              </w:rPr>
              <w:t>kg/h</w:t>
            </w:r>
          </w:p>
        </w:tc>
        <w:tc>
          <w:tcPr>
            <w:tcW w:w="1496"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产生浓度</w:t>
            </w:r>
            <w:r>
              <w:rPr>
                <w:rFonts w:hint="default" w:ascii="Times New Roman" w:hAnsi="Times New Roman" w:cs="Times New Roman" w:eastAsiaTheme="minorEastAsia"/>
                <w:bCs/>
                <w:color w:val="auto"/>
                <w:sz w:val="21"/>
                <w:szCs w:val="21"/>
              </w:rPr>
              <w:t>mg/m</w:t>
            </w:r>
            <w:r>
              <w:rPr>
                <w:rFonts w:hint="default" w:ascii="Times New Roman" w:hAnsi="Times New Roman" w:cs="Times New Roman" w:eastAsiaTheme="minorEastAsia"/>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注塑</w:t>
            </w:r>
          </w:p>
        </w:tc>
        <w:tc>
          <w:tcPr>
            <w:tcW w:w="981"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12h/</w:t>
            </w:r>
            <w:r>
              <w:rPr>
                <w:rFonts w:hint="default" w:ascii="Times New Roman" w:hAnsi="Times New Roman" w:eastAsia="宋体" w:cs="Times New Roman"/>
                <w:bCs/>
                <w:color w:val="auto"/>
                <w:sz w:val="21"/>
                <w:szCs w:val="21"/>
                <w:lang w:val="en-US" w:eastAsia="zh-CN"/>
              </w:rPr>
              <w:t>d</w:t>
            </w:r>
            <w:r>
              <w:rPr>
                <w:rFonts w:hint="default" w:ascii="Times New Roman" w:hAnsi="Times New Roman" w:eastAsia="宋体" w:cs="Times New Roman"/>
                <w:bCs/>
                <w:color w:val="auto"/>
                <w:sz w:val="21"/>
                <w:szCs w:val="21"/>
              </w:rPr>
              <w:t>,</w:t>
            </w:r>
          </w:p>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3600h/a</w:t>
            </w:r>
          </w:p>
        </w:tc>
        <w:tc>
          <w:tcPr>
            <w:tcW w:w="74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非甲烷总烃</w:t>
            </w:r>
          </w:p>
          <w:p>
            <w:pPr>
              <w:spacing w:after="0"/>
              <w:jc w:val="center"/>
              <w:rPr>
                <w:rFonts w:hint="default" w:ascii="Times New Roman" w:hAnsi="Times New Roman" w:eastAsia="宋体" w:cs="Times New Roman"/>
                <w:bCs/>
                <w:color w:val="auto"/>
                <w:sz w:val="21"/>
                <w:szCs w:val="21"/>
              </w:rPr>
            </w:pPr>
          </w:p>
        </w:tc>
        <w:tc>
          <w:tcPr>
            <w:tcW w:w="1000"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0.264</w:t>
            </w:r>
          </w:p>
        </w:tc>
        <w:tc>
          <w:tcPr>
            <w:tcW w:w="1365"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0.073</w:t>
            </w:r>
          </w:p>
        </w:tc>
        <w:tc>
          <w:tcPr>
            <w:tcW w:w="1512"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2.92</w:t>
            </w:r>
          </w:p>
        </w:tc>
        <w:tc>
          <w:tcPr>
            <w:tcW w:w="1691"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集气罩+水喷淋塔+二级活性炭吸附</w:t>
            </w:r>
          </w:p>
        </w:tc>
        <w:tc>
          <w:tcPr>
            <w:tcW w:w="699"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25000</w:t>
            </w:r>
          </w:p>
        </w:tc>
        <w:tc>
          <w:tcPr>
            <w:tcW w:w="666"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80</w:t>
            </w:r>
          </w:p>
        </w:tc>
        <w:tc>
          <w:tcPr>
            <w:tcW w:w="68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80</w:t>
            </w:r>
          </w:p>
        </w:tc>
        <w:tc>
          <w:tcPr>
            <w:tcW w:w="105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0.0422</w:t>
            </w:r>
          </w:p>
        </w:tc>
        <w:tc>
          <w:tcPr>
            <w:tcW w:w="1524"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0.0117</w:t>
            </w:r>
          </w:p>
        </w:tc>
        <w:tc>
          <w:tcPr>
            <w:tcW w:w="1496"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FF0000"/>
                <w:sz w:val="21"/>
                <w:szCs w:val="21"/>
                <w:highlight w:val="yellow"/>
              </w:rPr>
            </w:pPr>
            <w:r>
              <w:rPr>
                <w:rFonts w:hint="default" w:ascii="Times New Roman" w:hAnsi="Times New Roman" w:eastAsia="宋体" w:cs="Times New Roman"/>
                <w:bCs/>
                <w:color w:val="auto"/>
                <w:sz w:val="21"/>
                <w:szCs w:val="21"/>
                <w:highlight w:val="none"/>
              </w:rPr>
              <w:t>解包、称量、投料</w:t>
            </w:r>
          </w:p>
        </w:tc>
        <w:tc>
          <w:tcPr>
            <w:tcW w:w="981"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0.5h/</w:t>
            </w:r>
            <w:r>
              <w:rPr>
                <w:rFonts w:hint="default" w:ascii="Times New Roman" w:hAnsi="Times New Roman" w:eastAsia="宋体" w:cs="Times New Roman"/>
                <w:bCs/>
                <w:color w:val="auto"/>
                <w:sz w:val="21"/>
                <w:szCs w:val="21"/>
                <w:lang w:val="en-US" w:eastAsia="zh-CN"/>
              </w:rPr>
              <w:t>d</w:t>
            </w:r>
            <w:r>
              <w:rPr>
                <w:rFonts w:hint="default" w:ascii="Times New Roman" w:hAnsi="Times New Roman" w:eastAsia="宋体" w:cs="Times New Roman"/>
                <w:bCs/>
                <w:color w:val="auto"/>
                <w:sz w:val="21"/>
                <w:szCs w:val="21"/>
              </w:rPr>
              <w:t>,</w:t>
            </w:r>
          </w:p>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150h/a</w:t>
            </w:r>
          </w:p>
        </w:tc>
        <w:tc>
          <w:tcPr>
            <w:tcW w:w="74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1000"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0.520</w:t>
            </w:r>
            <w:r>
              <w:rPr>
                <w:rFonts w:hint="default" w:ascii="Times New Roman" w:hAnsi="Times New Roman" w:cs="Times New Roman"/>
                <w:bCs/>
                <w:color w:val="auto"/>
                <w:sz w:val="21"/>
                <w:szCs w:val="21"/>
                <w:vertAlign w:val="superscript"/>
              </w:rPr>
              <w:t>①</w:t>
            </w:r>
          </w:p>
        </w:tc>
        <w:tc>
          <w:tcPr>
            <w:tcW w:w="1365"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3.47</w:t>
            </w:r>
          </w:p>
        </w:tc>
        <w:tc>
          <w:tcPr>
            <w:tcW w:w="151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1084.375</w:t>
            </w:r>
          </w:p>
        </w:tc>
        <w:tc>
          <w:tcPr>
            <w:tcW w:w="1691"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eastAsiaTheme="minorEastAsia"/>
                <w:bCs/>
                <w:color w:val="auto"/>
                <w:sz w:val="21"/>
                <w:szCs w:val="21"/>
              </w:rPr>
              <w:t>集气罩+袋式除尘</w:t>
            </w:r>
          </w:p>
        </w:tc>
        <w:tc>
          <w:tcPr>
            <w:tcW w:w="699"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3200</w:t>
            </w:r>
          </w:p>
        </w:tc>
        <w:tc>
          <w:tcPr>
            <w:tcW w:w="666"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80</w:t>
            </w:r>
          </w:p>
        </w:tc>
        <w:tc>
          <w:tcPr>
            <w:tcW w:w="68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96</w:t>
            </w:r>
          </w:p>
        </w:tc>
        <w:tc>
          <w:tcPr>
            <w:tcW w:w="105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0.0166</w:t>
            </w:r>
          </w:p>
        </w:tc>
        <w:tc>
          <w:tcPr>
            <w:tcW w:w="1524"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0.111</w:t>
            </w:r>
          </w:p>
        </w:tc>
        <w:tc>
          <w:tcPr>
            <w:tcW w:w="1496"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vMerge w:val="restart"/>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同时排放密炼、开炼废气</w:t>
            </w:r>
          </w:p>
        </w:tc>
        <w:tc>
          <w:tcPr>
            <w:tcW w:w="981" w:type="dxa"/>
            <w:vMerge w:val="restart"/>
            <w:tcMar>
              <w:top w:w="0" w:type="dxa"/>
              <w:left w:w="0" w:type="dxa"/>
              <w:bottom w:w="0" w:type="dxa"/>
              <w:right w:w="0" w:type="dxa"/>
            </w:tcMar>
            <w:vAlign w:val="center"/>
          </w:tcPr>
          <w:p>
            <w:pPr>
              <w:spacing w:after="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65min/d,</w:t>
            </w:r>
          </w:p>
          <w:p>
            <w:pPr>
              <w:spacing w:after="0"/>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325h/a</w:t>
            </w:r>
          </w:p>
        </w:tc>
        <w:tc>
          <w:tcPr>
            <w:tcW w:w="74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1000"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Times New Roman" w:cs="Times New Roman"/>
                <w:bCs/>
                <w:color w:val="auto"/>
                <w:sz w:val="21"/>
                <w:szCs w:val="21"/>
              </w:rPr>
              <w:t>0.28</w:t>
            </w:r>
            <w:r>
              <w:rPr>
                <w:rFonts w:hint="default" w:ascii="Times New Roman" w:hAnsi="Times New Roman" w:eastAsia="宋体" w:cs="Times New Roman"/>
                <w:bCs/>
                <w:color w:val="auto"/>
                <w:sz w:val="21"/>
                <w:szCs w:val="21"/>
              </w:rPr>
              <w:t>9</w:t>
            </w:r>
          </w:p>
        </w:tc>
        <w:tc>
          <w:tcPr>
            <w:tcW w:w="1365"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Times New Roman" w:cs="Times New Roman"/>
                <w:bCs/>
                <w:color w:val="auto"/>
                <w:sz w:val="21"/>
                <w:szCs w:val="21"/>
              </w:rPr>
              <w:t>0.888</w:t>
            </w:r>
          </w:p>
        </w:tc>
        <w:tc>
          <w:tcPr>
            <w:tcW w:w="151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31.16</w:t>
            </w:r>
          </w:p>
        </w:tc>
        <w:tc>
          <w:tcPr>
            <w:tcW w:w="1691" w:type="dxa"/>
            <w:vMerge w:val="restart"/>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eastAsiaTheme="minorEastAsia"/>
                <w:bCs/>
                <w:color w:val="auto"/>
                <w:sz w:val="21"/>
                <w:szCs w:val="21"/>
              </w:rPr>
              <w:t>集气罩+袋式除尘+二级活性炭吸附</w:t>
            </w:r>
          </w:p>
        </w:tc>
        <w:tc>
          <w:tcPr>
            <w:tcW w:w="699"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28500</w:t>
            </w:r>
          </w:p>
        </w:tc>
        <w:tc>
          <w:tcPr>
            <w:tcW w:w="666"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80</w:t>
            </w:r>
          </w:p>
        </w:tc>
        <w:tc>
          <w:tcPr>
            <w:tcW w:w="68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96</w:t>
            </w:r>
          </w:p>
        </w:tc>
        <w:tc>
          <w:tcPr>
            <w:tcW w:w="105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0.009</w:t>
            </w:r>
          </w:p>
        </w:tc>
        <w:tc>
          <w:tcPr>
            <w:tcW w:w="1524"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0.028</w:t>
            </w:r>
          </w:p>
        </w:tc>
        <w:tc>
          <w:tcPr>
            <w:tcW w:w="1496"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vMerge w:val="continue"/>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p>
        </w:tc>
        <w:tc>
          <w:tcPr>
            <w:tcW w:w="981" w:type="dxa"/>
            <w:vMerge w:val="continue"/>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p>
        </w:tc>
        <w:tc>
          <w:tcPr>
            <w:tcW w:w="74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非甲烷总烃</w:t>
            </w:r>
          </w:p>
        </w:tc>
        <w:tc>
          <w:tcPr>
            <w:tcW w:w="1000"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0.202</w:t>
            </w:r>
            <w:r>
              <w:rPr>
                <w:rFonts w:hint="default" w:ascii="Times New Roman" w:hAnsi="Times New Roman" w:cs="Times New Roman"/>
                <w:bCs/>
                <w:color w:val="auto"/>
                <w:sz w:val="21"/>
                <w:szCs w:val="21"/>
                <w:vertAlign w:val="superscript"/>
              </w:rPr>
              <w:t>②</w:t>
            </w:r>
          </w:p>
        </w:tc>
        <w:tc>
          <w:tcPr>
            <w:tcW w:w="1365"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0.622</w:t>
            </w:r>
          </w:p>
        </w:tc>
        <w:tc>
          <w:tcPr>
            <w:tcW w:w="151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21.82</w:t>
            </w:r>
          </w:p>
        </w:tc>
        <w:tc>
          <w:tcPr>
            <w:tcW w:w="1691" w:type="dxa"/>
            <w:vMerge w:val="continue"/>
            <w:tcMar>
              <w:top w:w="0" w:type="dxa"/>
              <w:left w:w="0" w:type="dxa"/>
              <w:bottom w:w="0" w:type="dxa"/>
              <w:right w:w="0" w:type="dxa"/>
            </w:tcMar>
            <w:vAlign w:val="center"/>
          </w:tcPr>
          <w:p>
            <w:pPr>
              <w:jc w:val="center"/>
              <w:rPr>
                <w:rFonts w:hint="default" w:ascii="Times New Roman" w:hAnsi="Times New Roman" w:cs="Times New Roman" w:eastAsiaTheme="minorEastAsia"/>
                <w:bCs/>
                <w:color w:val="auto"/>
                <w:sz w:val="21"/>
                <w:szCs w:val="21"/>
              </w:rPr>
            </w:pPr>
          </w:p>
        </w:tc>
        <w:tc>
          <w:tcPr>
            <w:tcW w:w="699"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28500</w:t>
            </w:r>
          </w:p>
        </w:tc>
        <w:tc>
          <w:tcPr>
            <w:tcW w:w="666"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80</w:t>
            </w:r>
          </w:p>
        </w:tc>
        <w:tc>
          <w:tcPr>
            <w:tcW w:w="682"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w:t>
            </w:r>
          </w:p>
        </w:tc>
        <w:tc>
          <w:tcPr>
            <w:tcW w:w="105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0.0323</w:t>
            </w:r>
          </w:p>
        </w:tc>
        <w:tc>
          <w:tcPr>
            <w:tcW w:w="1524"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0.100</w:t>
            </w:r>
          </w:p>
        </w:tc>
        <w:tc>
          <w:tcPr>
            <w:tcW w:w="1496"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成型</w:t>
            </w:r>
          </w:p>
        </w:tc>
        <w:tc>
          <w:tcPr>
            <w:tcW w:w="981" w:type="dxa"/>
            <w:tcMar>
              <w:top w:w="0" w:type="dxa"/>
              <w:left w:w="0" w:type="dxa"/>
              <w:bottom w:w="0" w:type="dxa"/>
              <w:right w:w="0" w:type="dxa"/>
            </w:tcMar>
            <w:vAlign w:val="center"/>
          </w:tcPr>
          <w:p>
            <w:pPr>
              <w:spacing w:after="0"/>
              <w:jc w:val="center"/>
              <w:rPr>
                <w:rFonts w:hint="default" w:ascii="Times New Roman" w:hAnsi="Times New Roman" w:eastAsia="Times New Roman" w:cs="Times New Roman"/>
                <w:bCs/>
                <w:color w:val="auto"/>
                <w:sz w:val="21"/>
                <w:szCs w:val="21"/>
              </w:rPr>
            </w:pPr>
            <w:r>
              <w:rPr>
                <w:rFonts w:hint="default" w:ascii="Times New Roman" w:hAnsi="Times New Roman" w:eastAsia="Times New Roman" w:cs="Times New Roman"/>
                <w:bCs/>
                <w:color w:val="auto"/>
                <w:sz w:val="21"/>
                <w:szCs w:val="21"/>
              </w:rPr>
              <w:t>24h/d,</w:t>
            </w:r>
          </w:p>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Times New Roman" w:cs="Times New Roman"/>
                <w:bCs/>
                <w:color w:val="auto"/>
                <w:sz w:val="21"/>
                <w:szCs w:val="21"/>
              </w:rPr>
              <w:t>7200h/a</w:t>
            </w:r>
          </w:p>
        </w:tc>
        <w:tc>
          <w:tcPr>
            <w:tcW w:w="74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非甲烷总烃</w:t>
            </w:r>
          </w:p>
        </w:tc>
        <w:tc>
          <w:tcPr>
            <w:tcW w:w="1000"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Times New Roman" w:cs="Times New Roman"/>
                <w:bCs/>
                <w:color w:val="auto"/>
                <w:sz w:val="21"/>
                <w:szCs w:val="21"/>
              </w:rPr>
              <w:t>0.0745</w:t>
            </w:r>
          </w:p>
        </w:tc>
        <w:tc>
          <w:tcPr>
            <w:tcW w:w="1365"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Times New Roman" w:cs="Times New Roman"/>
                <w:bCs/>
                <w:color w:val="auto"/>
                <w:sz w:val="21"/>
                <w:szCs w:val="21"/>
              </w:rPr>
              <w:t>0.0103</w:t>
            </w:r>
          </w:p>
        </w:tc>
        <w:tc>
          <w:tcPr>
            <w:tcW w:w="151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0.230</w:t>
            </w:r>
          </w:p>
        </w:tc>
        <w:tc>
          <w:tcPr>
            <w:tcW w:w="1691"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eastAsiaTheme="minorEastAsia"/>
                <w:bCs/>
                <w:color w:val="auto"/>
                <w:sz w:val="21"/>
                <w:szCs w:val="21"/>
              </w:rPr>
              <w:t>集气罩+二级活性炭吸附</w:t>
            </w:r>
          </w:p>
        </w:tc>
        <w:tc>
          <w:tcPr>
            <w:tcW w:w="699"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45000</w:t>
            </w:r>
          </w:p>
        </w:tc>
        <w:tc>
          <w:tcPr>
            <w:tcW w:w="666"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rPr>
              <w:t>80</w:t>
            </w:r>
          </w:p>
        </w:tc>
        <w:tc>
          <w:tcPr>
            <w:tcW w:w="682"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80</w:t>
            </w:r>
          </w:p>
        </w:tc>
        <w:tc>
          <w:tcPr>
            <w:tcW w:w="105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0.0120</w:t>
            </w:r>
          </w:p>
        </w:tc>
        <w:tc>
          <w:tcPr>
            <w:tcW w:w="1524"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0.0016</w:t>
            </w:r>
          </w:p>
        </w:tc>
        <w:tc>
          <w:tcPr>
            <w:tcW w:w="1496"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tcMar>
              <w:top w:w="0" w:type="dxa"/>
              <w:left w:w="0" w:type="dxa"/>
              <w:bottom w:w="0" w:type="dxa"/>
              <w:right w:w="0" w:type="dxa"/>
            </w:tcMar>
            <w:vAlign w:val="center"/>
          </w:tcPr>
          <w:p>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eastAsia="zh-CN"/>
              </w:rPr>
              <w:t>同时排放玻璃</w:t>
            </w:r>
            <w:r>
              <w:rPr>
                <w:rFonts w:hint="default" w:ascii="Times New Roman" w:hAnsi="Times New Roman" w:eastAsia="宋体" w:cs="Times New Roman"/>
                <w:bCs/>
                <w:color w:val="auto"/>
                <w:sz w:val="21"/>
                <w:szCs w:val="21"/>
                <w:highlight w:val="none"/>
                <w:lang w:val="en-US" w:eastAsia="zh-CN"/>
              </w:rPr>
              <w:t>/陶瓷</w:t>
            </w:r>
            <w:r>
              <w:rPr>
                <w:rFonts w:hint="default" w:ascii="Times New Roman" w:hAnsi="Times New Roman" w:eastAsia="宋体" w:cs="Times New Roman"/>
                <w:bCs/>
                <w:color w:val="auto"/>
                <w:sz w:val="21"/>
                <w:szCs w:val="21"/>
                <w:highlight w:val="none"/>
                <w:lang w:eastAsia="zh-CN"/>
              </w:rPr>
              <w:t>纤维</w:t>
            </w:r>
          </w:p>
        </w:tc>
        <w:tc>
          <w:tcPr>
            <w:tcW w:w="981" w:type="dxa"/>
            <w:tcMar>
              <w:top w:w="0" w:type="dxa"/>
              <w:left w:w="0" w:type="dxa"/>
              <w:bottom w:w="0" w:type="dxa"/>
              <w:right w:w="0" w:type="dxa"/>
            </w:tcMar>
            <w:vAlign w:val="center"/>
          </w:tcPr>
          <w:p>
            <w:pPr>
              <w:spacing w:after="0"/>
              <w:jc w:val="center"/>
              <w:rPr>
                <w:rFonts w:hint="default" w:ascii="Times New Roman" w:hAnsi="Times New Roman" w:eastAsia="Times New Roman" w:cs="Times New Roman"/>
                <w:bCs/>
                <w:color w:val="auto"/>
                <w:sz w:val="21"/>
                <w:szCs w:val="21"/>
              </w:rPr>
            </w:pPr>
            <w:r>
              <w:rPr>
                <w:rFonts w:hint="default" w:ascii="Times New Roman" w:hAnsi="Times New Roman" w:eastAsia="宋体" w:cs="Times New Roman"/>
                <w:bCs/>
                <w:color w:val="auto"/>
                <w:sz w:val="21"/>
                <w:szCs w:val="21"/>
                <w:lang w:val="en-US" w:eastAsia="zh-CN"/>
              </w:rPr>
              <w:t>12</w:t>
            </w:r>
            <w:r>
              <w:rPr>
                <w:rFonts w:hint="default" w:ascii="Times New Roman" w:hAnsi="Times New Roman" w:eastAsia="Times New Roman" w:cs="Times New Roman"/>
                <w:bCs/>
                <w:color w:val="auto"/>
                <w:sz w:val="21"/>
                <w:szCs w:val="21"/>
              </w:rPr>
              <w:t>h/d,</w:t>
            </w:r>
          </w:p>
          <w:p>
            <w:pPr>
              <w:spacing w:after="0"/>
              <w:jc w:val="center"/>
              <w:rPr>
                <w:rFonts w:hint="default" w:ascii="Times New Roman" w:hAnsi="Times New Roman" w:eastAsia="Times New Roman" w:cs="Times New Roman"/>
                <w:bCs/>
                <w:color w:val="auto"/>
                <w:sz w:val="21"/>
                <w:szCs w:val="21"/>
              </w:rPr>
            </w:pPr>
            <w:r>
              <w:rPr>
                <w:rFonts w:hint="default" w:ascii="Times New Roman" w:hAnsi="Times New Roman" w:eastAsia="宋体" w:cs="Times New Roman"/>
                <w:bCs/>
                <w:color w:val="auto"/>
                <w:sz w:val="21"/>
                <w:szCs w:val="21"/>
                <w:lang w:val="en-US" w:eastAsia="zh-CN"/>
              </w:rPr>
              <w:t>36</w:t>
            </w:r>
            <w:r>
              <w:rPr>
                <w:rFonts w:hint="default" w:ascii="Times New Roman" w:hAnsi="Times New Roman" w:eastAsia="Times New Roman" w:cs="Times New Roman"/>
                <w:bCs/>
                <w:color w:val="auto"/>
                <w:sz w:val="21"/>
                <w:szCs w:val="21"/>
              </w:rPr>
              <w:t>00h/a</w:t>
            </w:r>
          </w:p>
        </w:tc>
        <w:tc>
          <w:tcPr>
            <w:tcW w:w="74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1000" w:type="dxa"/>
            <w:tcMar>
              <w:top w:w="0" w:type="dxa"/>
              <w:left w:w="0" w:type="dxa"/>
              <w:bottom w:w="0" w:type="dxa"/>
              <w:right w:w="0" w:type="dxa"/>
            </w:tcMar>
            <w:vAlign w:val="center"/>
          </w:tcPr>
          <w:p>
            <w:pPr>
              <w:jc w:val="center"/>
              <w:rPr>
                <w:rFonts w:hint="default" w:ascii="Times New Roman" w:hAnsi="Times New Roman" w:eastAsia="Times New Roman" w:cs="Times New Roman"/>
                <w:bCs/>
                <w:color w:val="auto"/>
                <w:sz w:val="21"/>
                <w:szCs w:val="21"/>
              </w:rPr>
            </w:pPr>
            <w:r>
              <w:rPr>
                <w:rFonts w:hint="default" w:ascii="Times New Roman" w:hAnsi="Times New Roman" w:cs="Times New Roman"/>
                <w:bCs/>
                <w:color w:val="auto"/>
                <w:sz w:val="21"/>
                <w:szCs w:val="21"/>
                <w:lang w:val="en-US" w:eastAsia="zh-CN"/>
              </w:rPr>
              <w:t>0.53</w:t>
            </w:r>
          </w:p>
        </w:tc>
        <w:tc>
          <w:tcPr>
            <w:tcW w:w="1365" w:type="dxa"/>
            <w:tcMar>
              <w:top w:w="0" w:type="dxa"/>
              <w:left w:w="0" w:type="dxa"/>
              <w:bottom w:w="0" w:type="dxa"/>
              <w:right w:w="0" w:type="dxa"/>
            </w:tcMar>
            <w:vAlign w:val="center"/>
          </w:tcPr>
          <w:p>
            <w:pPr>
              <w:jc w:val="center"/>
              <w:rPr>
                <w:rFonts w:hint="default" w:ascii="Times New Roman" w:hAnsi="Times New Roman" w:eastAsia="Times New Roman" w:cs="Times New Roman"/>
                <w:bCs/>
                <w:color w:val="auto"/>
                <w:sz w:val="21"/>
                <w:szCs w:val="21"/>
              </w:rPr>
            </w:pPr>
            <w:r>
              <w:rPr>
                <w:rFonts w:hint="default" w:ascii="Times New Roman" w:hAnsi="Times New Roman" w:cs="Times New Roman"/>
                <w:bCs/>
                <w:color w:val="auto"/>
                <w:sz w:val="21"/>
                <w:szCs w:val="21"/>
                <w:lang w:val="en-US" w:eastAsia="zh-CN"/>
              </w:rPr>
              <w:t>0.147</w:t>
            </w:r>
          </w:p>
        </w:tc>
        <w:tc>
          <w:tcPr>
            <w:tcW w:w="151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11.32</w:t>
            </w:r>
          </w:p>
        </w:tc>
        <w:tc>
          <w:tcPr>
            <w:tcW w:w="1691" w:type="dxa"/>
            <w:tcMar>
              <w:top w:w="0" w:type="dxa"/>
              <w:left w:w="0" w:type="dxa"/>
              <w:bottom w:w="0" w:type="dxa"/>
              <w:right w:w="0" w:type="dxa"/>
            </w:tcMar>
            <w:vAlign w:val="center"/>
          </w:tcPr>
          <w:p>
            <w:pPr>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集气罩+袋式除尘</w:t>
            </w:r>
          </w:p>
        </w:tc>
        <w:tc>
          <w:tcPr>
            <w:tcW w:w="699"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13000</w:t>
            </w:r>
          </w:p>
        </w:tc>
        <w:tc>
          <w:tcPr>
            <w:tcW w:w="666"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80</w:t>
            </w:r>
          </w:p>
        </w:tc>
        <w:tc>
          <w:tcPr>
            <w:tcW w:w="682"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lang w:val="en-US" w:eastAsia="zh-CN"/>
              </w:rPr>
              <w:t>96</w:t>
            </w:r>
          </w:p>
        </w:tc>
        <w:tc>
          <w:tcPr>
            <w:tcW w:w="1052"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0.017</w:t>
            </w:r>
          </w:p>
        </w:tc>
        <w:tc>
          <w:tcPr>
            <w:tcW w:w="1524" w:type="dxa"/>
            <w:tcMar>
              <w:top w:w="0" w:type="dxa"/>
              <w:left w:w="0" w:type="dxa"/>
              <w:bottom w:w="0" w:type="dxa"/>
              <w:right w:w="0" w:type="dxa"/>
            </w:tcMar>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0.005</w:t>
            </w:r>
          </w:p>
        </w:tc>
        <w:tc>
          <w:tcPr>
            <w:tcW w:w="1496" w:type="dxa"/>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02" w:type="dxa"/>
            <w:vMerge w:val="restart"/>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合计</w:t>
            </w:r>
          </w:p>
        </w:tc>
        <w:tc>
          <w:tcPr>
            <w:tcW w:w="981" w:type="dxa"/>
            <w:vMerge w:val="restart"/>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74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1000"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1.339</w:t>
            </w:r>
          </w:p>
        </w:tc>
        <w:tc>
          <w:tcPr>
            <w:tcW w:w="1365"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51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691"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699"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666"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68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05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0.0</w:t>
            </w:r>
            <w:r>
              <w:rPr>
                <w:rFonts w:hint="default" w:ascii="Times New Roman" w:hAnsi="Times New Roman" w:eastAsia="宋体" w:cs="Times New Roman"/>
                <w:bCs/>
                <w:color w:val="auto"/>
                <w:sz w:val="21"/>
                <w:szCs w:val="21"/>
                <w:lang w:val="en-US" w:eastAsia="zh-CN"/>
              </w:rPr>
              <w:t>426</w:t>
            </w:r>
          </w:p>
        </w:tc>
        <w:tc>
          <w:tcPr>
            <w:tcW w:w="1524"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496"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dxa"/>
            <w:vMerge w:val="continue"/>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p>
        </w:tc>
        <w:tc>
          <w:tcPr>
            <w:tcW w:w="981" w:type="dxa"/>
            <w:vMerge w:val="continue"/>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p>
        </w:tc>
        <w:tc>
          <w:tcPr>
            <w:tcW w:w="74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非甲烷总烃</w:t>
            </w:r>
          </w:p>
        </w:tc>
        <w:tc>
          <w:tcPr>
            <w:tcW w:w="1000"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0.540</w:t>
            </w:r>
          </w:p>
        </w:tc>
        <w:tc>
          <w:tcPr>
            <w:tcW w:w="1365"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51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691"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699"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666"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68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052"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0.0865</w:t>
            </w:r>
          </w:p>
        </w:tc>
        <w:tc>
          <w:tcPr>
            <w:tcW w:w="1524"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496" w:type="dxa"/>
            <w:tcMar>
              <w:top w:w="0" w:type="dxa"/>
              <w:left w:w="0" w:type="dxa"/>
              <w:bottom w:w="0" w:type="dxa"/>
              <w:right w:w="0" w:type="dxa"/>
            </w:tcMar>
            <w:vAlign w:val="center"/>
          </w:tcPr>
          <w:p>
            <w:pPr>
              <w:topLinePunct/>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2" w:type="dxa"/>
            <w:gridSpan w:val="13"/>
            <w:tcMar>
              <w:top w:w="0" w:type="dxa"/>
              <w:left w:w="0" w:type="dxa"/>
              <w:bottom w:w="0" w:type="dxa"/>
              <w:right w:w="0" w:type="dxa"/>
            </w:tcMar>
            <w:vAlign w:val="center"/>
          </w:tcPr>
          <w:p>
            <w:pPr>
              <w:topLinePunct/>
              <w:spacing w:after="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注：工矿①污染物产生量以投料废气污染物产生量的100%和解包称量污染物产生量的50%（150h/300h）计；</w:t>
            </w:r>
          </w:p>
          <w:p>
            <w:pPr>
              <w:topLinePunct/>
              <w:spacing w:after="0"/>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工矿②污染物产生量以密炼废气污染物产生量的100%和开炼污染物产生量的14.3%（325h/2275h）计。</w:t>
            </w:r>
          </w:p>
        </w:tc>
      </w:tr>
    </w:tbl>
    <w:p>
      <w:pPr>
        <w:spacing w:after="0"/>
        <w:jc w:val="center"/>
        <w:rPr>
          <w:rFonts w:hint="default" w:ascii="Times New Roman" w:hAnsi="Times New Roman" w:eastAsia="宋体" w:cs="Times New Roman"/>
          <w:b/>
          <w:sz w:val="21"/>
          <w:szCs w:val="21"/>
        </w:rPr>
      </w:pPr>
    </w:p>
    <w:p>
      <w:pPr>
        <w:spacing w:after="0"/>
        <w:jc w:val="center"/>
        <w:rPr>
          <w:rFonts w:hint="default" w:ascii="Times New Roman" w:hAnsi="Times New Roman" w:eastAsia="宋体" w:cs="Times New Roman"/>
          <w:b/>
          <w:sz w:val="21"/>
          <w:szCs w:val="21"/>
        </w:rPr>
      </w:pPr>
    </w:p>
    <w:p>
      <w:pPr>
        <w:spacing w:after="0" w:line="420" w:lineRule="exact"/>
        <w:jc w:val="center"/>
        <w:rPr>
          <w:rFonts w:hint="default" w:ascii="Times New Roman" w:hAnsi="Times New Roman" w:eastAsia="宋体" w:cs="Times New Roman"/>
          <w:b/>
          <w:sz w:val="21"/>
          <w:szCs w:val="21"/>
        </w:rPr>
      </w:pPr>
    </w:p>
    <w:p>
      <w:pPr>
        <w:spacing w:after="0" w:line="420" w:lineRule="exact"/>
        <w:jc w:val="center"/>
        <w:rPr>
          <w:rFonts w:hint="default" w:ascii="Times New Roman" w:hAnsi="Times New Roman" w:eastAsia="宋体" w:cs="Times New Roman"/>
          <w:b/>
          <w:sz w:val="21"/>
          <w:szCs w:val="21"/>
        </w:rPr>
      </w:pPr>
    </w:p>
    <w:bookmarkEnd w:id="1"/>
    <w:bookmarkEnd w:id="2"/>
    <w:p>
      <w:pPr>
        <w:spacing w:after="0" w:line="420" w:lineRule="exact"/>
        <w:jc w:val="center"/>
        <w:rPr>
          <w:rFonts w:hint="default" w:ascii="Times New Roman" w:hAnsi="Times New Roman" w:eastAsia="宋体" w:cs="Times New Roman"/>
          <w:b/>
          <w:sz w:val="21"/>
          <w:szCs w:val="21"/>
        </w:rPr>
      </w:pPr>
    </w:p>
    <w:p>
      <w:pPr>
        <w:spacing w:after="0" w:line="420" w:lineRule="exact"/>
        <w:jc w:val="center"/>
        <w:rPr>
          <w:rFonts w:hint="default" w:ascii="Times New Roman" w:hAnsi="Times New Roman" w:eastAsia="宋体" w:cs="Times New Roman"/>
          <w:b/>
          <w:sz w:val="21"/>
          <w:szCs w:val="21"/>
        </w:rPr>
      </w:pPr>
    </w:p>
    <w:p>
      <w:pPr>
        <w:rPr>
          <w:rFonts w:hint="default" w:ascii="Times New Roman" w:hAnsi="Times New Roman" w:cs="Times New Roman"/>
        </w:rPr>
      </w:pPr>
    </w:p>
    <w:p>
      <w:pPr>
        <w:rPr>
          <w:rFonts w:hint="default" w:ascii="Times New Roman" w:hAnsi="Times New Roman" w:cs="Times New Roman"/>
        </w:rPr>
        <w:sectPr>
          <w:pgSz w:w="16838" w:h="11906" w:orient="landscape"/>
          <w:pgMar w:top="1417" w:right="1417" w:bottom="1417" w:left="1417" w:header="1134" w:footer="1021" w:gutter="0"/>
          <w:cols w:space="708" w:num="1"/>
          <w:docGrid w:linePitch="360" w:charSpace="0"/>
        </w:sectPr>
      </w:pPr>
    </w:p>
    <w:tbl>
      <w:tblPr>
        <w:tblStyle w:val="31"/>
        <w:tblW w:w="475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79" w:hRule="atLeast"/>
          <w:jc w:val="center"/>
        </w:trPr>
        <w:tc>
          <w:tcPr>
            <w:tcW w:w="8729" w:type="dxa"/>
          </w:tcPr>
          <w:p>
            <w:pPr>
              <w:spacing w:after="0" w:line="420" w:lineRule="exact"/>
              <w:ind w:firstLine="722" w:firstLineChars="3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基准风量排放浓度换算</w:t>
            </w:r>
          </w:p>
          <w:p>
            <w:pPr>
              <w:spacing w:after="0" w:line="420" w:lineRule="exact"/>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橡胶制品工业污染物排放标准》（GB27632-2011）表5，炼胶装置的非甲烷总烃基准排气量为2000m³/t胶，硫化装置非甲烷总烃基准排气量为2000m³/t胶。根据《关于橡胶行业执行标准问题的复函》（环函（2014）244号）：“一、《橡胶制品工业污染物排放标准》（GB27632-2011）中基准排气量针对具体装置，考虑到企业对生胶可能需多次重复炼胶，基准排气量可将计算炼胶次数后的总胶量作为企业用胶量进行核算，同时也将计算炼胶次数后的总气量作为企业排气量进行和核算。三，炼胶装置和硫化装置分别考核基准排气量”。</w:t>
            </w:r>
          </w:p>
          <w:p>
            <w:pPr>
              <w:spacing w:after="0" w:line="420" w:lineRule="exact"/>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换算公式如下：</w:t>
            </w:r>
          </w:p>
          <w:p>
            <w:pPr>
              <w:spacing w:before="120" w:beforeLines="50" w:after="0"/>
              <w:jc w:val="center"/>
              <w:rPr>
                <w:rFonts w:hint="default" w:ascii="Times New Roman" w:hAnsi="Times New Roman" w:eastAsia="Times New Roman" w:cs="Times New Roman"/>
                <w:color w:val="auto"/>
                <w:sz w:val="24"/>
              </w:rPr>
            </w:pPr>
            <w:r>
              <w:rPr>
                <w:rFonts w:hint="default" w:ascii="Times New Roman" w:hAnsi="Times New Roman" w:cs="Times New Roman"/>
                <w:color w:val="auto"/>
              </w:rPr>
              <w:drawing>
                <wp:inline distT="0" distB="0" distL="114300" distR="114300">
                  <wp:extent cx="1181100" cy="528955"/>
                  <wp:effectExtent l="0" t="0" r="0" b="3810"/>
                  <wp:docPr id="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true"/>
                          </pic:cNvPicPr>
                        </pic:nvPicPr>
                        <pic:blipFill>
                          <a:blip r:embed="rId27"/>
                          <a:stretch>
                            <a:fillRect/>
                          </a:stretch>
                        </pic:blipFill>
                        <pic:spPr>
                          <a:xfrm>
                            <a:off x="0" y="0"/>
                            <a:ext cx="1181100" cy="528955"/>
                          </a:xfrm>
                          <a:prstGeom prst="rect">
                            <a:avLst/>
                          </a:prstGeom>
                          <a:noFill/>
                          <a:ln>
                            <a:noFill/>
                          </a:ln>
                        </pic:spPr>
                      </pic:pic>
                    </a:graphicData>
                  </a:graphic>
                </wp:inline>
              </w:drawing>
            </w:r>
          </w:p>
          <w:p>
            <w:pPr>
              <w:spacing w:after="0" w:line="420" w:lineRule="exact"/>
              <w:rPr>
                <w:rFonts w:hint="default" w:ascii="Times New Roman" w:hAnsi="Times New Roman" w:eastAsia="Times New Roman"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Times New Roman" w:cs="Times New Roman"/>
                <w:color w:val="auto"/>
                <w:sz w:val="24"/>
                <w:szCs w:val="24"/>
              </w:rPr>
              <w:t>ρ</w:t>
            </w:r>
            <w:r>
              <w:rPr>
                <w:rFonts w:hint="default" w:ascii="Times New Roman" w:hAnsi="Times New Roman" w:eastAsia="宋体" w:cs="Times New Roman"/>
                <w:color w:val="auto"/>
                <w:sz w:val="24"/>
                <w:szCs w:val="24"/>
                <w:vertAlign w:val="subscript"/>
              </w:rPr>
              <w:t>基</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大气污染物基准排气量排放浓度，mg/m³；</w:t>
            </w:r>
          </w:p>
          <w:p>
            <w:pPr>
              <w:spacing w:after="0" w:line="420" w:lineRule="exact"/>
              <w:ind w:firstLine="720" w:firstLineChars="300"/>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Q</w:t>
            </w:r>
            <w:r>
              <w:rPr>
                <w:rFonts w:hint="default" w:ascii="Times New Roman" w:hAnsi="Times New Roman" w:eastAsia="宋体" w:cs="Times New Roman"/>
                <w:color w:val="auto"/>
                <w:sz w:val="24"/>
                <w:szCs w:val="24"/>
                <w:vertAlign w:val="subscript"/>
              </w:rPr>
              <w:t>总</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实测排气总量，m³；</w:t>
            </w:r>
          </w:p>
          <w:p>
            <w:pPr>
              <w:spacing w:after="0" w:line="420" w:lineRule="exact"/>
              <w:ind w:firstLine="720" w:firstLineChars="300"/>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Y</w:t>
            </w:r>
            <w:r>
              <w:rPr>
                <w:rFonts w:hint="default" w:ascii="Times New Roman" w:hAnsi="Times New Roman" w:eastAsia="Times New Roman" w:cs="Times New Roman"/>
                <w:color w:val="auto"/>
                <w:sz w:val="24"/>
                <w:szCs w:val="24"/>
                <w:vertAlign w:val="subscript"/>
              </w:rPr>
              <w:t>i</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第i种产品胶料消耗量，t；</w:t>
            </w:r>
          </w:p>
          <w:p>
            <w:pPr>
              <w:spacing w:after="0" w:line="420" w:lineRule="exact"/>
              <w:ind w:firstLine="720" w:firstLineChars="300"/>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Q</w:t>
            </w:r>
            <w:r>
              <w:rPr>
                <w:rFonts w:hint="default" w:ascii="Times New Roman" w:hAnsi="Times New Roman" w:eastAsia="Times New Roman" w:cs="Times New Roman"/>
                <w:color w:val="auto"/>
                <w:sz w:val="24"/>
                <w:szCs w:val="24"/>
                <w:vertAlign w:val="subscript"/>
              </w:rPr>
              <w:t>i</w:t>
            </w:r>
            <w:r>
              <w:rPr>
                <w:rFonts w:hint="default" w:ascii="Times New Roman" w:hAnsi="Times New Roman" w:eastAsia="宋体" w:cs="Times New Roman"/>
                <w:color w:val="auto"/>
                <w:sz w:val="24"/>
                <w:szCs w:val="24"/>
                <w:vertAlign w:val="subscript"/>
              </w:rPr>
              <w:t>基</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第i种产品的单位胶料基准排气量，m³/t；</w:t>
            </w:r>
          </w:p>
          <w:p>
            <w:pPr>
              <w:spacing w:after="0" w:line="420" w:lineRule="exact"/>
              <w:ind w:firstLine="720" w:firstLineChars="300"/>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ρ</w:t>
            </w:r>
            <w:r>
              <w:rPr>
                <w:rFonts w:hint="default" w:ascii="Times New Roman" w:hAnsi="Times New Roman" w:eastAsia="宋体" w:cs="Times New Roman"/>
                <w:color w:val="auto"/>
                <w:sz w:val="24"/>
                <w:szCs w:val="24"/>
                <w:vertAlign w:val="subscript"/>
              </w:rPr>
              <w:t>实</w:t>
            </w: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实测大气污染物排放浓度，mg/m³。</w:t>
            </w:r>
          </w:p>
          <w:p>
            <w:pPr>
              <w:pStyle w:val="26"/>
              <w:spacing w:before="105" w:beforeAutospacing="0" w:after="0" w:afterAutospacing="0" w:line="276" w:lineRule="auto"/>
              <w:ind w:firstLine="557"/>
              <w:jc w:val="both"/>
              <w:rPr>
                <w:rFonts w:hint="default" w:ascii="Times New Roman" w:hAnsi="Times New Roman" w:cs="Times New Roman"/>
                <w:color w:val="auto"/>
                <w:szCs w:val="24"/>
              </w:rPr>
            </w:pPr>
            <w:r>
              <w:rPr>
                <w:rFonts w:hint="default" w:ascii="Times New Roman" w:hAnsi="Times New Roman" w:cs="Times New Roman"/>
                <w:color w:val="auto"/>
                <w:szCs w:val="24"/>
              </w:rPr>
              <w:t>本项目需要密炼的橡胶总用量为1300t/a，根据《橡胶制品工业污染物排放标准》 （GB27632-2011）表5，年用胶量所对应的颗粒物基准排气量：1300*2000=260万</w:t>
            </w:r>
            <w:r>
              <w:rPr>
                <w:rFonts w:hint="default" w:ascii="Times New Roman" w:hAnsi="Times New Roman" w:cs="Times New Roman" w:eastAsiaTheme="minorEastAsia"/>
                <w:bCs/>
                <w:color w:val="auto"/>
                <w:sz w:val="21"/>
                <w:szCs w:val="21"/>
              </w:rPr>
              <w:t>m³/a；</w:t>
            </w:r>
            <w:r>
              <w:rPr>
                <w:rFonts w:hint="default" w:ascii="Times New Roman" w:hAnsi="Times New Roman" w:cs="Times New Roman"/>
                <w:color w:val="auto"/>
                <w:szCs w:val="24"/>
              </w:rPr>
              <w:t>密炼开炼单位胶料基准排气量：1300*2000*2=520万</w:t>
            </w:r>
            <w:r>
              <w:rPr>
                <w:rFonts w:hint="default" w:ascii="Times New Roman" w:hAnsi="Times New Roman" w:cs="Times New Roman" w:eastAsiaTheme="minorEastAsia"/>
                <w:bCs/>
                <w:color w:val="auto"/>
                <w:sz w:val="21"/>
                <w:szCs w:val="21"/>
              </w:rPr>
              <w:t>m³/a；</w:t>
            </w:r>
            <w:r>
              <w:rPr>
                <w:rFonts w:hint="default" w:ascii="Times New Roman" w:hAnsi="Times New Roman" w:cs="Times New Roman"/>
                <w:color w:val="auto"/>
                <w:szCs w:val="24"/>
              </w:rPr>
              <w:t>成型废气年用胶量对应的基准排气量</w:t>
            </w:r>
            <w:r>
              <w:rPr>
                <w:rFonts w:hint="default" w:ascii="Times New Roman" w:hAnsi="Times New Roman" w:cs="Times New Roman" w:eastAsiaTheme="minorEastAsia"/>
                <w:bCs/>
                <w:color w:val="auto"/>
                <w:sz w:val="21"/>
                <w:szCs w:val="21"/>
              </w:rPr>
              <w:t>5</w:t>
            </w:r>
            <w:r>
              <w:rPr>
                <w:rFonts w:hint="default" w:ascii="Times New Roman" w:hAnsi="Times New Roman" w:cs="Times New Roman"/>
                <w:color w:val="auto"/>
                <w:szCs w:val="24"/>
              </w:rPr>
              <w:t>00*2000*2=200万</w:t>
            </w:r>
            <w:r>
              <w:rPr>
                <w:rFonts w:hint="default" w:ascii="Times New Roman" w:hAnsi="Times New Roman" w:cs="Times New Roman" w:eastAsiaTheme="minorEastAsia"/>
                <w:bCs/>
                <w:color w:val="auto"/>
                <w:sz w:val="21"/>
                <w:szCs w:val="21"/>
              </w:rPr>
              <w:t>m³/a</w:t>
            </w:r>
            <w:r>
              <w:rPr>
                <w:rFonts w:hint="default" w:ascii="Times New Roman" w:hAnsi="Times New Roman" w:cs="Times New Roman"/>
                <w:color w:val="auto"/>
                <w:szCs w:val="24"/>
              </w:rPr>
              <w:t>。</w:t>
            </w:r>
          </w:p>
          <w:p>
            <w:pPr>
              <w:spacing w:after="0" w:line="420" w:lineRule="exact"/>
              <w:ind w:firstLine="480" w:firstLineChars="200"/>
              <w:rPr>
                <w:rFonts w:hint="default" w:ascii="Times New Roman" w:hAnsi="Times New Roman" w:eastAsia="Times New Roman" w:cs="Times New Roman"/>
                <w:color w:val="auto"/>
                <w:sz w:val="24"/>
              </w:rPr>
            </w:pPr>
            <w:r>
              <w:rPr>
                <w:rFonts w:hint="default" w:ascii="Times New Roman" w:hAnsi="Times New Roman" w:eastAsia="宋体" w:cs="Times New Roman"/>
                <w:color w:val="auto"/>
                <w:sz w:val="24"/>
              </w:rPr>
              <w:t>排气筒DA002、DA003、DA004大气污染物基准排气量排放浓度换算</w:t>
            </w:r>
            <w:r>
              <w:rPr>
                <w:rFonts w:hint="default" w:ascii="Times New Roman" w:hAnsi="Times New Roman" w:eastAsia="宋体" w:cs="Times New Roman"/>
                <w:color w:val="auto"/>
                <w:sz w:val="24"/>
                <w:szCs w:val="24"/>
              </w:rPr>
              <w:t>见表4.2-8。</w:t>
            </w:r>
          </w:p>
          <w:p>
            <w:pPr>
              <w:spacing w:after="0" w:line="420" w:lineRule="exact"/>
              <w:jc w:val="center"/>
              <w:rPr>
                <w:rFonts w:hint="default" w:ascii="Times New Roman" w:hAnsi="Times New Roman" w:eastAsia="Times New Roman" w:cs="Times New Roman"/>
                <w:b/>
                <w:color w:val="auto"/>
                <w:sz w:val="24"/>
                <w:szCs w:val="24"/>
              </w:rPr>
            </w:pPr>
            <w:r>
              <w:rPr>
                <w:rFonts w:hint="default" w:ascii="Times New Roman" w:hAnsi="Times New Roman" w:eastAsia="宋体" w:cs="Times New Roman"/>
                <w:b/>
                <w:color w:val="auto"/>
                <w:sz w:val="24"/>
                <w:szCs w:val="24"/>
              </w:rPr>
              <w:t>表4.2-8  大气污染物基准排气量排放浓度换算</w:t>
            </w:r>
          </w:p>
          <w:tbl>
            <w:tblPr>
              <w:tblStyle w:val="30"/>
              <w:tblW w:w="8504"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764"/>
              <w:gridCol w:w="1012"/>
              <w:gridCol w:w="840"/>
              <w:gridCol w:w="780"/>
              <w:gridCol w:w="990"/>
              <w:gridCol w:w="1095"/>
              <w:gridCol w:w="1232"/>
              <w:gridCol w:w="1039"/>
              <w:gridCol w:w="75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64" w:type="dxa"/>
                  <w:tcBorders>
                    <w:top w:val="single" w:color="auto" w:sz="4"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排气筒</w:t>
                  </w:r>
                </w:p>
              </w:tc>
              <w:tc>
                <w:tcPr>
                  <w:tcW w:w="1012" w:type="dxa"/>
                  <w:tcBorders>
                    <w:top w:val="single" w:color="auto" w:sz="4" w:space="0"/>
                    <w:left w:val="single" w:color="auto" w:sz="6" w:space="0"/>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废气总量（m³/a）</w:t>
                  </w:r>
                </w:p>
              </w:tc>
              <w:tc>
                <w:tcPr>
                  <w:tcW w:w="840" w:type="dxa"/>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胶料量（t/a）</w:t>
                  </w:r>
                </w:p>
              </w:tc>
              <w:tc>
                <w:tcPr>
                  <w:tcW w:w="780" w:type="dxa"/>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污染物</w:t>
                  </w:r>
                </w:p>
              </w:tc>
              <w:tc>
                <w:tcPr>
                  <w:tcW w:w="990" w:type="dxa"/>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实际排放浓度（</w:t>
                  </w:r>
                  <w:r>
                    <w:rPr>
                      <w:rFonts w:hint="default" w:ascii="Times New Roman" w:hAnsi="Times New Roman" w:eastAsia="Times New Roman" w:cs="Times New Roman"/>
                      <w:color w:val="auto"/>
                      <w:sz w:val="21"/>
                      <w:szCs w:val="21"/>
                    </w:rPr>
                    <w:t>mg/m³</w:t>
                  </w:r>
                  <w:r>
                    <w:rPr>
                      <w:rFonts w:hint="default" w:ascii="Times New Roman" w:hAnsi="Times New Roman" w:eastAsia="宋体" w:cs="Times New Roman"/>
                      <w:color w:val="auto"/>
                      <w:sz w:val="21"/>
                      <w:szCs w:val="21"/>
                    </w:rPr>
                    <w:t>）</w:t>
                  </w:r>
                </w:p>
              </w:tc>
              <w:tc>
                <w:tcPr>
                  <w:tcW w:w="1095" w:type="dxa"/>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基准</w:t>
                  </w:r>
                </w:p>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排气量</w:t>
                  </w:r>
                </w:p>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（m³/t胶）</w:t>
                  </w:r>
                </w:p>
              </w:tc>
              <w:tc>
                <w:tcPr>
                  <w:tcW w:w="1232" w:type="dxa"/>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基准排气量排放浓度（</w:t>
                  </w:r>
                  <w:r>
                    <w:rPr>
                      <w:rFonts w:hint="default" w:ascii="Times New Roman" w:hAnsi="Times New Roman" w:eastAsia="Times New Roman" w:cs="Times New Roman"/>
                      <w:color w:val="auto"/>
                      <w:sz w:val="21"/>
                      <w:szCs w:val="21"/>
                    </w:rPr>
                    <w:t>mg/m³</w:t>
                  </w:r>
                  <w:r>
                    <w:rPr>
                      <w:rFonts w:hint="default" w:ascii="Times New Roman" w:hAnsi="Times New Roman" w:eastAsia="宋体" w:cs="Times New Roman"/>
                      <w:color w:val="auto"/>
                      <w:sz w:val="21"/>
                      <w:szCs w:val="21"/>
                    </w:rPr>
                    <w:t>）</w:t>
                  </w:r>
                </w:p>
              </w:tc>
              <w:tc>
                <w:tcPr>
                  <w:tcW w:w="1039" w:type="dxa"/>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排放</w:t>
                  </w:r>
                </w:p>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限值</w:t>
                  </w:r>
                </w:p>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Times New Roman" w:cs="Times New Roman"/>
                      <w:color w:val="auto"/>
                      <w:sz w:val="21"/>
                      <w:szCs w:val="21"/>
                    </w:rPr>
                    <w:t>mg/m³</w:t>
                  </w:r>
                  <w:r>
                    <w:rPr>
                      <w:rFonts w:hint="default" w:ascii="Times New Roman" w:hAnsi="Times New Roman" w:eastAsia="宋体" w:cs="Times New Roman"/>
                      <w:color w:val="auto"/>
                      <w:sz w:val="21"/>
                      <w:szCs w:val="21"/>
                    </w:rPr>
                    <w:t>）</w:t>
                  </w:r>
                </w:p>
              </w:tc>
              <w:tc>
                <w:tcPr>
                  <w:tcW w:w="752" w:type="dxa"/>
                  <w:tcBorders>
                    <w:top w:val="single" w:color="auto" w:sz="4"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说明</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64" w:type="dxa"/>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w:t>
                  </w:r>
                </w:p>
              </w:tc>
              <w:tc>
                <w:tcPr>
                  <w:tcW w:w="1012" w:type="dxa"/>
                  <w:tcBorders>
                    <w:top w:val="single" w:color="auto" w:sz="6" w:space="0"/>
                    <w:left w:val="single" w:color="auto" w:sz="6" w:space="0"/>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9.6×10</w:t>
                  </w:r>
                  <w:r>
                    <w:rPr>
                      <w:rFonts w:hint="default" w:ascii="Times New Roman" w:hAnsi="Times New Roman" w:eastAsia="宋体" w:cs="Times New Roman"/>
                      <w:color w:val="auto"/>
                      <w:sz w:val="21"/>
                      <w:szCs w:val="21"/>
                      <w:vertAlign w:val="superscript"/>
                    </w:rPr>
                    <w:t>5</w:t>
                  </w:r>
                </w:p>
              </w:tc>
              <w:tc>
                <w:tcPr>
                  <w:tcW w:w="84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1300</w:t>
                  </w:r>
                </w:p>
              </w:tc>
              <w:tc>
                <w:tcPr>
                  <w:tcW w:w="78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99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20.79</w:t>
                  </w:r>
                </w:p>
              </w:tc>
              <w:tc>
                <w:tcPr>
                  <w:tcW w:w="1095"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23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7.67</w:t>
                  </w:r>
                </w:p>
              </w:tc>
              <w:tc>
                <w:tcPr>
                  <w:tcW w:w="1039"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52"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配料</w:t>
                  </w:r>
                </w:p>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投料</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64" w:type="dxa"/>
                  <w:vMerge w:val="restart"/>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DA003</w:t>
                  </w:r>
                </w:p>
              </w:tc>
              <w:tc>
                <w:tcPr>
                  <w:tcW w:w="1012" w:type="dxa"/>
                  <w:tcBorders>
                    <w:top w:val="single" w:color="auto" w:sz="6" w:space="0"/>
                    <w:left w:val="single" w:color="auto" w:sz="6" w:space="0"/>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1.95×10</w:t>
                  </w:r>
                  <w:r>
                    <w:rPr>
                      <w:rFonts w:hint="default" w:ascii="Times New Roman" w:hAnsi="Times New Roman" w:eastAsia="宋体" w:cs="Times New Roman"/>
                      <w:color w:val="auto"/>
                      <w:sz w:val="21"/>
                      <w:szCs w:val="21"/>
                      <w:vertAlign w:val="superscript"/>
                    </w:rPr>
                    <w:t>6</w:t>
                  </w:r>
                </w:p>
              </w:tc>
              <w:tc>
                <w:tcPr>
                  <w:tcW w:w="840" w:type="dxa"/>
                  <w:vMerge w:val="restart"/>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1300</w:t>
                  </w:r>
                </w:p>
              </w:tc>
              <w:tc>
                <w:tcPr>
                  <w:tcW w:w="78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颗粒物</w:t>
                  </w:r>
                </w:p>
              </w:tc>
              <w:tc>
                <w:tcPr>
                  <w:tcW w:w="99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4.74</w:t>
                  </w:r>
                </w:p>
              </w:tc>
              <w:tc>
                <w:tcPr>
                  <w:tcW w:w="1095"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2000</w:t>
                  </w:r>
                </w:p>
              </w:tc>
              <w:tc>
                <w:tcPr>
                  <w:tcW w:w="123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3.55</w:t>
                  </w:r>
                </w:p>
              </w:tc>
              <w:tc>
                <w:tcPr>
                  <w:tcW w:w="1039"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12</w:t>
                  </w:r>
                </w:p>
              </w:tc>
              <w:tc>
                <w:tcPr>
                  <w:tcW w:w="752" w:type="dxa"/>
                  <w:vMerge w:val="restart"/>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密炼+开炼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764" w:type="dxa"/>
                  <w:vMerge w:val="continue"/>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Times New Roman" w:cs="Times New Roman"/>
                      <w:color w:val="auto"/>
                      <w:sz w:val="21"/>
                      <w:szCs w:val="21"/>
                    </w:rPr>
                  </w:pPr>
                </w:p>
              </w:tc>
              <w:tc>
                <w:tcPr>
                  <w:tcW w:w="1012" w:type="dxa"/>
                  <w:tcBorders>
                    <w:top w:val="single" w:color="auto" w:sz="6" w:space="0"/>
                    <w:left w:val="single" w:color="auto" w:sz="6" w:space="0"/>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6.48×10</w:t>
                  </w:r>
                  <w:r>
                    <w:rPr>
                      <w:rFonts w:hint="default" w:ascii="Times New Roman" w:hAnsi="Times New Roman" w:eastAsia="宋体" w:cs="Times New Roman"/>
                      <w:color w:val="auto"/>
                      <w:sz w:val="21"/>
                      <w:szCs w:val="21"/>
                      <w:vertAlign w:val="superscript"/>
                    </w:rPr>
                    <w:t>7</w:t>
                  </w:r>
                </w:p>
              </w:tc>
              <w:tc>
                <w:tcPr>
                  <w:tcW w:w="840" w:type="dxa"/>
                  <w:vMerge w:val="continue"/>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p>
              </w:tc>
              <w:tc>
                <w:tcPr>
                  <w:tcW w:w="78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NMHC</w:t>
                  </w:r>
                </w:p>
              </w:tc>
              <w:tc>
                <w:tcPr>
                  <w:tcW w:w="99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0.079</w:t>
                  </w:r>
                </w:p>
              </w:tc>
              <w:tc>
                <w:tcPr>
                  <w:tcW w:w="1095"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2000</w:t>
                  </w:r>
                </w:p>
              </w:tc>
              <w:tc>
                <w:tcPr>
                  <w:tcW w:w="123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9.88</w:t>
                  </w:r>
                </w:p>
              </w:tc>
              <w:tc>
                <w:tcPr>
                  <w:tcW w:w="1039"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10</w:t>
                  </w:r>
                </w:p>
              </w:tc>
              <w:tc>
                <w:tcPr>
                  <w:tcW w:w="752" w:type="dxa"/>
                  <w:vMerge w:val="continue"/>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71" w:hRule="atLeast"/>
                <w:jc w:val="center"/>
              </w:trPr>
              <w:tc>
                <w:tcPr>
                  <w:tcW w:w="764" w:type="dxa"/>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DA004</w:t>
                  </w:r>
                </w:p>
              </w:tc>
              <w:tc>
                <w:tcPr>
                  <w:tcW w:w="1012" w:type="dxa"/>
                  <w:tcBorders>
                    <w:top w:val="single" w:color="auto" w:sz="6" w:space="0"/>
                    <w:left w:val="single" w:color="auto" w:sz="6" w:space="0"/>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3.24×10</w:t>
                  </w:r>
                  <w:r>
                    <w:rPr>
                      <w:rFonts w:hint="default" w:ascii="Times New Roman" w:hAnsi="Times New Roman" w:eastAsia="宋体" w:cs="Times New Roman"/>
                      <w:color w:val="auto"/>
                      <w:sz w:val="21"/>
                      <w:szCs w:val="21"/>
                      <w:vertAlign w:val="superscript"/>
                    </w:rPr>
                    <w:t>8</w:t>
                  </w:r>
                </w:p>
              </w:tc>
              <w:tc>
                <w:tcPr>
                  <w:tcW w:w="84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78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NMHC</w:t>
                  </w:r>
                </w:p>
              </w:tc>
              <w:tc>
                <w:tcPr>
                  <w:tcW w:w="99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0.037</w:t>
                  </w:r>
                </w:p>
              </w:tc>
              <w:tc>
                <w:tcPr>
                  <w:tcW w:w="1095"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2000</w:t>
                  </w:r>
                </w:p>
              </w:tc>
              <w:tc>
                <w:tcPr>
                  <w:tcW w:w="123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5.96</w:t>
                  </w:r>
                </w:p>
              </w:tc>
              <w:tc>
                <w:tcPr>
                  <w:tcW w:w="1039"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10</w:t>
                  </w:r>
                </w:p>
              </w:tc>
              <w:tc>
                <w:tcPr>
                  <w:tcW w:w="752"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两次成型</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504" w:type="dxa"/>
                  <w:gridSpan w:val="9"/>
                  <w:tcBorders>
                    <w:top w:val="single" w:color="auto" w:sz="6" w:space="0"/>
                    <w:left w:val="nil"/>
                    <w:bottom w:val="single" w:color="auto" w:sz="4" w:space="0"/>
                    <w:right w:val="nil"/>
                    <w:tl2br w:val="nil"/>
                    <w:tr2bl w:val="nil"/>
                  </w:tcBorders>
                  <w:vAlign w:val="center"/>
                </w:tcPr>
                <w:p>
                  <w:pPr>
                    <w:topLinePunct/>
                    <w:spacing w:after="0" w:line="300" w:lineRule="exact"/>
                    <w:jc w:val="both"/>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注：NMHC系非甲烷总烃</w:t>
                  </w:r>
                </w:p>
              </w:tc>
            </w:tr>
          </w:tbl>
          <w:p>
            <w:pPr>
              <w:spacing w:after="0" w:line="440" w:lineRule="exact"/>
              <w:ind w:firstLine="480" w:firstLineChars="200"/>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kern w:val="2"/>
                <w:sz w:val="24"/>
                <w:szCs w:val="24"/>
                <w:lang w:bidi="ar"/>
              </w:rPr>
              <w:t>由表4.2-8可知</w:t>
            </w:r>
            <w:r>
              <w:rPr>
                <w:rFonts w:hint="default" w:ascii="Times New Roman" w:hAnsi="Times New Roman" w:eastAsia="宋体" w:cs="Times New Roman"/>
                <w:color w:val="auto"/>
                <w:sz w:val="24"/>
                <w:szCs w:val="24"/>
                <w:lang w:bidi="ar"/>
              </w:rPr>
              <w:t>，本项目外排废气经收集处理后达标排放。</w:t>
            </w:r>
          </w:p>
          <w:p>
            <w:pPr>
              <w:spacing w:after="0" w:line="440" w:lineRule="exact"/>
              <w:rPr>
                <w:rFonts w:hint="default" w:ascii="Times New Roman" w:hAnsi="Times New Roman" w:eastAsia="宋体" w:cs="Times New Roman"/>
                <w:color w:val="auto"/>
                <w:sz w:val="24"/>
                <w:szCs w:val="24"/>
                <w:lang w:bidi="ar"/>
              </w:rPr>
            </w:pPr>
          </w:p>
        </w:tc>
      </w:tr>
    </w:tbl>
    <w:p>
      <w:pPr>
        <w:rPr>
          <w:rFonts w:hint="default" w:ascii="Times New Roman" w:hAnsi="Times New Roman" w:cs="Times New Roman"/>
          <w:color w:val="auto"/>
        </w:rPr>
        <w:sectPr>
          <w:pgSz w:w="11906" w:h="16838"/>
          <w:pgMar w:top="1417" w:right="1417" w:bottom="1417" w:left="1417" w:header="1134" w:footer="1021" w:gutter="0"/>
          <w:cols w:space="708" w:num="1"/>
          <w:docGrid w:linePitch="360" w:charSpace="0"/>
        </w:sectPr>
      </w:pPr>
    </w:p>
    <w:p>
      <w:pPr>
        <w:spacing w:after="0" w:line="420" w:lineRule="exact"/>
        <w:jc w:val="center"/>
        <w:rPr>
          <w:rFonts w:hint="default" w:ascii="Times New Roman" w:hAnsi="Times New Roman" w:eastAsia="宋体" w:cs="Times New Roman"/>
          <w:b/>
          <w:sz w:val="24"/>
          <w:szCs w:val="24"/>
        </w:rPr>
      </w:pPr>
      <w:r>
        <w:rPr>
          <w:rFonts w:hint="default" w:ascii="Times New Roman" w:hAnsi="Times New Roman" w:eastAsia="宋体" w:cs="Times New Roman"/>
          <w:b/>
          <w:color w:val="auto"/>
          <w:sz w:val="24"/>
          <w:szCs w:val="24"/>
        </w:rPr>
        <w:t>表4.2-9 本项目废气污染源源强核算结果及相关参数</w:t>
      </w:r>
    </w:p>
    <w:tbl>
      <w:tblPr>
        <w:tblStyle w:val="31"/>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661"/>
        <w:gridCol w:w="776"/>
        <w:gridCol w:w="776"/>
        <w:gridCol w:w="776"/>
        <w:gridCol w:w="776"/>
        <w:gridCol w:w="778"/>
        <w:gridCol w:w="778"/>
        <w:gridCol w:w="1206"/>
        <w:gridCol w:w="536"/>
        <w:gridCol w:w="619"/>
        <w:gridCol w:w="778"/>
        <w:gridCol w:w="778"/>
        <w:gridCol w:w="712"/>
        <w:gridCol w:w="1062"/>
        <w:gridCol w:w="657"/>
        <w:gridCol w:w="711"/>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12"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排气筒</w:t>
            </w:r>
          </w:p>
        </w:tc>
        <w:tc>
          <w:tcPr>
            <w:tcW w:w="661"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排放</w:t>
            </w:r>
          </w:p>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工况</w:t>
            </w:r>
          </w:p>
        </w:tc>
        <w:tc>
          <w:tcPr>
            <w:tcW w:w="776"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排放时间h/a</w:t>
            </w:r>
          </w:p>
        </w:tc>
        <w:tc>
          <w:tcPr>
            <w:tcW w:w="1552" w:type="dxa"/>
            <w:gridSpan w:val="2"/>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排气量</w:t>
            </w:r>
          </w:p>
        </w:tc>
        <w:tc>
          <w:tcPr>
            <w:tcW w:w="776"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污染物</w:t>
            </w:r>
          </w:p>
        </w:tc>
        <w:tc>
          <w:tcPr>
            <w:tcW w:w="2761" w:type="dxa"/>
            <w:gridSpan w:val="3"/>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产生情况</w:t>
            </w:r>
          </w:p>
        </w:tc>
        <w:tc>
          <w:tcPr>
            <w:tcW w:w="536"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收集率%</w:t>
            </w:r>
          </w:p>
        </w:tc>
        <w:tc>
          <w:tcPr>
            <w:tcW w:w="619"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去除率%</w:t>
            </w:r>
          </w:p>
        </w:tc>
        <w:tc>
          <w:tcPr>
            <w:tcW w:w="2268" w:type="dxa"/>
            <w:gridSpan w:val="3"/>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治理后产生情况</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执行标准</w:t>
            </w:r>
          </w:p>
        </w:tc>
        <w:tc>
          <w:tcPr>
            <w:tcW w:w="2146" w:type="dxa"/>
            <w:gridSpan w:val="3"/>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排气筒参数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2"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p>
        </w:tc>
        <w:tc>
          <w:tcPr>
            <w:tcW w:w="661"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p>
        </w:tc>
        <w:tc>
          <w:tcPr>
            <w:tcW w:w="776"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r>
              <w:rPr>
                <w:rFonts w:hint="default" w:ascii="Times New Roman" w:hAnsi="Times New Roman" w:cs="Times New Roman" w:eastAsiaTheme="minorEastAsia"/>
                <w:sz w:val="21"/>
                <w:szCs w:val="21"/>
              </w:rPr>
              <w:t>Nm³/h</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sz w:val="21"/>
                <w:szCs w:val="21"/>
              </w:rPr>
              <w:t>万Nm³/a</w:t>
            </w:r>
          </w:p>
        </w:tc>
        <w:tc>
          <w:tcPr>
            <w:tcW w:w="776"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产生量t/a</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速度kg/h</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浓度mg/m³</w:t>
            </w:r>
          </w:p>
        </w:tc>
        <w:tc>
          <w:tcPr>
            <w:tcW w:w="536"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p>
        </w:tc>
        <w:tc>
          <w:tcPr>
            <w:tcW w:w="619"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浓度mg/m³</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速度kg/h</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排放量t/a</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浓度mg/m³</w:t>
            </w:r>
          </w:p>
        </w:tc>
        <w:tc>
          <w:tcPr>
            <w:tcW w:w="657"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高度m</w:t>
            </w:r>
          </w:p>
        </w:tc>
        <w:tc>
          <w:tcPr>
            <w:tcW w:w="71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内径m</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烟温℃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jc w:val="center"/>
        </w:trPr>
        <w:tc>
          <w:tcPr>
            <w:tcW w:w="14068" w:type="dxa"/>
            <w:gridSpan w:val="18"/>
            <w:tcMar>
              <w:top w:w="0" w:type="dxa"/>
              <w:left w:w="0" w:type="dxa"/>
              <w:bottom w:w="0" w:type="dxa"/>
              <w:right w:w="0" w:type="dxa"/>
            </w:tcMar>
            <w:vAlign w:val="center"/>
          </w:tcPr>
          <w:p>
            <w:pPr>
              <w:spacing w:after="0" w:line="240" w:lineRule="exact"/>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一、有组织排放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排气筒</w:t>
            </w:r>
          </w:p>
        </w:tc>
        <w:tc>
          <w:tcPr>
            <w:tcW w:w="6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注塑</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3600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9000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非甲烷总烃</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0.264</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0.073</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2.93</w:t>
            </w:r>
          </w:p>
        </w:tc>
        <w:tc>
          <w:tcPr>
            <w:tcW w:w="53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619"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0.470</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0.012</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0.042</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w:t>
            </w:r>
          </w:p>
        </w:tc>
        <w:tc>
          <w:tcPr>
            <w:tcW w:w="657"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w:t>
            </w:r>
          </w:p>
        </w:tc>
        <w:tc>
          <w:tcPr>
            <w:tcW w:w="71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0.86</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2"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2#排气筒</w:t>
            </w:r>
          </w:p>
        </w:tc>
        <w:tc>
          <w:tcPr>
            <w:tcW w:w="6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解包</w:t>
            </w:r>
          </w:p>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配料</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48</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0.208</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0.69</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433.02</w:t>
            </w:r>
          </w:p>
        </w:tc>
        <w:tc>
          <w:tcPr>
            <w:tcW w:w="536"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80</w:t>
            </w:r>
          </w:p>
        </w:tc>
        <w:tc>
          <w:tcPr>
            <w:tcW w:w="619"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96</w:t>
            </w:r>
          </w:p>
        </w:tc>
        <w:tc>
          <w:tcPr>
            <w:tcW w:w="778"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0.022</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0.007</w:t>
            </w:r>
          </w:p>
        </w:tc>
        <w:tc>
          <w:tcPr>
            <w:tcW w:w="1061"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12</w:t>
            </w:r>
          </w:p>
        </w:tc>
        <w:tc>
          <w:tcPr>
            <w:tcW w:w="657"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25</w:t>
            </w:r>
          </w:p>
        </w:tc>
        <w:tc>
          <w:tcPr>
            <w:tcW w:w="711"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0.3</w:t>
            </w:r>
          </w:p>
        </w:tc>
        <w:tc>
          <w:tcPr>
            <w:tcW w:w="778"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12"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p>
        </w:tc>
        <w:tc>
          <w:tcPr>
            <w:tcW w:w="661" w:type="dxa"/>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r>
              <w:rPr>
                <w:rFonts w:hint="default" w:ascii="Times New Roman" w:hAnsi="Times New Roman" w:cs="Times New Roman" w:eastAsiaTheme="minorEastAsia"/>
                <w:sz w:val="21"/>
                <w:szCs w:val="21"/>
              </w:rPr>
              <w:t>投料</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0.416</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2.776</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1732.086</w:t>
            </w:r>
          </w:p>
        </w:tc>
        <w:tc>
          <w:tcPr>
            <w:tcW w:w="536"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619"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8"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0.111</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0.013</w:t>
            </w:r>
          </w:p>
        </w:tc>
        <w:tc>
          <w:tcPr>
            <w:tcW w:w="1061"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657"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11"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8"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73" w:type="dxa"/>
            <w:gridSpan w:val="2"/>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sz w:val="21"/>
                <w:szCs w:val="21"/>
              </w:rPr>
            </w:pPr>
            <w:r>
              <w:rPr>
                <w:rFonts w:hint="default" w:ascii="Times New Roman" w:hAnsi="Times New Roman" w:cs="Times New Roman" w:eastAsiaTheme="minorEastAsia"/>
                <w:sz w:val="21"/>
                <w:szCs w:val="21"/>
              </w:rPr>
              <w:t>2#排气筒小计</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3200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72</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0.624</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53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619"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20.79</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eastAsia="微软雅黑" w:cs="Times New Roman"/>
                <w:sz w:val="21"/>
                <w:szCs w:val="21"/>
                <w:lang w:val="en-US" w:eastAsia="zh-CN"/>
              </w:rPr>
            </w:pPr>
            <w:r>
              <w:rPr>
                <w:rFonts w:hint="default" w:ascii="Times New Roman" w:hAnsi="Times New Roman" w:cs="Times New Roman"/>
                <w:bCs/>
                <w:color w:val="000000"/>
                <w:sz w:val="21"/>
                <w:szCs w:val="21"/>
              </w:rPr>
              <w:t>0.067</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eastAsia="微软雅黑" w:cs="Times New Roman"/>
                <w:sz w:val="21"/>
                <w:szCs w:val="21"/>
                <w:lang w:val="en-US" w:eastAsia="zh-CN"/>
              </w:rPr>
            </w:pPr>
            <w:r>
              <w:rPr>
                <w:rFonts w:hint="default" w:ascii="Times New Roman" w:hAnsi="Times New Roman" w:cs="Times New Roman"/>
                <w:bCs/>
                <w:color w:val="000000"/>
                <w:sz w:val="21"/>
                <w:szCs w:val="21"/>
              </w:rPr>
              <w:t>0.020</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657"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71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12"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3#排气筒</w:t>
            </w:r>
          </w:p>
        </w:tc>
        <w:tc>
          <w:tcPr>
            <w:tcW w:w="661"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密炼</w:t>
            </w:r>
          </w:p>
        </w:tc>
        <w:tc>
          <w:tcPr>
            <w:tcW w:w="776"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325</w:t>
            </w:r>
          </w:p>
        </w:tc>
        <w:tc>
          <w:tcPr>
            <w:tcW w:w="776"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6000</w:t>
            </w:r>
          </w:p>
        </w:tc>
        <w:tc>
          <w:tcPr>
            <w:tcW w:w="776"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195</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0.289</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0.89</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148</w:t>
            </w:r>
          </w:p>
        </w:tc>
        <w:tc>
          <w:tcPr>
            <w:tcW w:w="53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619"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9</w:t>
            </w:r>
            <w:r>
              <w:rPr>
                <w:rFonts w:hint="default" w:ascii="Times New Roman" w:hAnsi="Times New Roman" w:cs="Times New Roman" w:eastAsiaTheme="minorEastAsia"/>
                <w:sz w:val="21"/>
                <w:szCs w:val="21"/>
                <w:lang w:val="en-US" w:eastAsia="zh-CN"/>
              </w:rPr>
              <w:t>6</w:t>
            </w:r>
          </w:p>
        </w:tc>
        <w:tc>
          <w:tcPr>
            <w:tcW w:w="778"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0.007</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0.002</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657"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w:t>
            </w:r>
          </w:p>
        </w:tc>
        <w:tc>
          <w:tcPr>
            <w:tcW w:w="711"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0.92</w:t>
            </w:r>
          </w:p>
        </w:tc>
        <w:tc>
          <w:tcPr>
            <w:tcW w:w="778"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912"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661"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6"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6"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6"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非甲烷总烃</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0.182</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0.56</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93.33</w:t>
            </w:r>
          </w:p>
        </w:tc>
        <w:tc>
          <w:tcPr>
            <w:tcW w:w="536"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619"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w:t>
            </w:r>
          </w:p>
        </w:tc>
        <w:tc>
          <w:tcPr>
            <w:tcW w:w="778"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0.090</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0.030</w:t>
            </w:r>
          </w:p>
        </w:tc>
        <w:tc>
          <w:tcPr>
            <w:tcW w:w="1061"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657"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11"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8"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912"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6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开炼</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2275</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22500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5118.75</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非甲烷总烃</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0.14</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0.06</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2.72</w:t>
            </w:r>
          </w:p>
        </w:tc>
        <w:tc>
          <w:tcPr>
            <w:tcW w:w="536"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619"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8"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0.010</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0.022</w:t>
            </w:r>
          </w:p>
        </w:tc>
        <w:tc>
          <w:tcPr>
            <w:tcW w:w="1061"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657"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11"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c>
          <w:tcPr>
            <w:tcW w:w="778"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73" w:type="dxa"/>
            <w:gridSpan w:val="2"/>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3#排气筒小计</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6" w:type="dxa"/>
            <w:vMerge w:val="restart"/>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28500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颗粒物</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0.289</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53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619"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4.74</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0.028</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0.009</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657"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1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73" w:type="dxa"/>
            <w:gridSpan w:val="2"/>
            <w:vMerge w:val="continue"/>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6" w:type="dxa"/>
            <w:vMerge w:val="continue"/>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color w:val="auto"/>
                <w:sz w:val="21"/>
                <w:szCs w:val="21"/>
              </w:rPr>
            </w:pP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0.32</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53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619"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0.79</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bCs/>
                <w:color w:val="auto"/>
                <w:sz w:val="21"/>
                <w:szCs w:val="21"/>
              </w:rPr>
              <w:t>0.023</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0.051</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657"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1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4#排气筒</w:t>
            </w:r>
          </w:p>
        </w:tc>
        <w:tc>
          <w:tcPr>
            <w:tcW w:w="6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成型</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7200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45000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32400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0.075</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0.01</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0.23</w:t>
            </w:r>
          </w:p>
        </w:tc>
        <w:tc>
          <w:tcPr>
            <w:tcW w:w="53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tc>
        <w:tc>
          <w:tcPr>
            <w:tcW w:w="619"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0.037</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0.002</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0.0120</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657"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w:t>
            </w:r>
          </w:p>
        </w:tc>
        <w:tc>
          <w:tcPr>
            <w:tcW w:w="71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w:t>
            </w:r>
            <w:r>
              <w:rPr>
                <w:rFonts w:hint="default" w:ascii="Times New Roman" w:hAnsi="Times New Roman" w:cs="Times New Roman" w:eastAsiaTheme="minorEastAsia"/>
                <w:color w:val="auto"/>
                <w:sz w:val="21"/>
                <w:szCs w:val="21"/>
                <w:lang w:val="en-US" w:eastAsia="zh-CN"/>
              </w:rPr>
              <w:t>.1</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#排气筒</w:t>
            </w:r>
          </w:p>
        </w:tc>
        <w:tc>
          <w:tcPr>
            <w:tcW w:w="6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裁切</w:t>
            </w:r>
          </w:p>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梳理</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3600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13000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4680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颗粒物</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0.53</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0.147</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11.32</w:t>
            </w:r>
          </w:p>
        </w:tc>
        <w:tc>
          <w:tcPr>
            <w:tcW w:w="53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619"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96</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0.36</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0.005</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0.017</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657"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w:t>
            </w:r>
          </w:p>
        </w:tc>
        <w:tc>
          <w:tcPr>
            <w:tcW w:w="71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4068" w:type="dxa"/>
            <w:gridSpan w:val="18"/>
            <w:tcMar>
              <w:top w:w="0" w:type="dxa"/>
              <w:left w:w="0" w:type="dxa"/>
              <w:bottom w:w="0" w:type="dxa"/>
              <w:right w:w="0" w:type="dxa"/>
            </w:tcMar>
            <w:vAlign w:val="center"/>
          </w:tcPr>
          <w:p>
            <w:pPr>
              <w:spacing w:after="0" w:line="240" w:lineRule="exact"/>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二、无组织排放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6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颗粒物</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289</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53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619"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08</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657"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1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6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7200</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0.132</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1205"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536"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619"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0.018</w:t>
            </w:r>
          </w:p>
        </w:tc>
        <w:tc>
          <w:tcPr>
            <w:tcW w:w="712"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106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657"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11"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c>
          <w:tcPr>
            <w:tcW w:w="778" w:type="dxa"/>
            <w:tcMar>
              <w:top w:w="0" w:type="dxa"/>
              <w:left w:w="0" w:type="dxa"/>
              <w:bottom w:w="0" w:type="dxa"/>
              <w:right w:w="0" w:type="dxa"/>
            </w:tcMar>
            <w:vAlign w:val="center"/>
          </w:tcPr>
          <w:p>
            <w:pPr>
              <w:spacing w:after="0" w:line="24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color w:val="auto"/>
                <w:sz w:val="21"/>
                <w:szCs w:val="21"/>
              </w:rPr>
              <w:t>/</w:t>
            </w:r>
          </w:p>
        </w:tc>
      </w:tr>
    </w:tbl>
    <w:p>
      <w:pPr>
        <w:rPr>
          <w:rFonts w:hint="default" w:ascii="Times New Roman" w:hAnsi="Times New Roman" w:cs="Times New Roman"/>
          <w:color w:val="auto"/>
        </w:rPr>
        <w:sectPr>
          <w:pgSz w:w="16838" w:h="11906" w:orient="landscape"/>
          <w:pgMar w:top="1417" w:right="1417" w:bottom="1417" w:left="1417" w:header="1134" w:footer="1021" w:gutter="0"/>
          <w:cols w:space="708" w:num="1"/>
          <w:docGrid w:linePitch="360" w:charSpace="0"/>
        </w:sectPr>
      </w:pPr>
    </w:p>
    <w:tbl>
      <w:tblPr>
        <w:tblStyle w:val="31"/>
        <w:tblW w:w="504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92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061" w:hRule="atLeast"/>
          <w:jc w:val="center"/>
        </w:trPr>
        <w:tc>
          <w:tcPr>
            <w:tcW w:w="9260" w:type="dxa"/>
          </w:tcPr>
          <w:p>
            <w:pPr>
              <w:pStyle w:val="4"/>
              <w:keepLines w:val="0"/>
              <w:widowControl/>
              <w:suppressLineNumbers w:val="0"/>
              <w:spacing w:before="0" w:beforeAutospacing="0" w:after="0" w:afterAutospacing="0" w:line="440" w:lineRule="exact"/>
              <w:ind w:left="0" w:leftChars="0" w:right="0"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4.2.1.4废气排放口基本情况</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新能源汽车配件产品行业类别涉及C3670汽车零部件及配件制造，根据《固定污染源排污许可分类管理名录（2019年版）》，本项目实行登记管理。参照HJ971-2018《排污许可证申请与核发技术规范  汽车制造业》、HJ1122-2020《排污许可证申请与核发技术规范  橡胶和塑料制品工业》，废气排放口类型均为一般排放口，废气排放口基本情况见表4.2-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p>
          <w:p>
            <w:pPr>
              <w:keepNext w:val="0"/>
              <w:keepLines w:val="0"/>
              <w:widowControl/>
              <w:suppressLineNumbers w:val="0"/>
              <w:spacing w:before="0" w:beforeAutospacing="0" w:after="0" w:afterAutospacing="0" w:line="440" w:lineRule="exact"/>
              <w:ind w:left="0" w:right="0"/>
              <w:jc w:val="center"/>
              <w:rPr>
                <w:rFonts w:hint="default" w:ascii="Times New Roman" w:hAnsi="Times New Roman" w:eastAsia="Times New Roman" w:cs="Times New Roman"/>
                <w:b/>
                <w:color w:val="auto"/>
                <w:kern w:val="2"/>
                <w:sz w:val="24"/>
                <w:szCs w:val="24"/>
              </w:rPr>
            </w:pPr>
            <w:r>
              <w:rPr>
                <w:rFonts w:hint="default" w:ascii="Times New Roman" w:hAnsi="Times New Roman" w:eastAsia="宋体" w:cs="Times New Roman"/>
                <w:b/>
                <w:color w:val="auto"/>
                <w:kern w:val="2"/>
                <w:sz w:val="24"/>
                <w:szCs w:val="24"/>
              </w:rPr>
              <w:t>表4.2-</w:t>
            </w:r>
            <w:r>
              <w:rPr>
                <w:rFonts w:hint="default" w:ascii="Times New Roman" w:hAnsi="Times New Roman" w:eastAsia="宋体" w:cs="Times New Roman"/>
                <w:b/>
                <w:color w:val="auto"/>
                <w:kern w:val="2"/>
                <w:sz w:val="24"/>
                <w:szCs w:val="24"/>
                <w:lang w:val="en-US" w:eastAsia="zh-CN"/>
              </w:rPr>
              <w:t>10</w:t>
            </w:r>
            <w:r>
              <w:rPr>
                <w:rFonts w:hint="default" w:ascii="Times New Roman" w:hAnsi="Times New Roman" w:eastAsia="Times New Roman" w:cs="Times New Roman"/>
                <w:b/>
                <w:color w:val="auto"/>
                <w:kern w:val="2"/>
                <w:sz w:val="24"/>
                <w:szCs w:val="24"/>
              </w:rPr>
              <w:t xml:space="preserve">  </w:t>
            </w:r>
            <w:r>
              <w:rPr>
                <w:rFonts w:hint="default" w:ascii="Times New Roman" w:hAnsi="Times New Roman" w:eastAsia="宋体" w:cs="Times New Roman"/>
                <w:b/>
                <w:color w:val="auto"/>
                <w:kern w:val="2"/>
                <w:sz w:val="24"/>
                <w:szCs w:val="24"/>
              </w:rPr>
              <w:t>排放口基本情况</w:t>
            </w:r>
          </w:p>
          <w:tbl>
            <w:tblPr>
              <w:tblStyle w:val="30"/>
              <w:tblW w:w="8504"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275"/>
              <w:gridCol w:w="1339"/>
              <w:gridCol w:w="727"/>
              <w:gridCol w:w="1211"/>
              <w:gridCol w:w="794"/>
              <w:gridCol w:w="315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vMerge w:val="restart"/>
                  <w:tcBorders>
                    <w:top w:val="single" w:color="auto" w:sz="4" w:space="0"/>
                    <w:left w:val="nil"/>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污染源</w:t>
                  </w:r>
                </w:p>
              </w:tc>
              <w:tc>
                <w:tcPr>
                  <w:tcW w:w="1339" w:type="dxa"/>
                  <w:vMerge w:val="restart"/>
                  <w:tcBorders>
                    <w:top w:val="single" w:color="auto" w:sz="4"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污染物</w:t>
                  </w:r>
                </w:p>
              </w:tc>
              <w:tc>
                <w:tcPr>
                  <w:tcW w:w="2732" w:type="dxa"/>
                  <w:gridSpan w:val="3"/>
                  <w:tcBorders>
                    <w:top w:val="single" w:color="auto" w:sz="4"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排放口基本情况</w:t>
                  </w:r>
                </w:p>
              </w:tc>
              <w:tc>
                <w:tcPr>
                  <w:tcW w:w="3158" w:type="dxa"/>
                  <w:vMerge w:val="restart"/>
                  <w:tcBorders>
                    <w:top w:val="single" w:color="auto" w:sz="4" w:space="0"/>
                    <w:left w:val="single" w:color="auto" w:sz="6" w:space="0"/>
                    <w:bottom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排放标准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vMerge w:val="continue"/>
                  <w:tcBorders>
                    <w:top w:val="single" w:color="auto" w:sz="6" w:space="0"/>
                    <w:left w:val="nil"/>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133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727"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编号</w:t>
                  </w:r>
                </w:p>
              </w:tc>
              <w:tc>
                <w:tcPr>
                  <w:tcW w:w="121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名称</w:t>
                  </w:r>
                </w:p>
              </w:tc>
              <w:tc>
                <w:tcPr>
                  <w:tcW w:w="79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类型</w:t>
                  </w:r>
                </w:p>
              </w:tc>
              <w:tc>
                <w:tcPr>
                  <w:tcW w:w="3158" w:type="dxa"/>
                  <w:vMerge w:val="continue"/>
                  <w:tcBorders>
                    <w:top w:val="single" w:color="auto" w:sz="6" w:space="0"/>
                    <w:left w:val="single" w:color="auto" w:sz="6" w:space="0"/>
                    <w:bottom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vMerge w:val="restart"/>
                  <w:tcBorders>
                    <w:top w:val="single" w:color="auto" w:sz="6" w:space="0"/>
                    <w:left w:val="nil"/>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G2-1</w:t>
                  </w:r>
                </w:p>
              </w:tc>
              <w:tc>
                <w:tcPr>
                  <w:tcW w:w="1339"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p>
              </w:tc>
              <w:tc>
                <w:tcPr>
                  <w:tcW w:w="727" w:type="dxa"/>
                  <w:vMerge w:val="restart"/>
                  <w:tcBorders>
                    <w:top w:val="single" w:color="auto" w:sz="6" w:space="0"/>
                    <w:left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1211" w:type="dxa"/>
                  <w:vMerge w:val="restart"/>
                  <w:tcBorders>
                    <w:top w:val="single" w:color="auto" w:sz="6" w:space="0"/>
                    <w:left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注塑废气排放口</w:t>
                  </w:r>
                </w:p>
              </w:tc>
              <w:tc>
                <w:tcPr>
                  <w:tcW w:w="794" w:type="dxa"/>
                  <w:vMerge w:val="restart"/>
                  <w:tcBorders>
                    <w:top w:val="single" w:color="auto" w:sz="6" w:space="0"/>
                    <w:left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w:t>
                  </w:r>
                </w:p>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放口</w:t>
                  </w:r>
                </w:p>
              </w:tc>
              <w:tc>
                <w:tcPr>
                  <w:tcW w:w="3158" w:type="dxa"/>
                  <w:tcBorders>
                    <w:top w:val="single" w:color="auto" w:sz="6" w:space="0"/>
                    <w:left w:val="single" w:color="auto" w:sz="6" w:space="0"/>
                    <w:bottom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31572-2015《合成树脂工业污染物排放标准》表5中排放限值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vMerge w:val="continue"/>
                  <w:tcBorders>
                    <w:left w:val="nil"/>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val="en-US" w:eastAsia="zh-CN"/>
                    </w:rPr>
                  </w:pPr>
                </w:p>
              </w:tc>
              <w:tc>
                <w:tcPr>
                  <w:tcW w:w="1339"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氨、臭气浓度</w:t>
                  </w:r>
                </w:p>
              </w:tc>
              <w:tc>
                <w:tcPr>
                  <w:tcW w:w="727" w:type="dxa"/>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p>
              </w:tc>
              <w:tc>
                <w:tcPr>
                  <w:tcW w:w="1211" w:type="dxa"/>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p>
              </w:tc>
              <w:tc>
                <w:tcPr>
                  <w:tcW w:w="794" w:type="dxa"/>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p>
              </w:tc>
              <w:tc>
                <w:tcPr>
                  <w:tcW w:w="3158" w:type="dxa"/>
                  <w:tcBorders>
                    <w:top w:val="single" w:color="auto" w:sz="6" w:space="0"/>
                    <w:left w:val="single" w:color="auto" w:sz="6" w:space="0"/>
                    <w:bottom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GB14554-93《恶臭污染物排放标准》表2中排放限值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tcBorders>
                    <w:top w:val="single" w:color="auto" w:sz="6" w:space="0"/>
                    <w:left w:val="nil"/>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3-1、G3-2</w:t>
                  </w:r>
                </w:p>
              </w:tc>
              <w:tc>
                <w:tcPr>
                  <w:tcW w:w="1339"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727"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w:t>
                  </w:r>
                </w:p>
              </w:tc>
              <w:tc>
                <w:tcPr>
                  <w:tcW w:w="121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配料投料废气排放口</w:t>
                  </w:r>
                </w:p>
              </w:tc>
              <w:tc>
                <w:tcPr>
                  <w:tcW w:w="79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w:t>
                  </w:r>
                </w:p>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放口</w:t>
                  </w:r>
                </w:p>
              </w:tc>
              <w:tc>
                <w:tcPr>
                  <w:tcW w:w="3158" w:type="dxa"/>
                  <w:vMerge w:val="restart"/>
                  <w:tcBorders>
                    <w:top w:val="single" w:color="auto" w:sz="6" w:space="0"/>
                    <w:left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GB27632-2011《橡胶制品工业污染物排放标准》表5中排放限值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vMerge w:val="restart"/>
                  <w:tcBorders>
                    <w:top w:val="single" w:color="auto" w:sz="6" w:space="0"/>
                    <w:left w:val="nil"/>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G3-</w:t>
                  </w:r>
                  <w:r>
                    <w:rPr>
                      <w:rFonts w:hint="default" w:ascii="Times New Roman" w:hAnsi="Times New Roman" w:eastAsia="宋体" w:cs="Times New Roman"/>
                      <w:color w:val="auto"/>
                      <w:sz w:val="21"/>
                      <w:szCs w:val="21"/>
                      <w:lang w:val="en-US" w:eastAsia="zh-CN"/>
                    </w:rPr>
                    <w:t>3</w:t>
                  </w:r>
                </w:p>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、G3-4</w:t>
                  </w:r>
                </w:p>
              </w:tc>
              <w:tc>
                <w:tcPr>
                  <w:tcW w:w="1339"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颗粒物</w:t>
                  </w:r>
                </w:p>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非甲烷总烃</w:t>
                  </w:r>
                </w:p>
              </w:tc>
              <w:tc>
                <w:tcPr>
                  <w:tcW w:w="727"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DA003</w:t>
                  </w:r>
                </w:p>
              </w:tc>
              <w:tc>
                <w:tcPr>
                  <w:tcW w:w="1211"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炼胶废气排放口</w:t>
                  </w:r>
                </w:p>
              </w:tc>
              <w:tc>
                <w:tcPr>
                  <w:tcW w:w="794" w:type="dxa"/>
                  <w:vMerge w:val="restart"/>
                  <w:tcBorders>
                    <w:top w:val="single" w:color="auto" w:sz="6" w:space="0"/>
                    <w:left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w:t>
                  </w:r>
                </w:p>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放口</w:t>
                  </w:r>
                </w:p>
              </w:tc>
              <w:tc>
                <w:tcPr>
                  <w:tcW w:w="3158" w:type="dxa"/>
                  <w:vMerge w:val="continue"/>
                  <w:tcBorders>
                    <w:left w:val="single" w:color="auto" w:sz="6" w:space="0"/>
                    <w:bottom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vMerge w:val="continue"/>
                  <w:tcBorders>
                    <w:top w:val="single" w:color="auto" w:sz="6" w:space="0"/>
                    <w:left w:val="nil"/>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1339"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二硫化碳</w:t>
                  </w:r>
                  <w:r>
                    <w:rPr>
                      <w:rFonts w:hint="default" w:ascii="Times New Roman" w:hAnsi="Times New Roman" w:eastAsia="宋体" w:cs="Times New Roman"/>
                      <w:color w:val="auto"/>
                      <w:sz w:val="21"/>
                      <w:szCs w:val="21"/>
                      <w:lang w:eastAsia="zh-CN"/>
                    </w:rPr>
                    <w:t>、硫化氢、臭气浓度</w:t>
                  </w:r>
                </w:p>
              </w:tc>
              <w:tc>
                <w:tcPr>
                  <w:tcW w:w="727"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1211"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794" w:type="dxa"/>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3158" w:type="dxa"/>
                  <w:tcBorders>
                    <w:top w:val="single" w:color="auto" w:sz="6" w:space="0"/>
                    <w:left w:val="single" w:color="auto" w:sz="6" w:space="0"/>
                    <w:bottom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GB14554-93《恶臭污染物排放标准》表2中排放限值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vMerge w:val="restart"/>
                  <w:tcBorders>
                    <w:top w:val="single" w:color="auto" w:sz="6" w:space="0"/>
                    <w:left w:val="nil"/>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G3-</w:t>
                  </w:r>
                  <w:r>
                    <w:rPr>
                      <w:rFonts w:hint="default" w:ascii="Times New Roman" w:hAnsi="Times New Roman" w:eastAsia="宋体" w:cs="Times New Roman"/>
                      <w:color w:val="auto"/>
                      <w:sz w:val="21"/>
                      <w:szCs w:val="21"/>
                      <w:lang w:val="en-US" w:eastAsia="zh-CN"/>
                    </w:rPr>
                    <w:t>5、G3-6</w:t>
                  </w:r>
                </w:p>
              </w:tc>
              <w:tc>
                <w:tcPr>
                  <w:tcW w:w="1339"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非甲烷总烃</w:t>
                  </w:r>
                </w:p>
              </w:tc>
              <w:tc>
                <w:tcPr>
                  <w:tcW w:w="727"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DA004</w:t>
                  </w:r>
                </w:p>
              </w:tc>
              <w:tc>
                <w:tcPr>
                  <w:tcW w:w="1211"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硫化成型</w:t>
                  </w:r>
                </w:p>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废气排放口</w:t>
                  </w:r>
                </w:p>
              </w:tc>
              <w:tc>
                <w:tcPr>
                  <w:tcW w:w="794" w:type="dxa"/>
                  <w:vMerge w:val="restart"/>
                  <w:tcBorders>
                    <w:top w:val="single" w:color="auto" w:sz="6" w:space="0"/>
                    <w:left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w:t>
                  </w:r>
                </w:p>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放口</w:t>
                  </w:r>
                </w:p>
              </w:tc>
              <w:tc>
                <w:tcPr>
                  <w:tcW w:w="3158" w:type="dxa"/>
                  <w:tcBorders>
                    <w:top w:val="single" w:color="auto" w:sz="6" w:space="0"/>
                    <w:left w:val="single" w:color="auto" w:sz="6" w:space="0"/>
                    <w:bottom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GB27632-2011《橡胶制品工业污染物排放标准》表5中排放限值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vMerge w:val="continue"/>
                  <w:tcBorders>
                    <w:top w:val="single" w:color="auto" w:sz="6" w:space="0"/>
                    <w:left w:val="nil"/>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1339"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二硫化碳</w:t>
                  </w:r>
                  <w:r>
                    <w:rPr>
                      <w:rFonts w:hint="default" w:ascii="Times New Roman" w:hAnsi="Times New Roman" w:eastAsia="宋体" w:cs="Times New Roman"/>
                      <w:color w:val="auto"/>
                      <w:sz w:val="21"/>
                      <w:szCs w:val="21"/>
                      <w:lang w:eastAsia="zh-CN"/>
                    </w:rPr>
                    <w:t>硫化氢、臭气浓度</w:t>
                  </w:r>
                </w:p>
              </w:tc>
              <w:tc>
                <w:tcPr>
                  <w:tcW w:w="727"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1211"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794" w:type="dxa"/>
                  <w:vMerge w:val="continue"/>
                  <w:tcBorders>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p>
              </w:tc>
              <w:tc>
                <w:tcPr>
                  <w:tcW w:w="3158" w:type="dxa"/>
                  <w:tcBorders>
                    <w:top w:val="single" w:color="auto" w:sz="6" w:space="0"/>
                    <w:left w:val="single" w:color="auto" w:sz="6" w:space="0"/>
                    <w:bottom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GB14554-93《恶臭污染物排放标准》表2中排放限值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75" w:type="dxa"/>
                  <w:tcBorders>
                    <w:top w:val="single" w:color="auto" w:sz="6" w:space="0"/>
                    <w:left w:val="nil"/>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2"/>
                      <w:sz w:val="21"/>
                      <w:szCs w:val="21"/>
                      <w:lang w:bidi="ar"/>
                    </w:rPr>
                    <w:t>G1-1</w:t>
                  </w:r>
                  <w:r>
                    <w:rPr>
                      <w:rFonts w:hint="default"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bidi="ar"/>
                    </w:rPr>
                    <w:t>G1-2</w:t>
                  </w:r>
                  <w:r>
                    <w:rPr>
                      <w:rFonts w:hint="default"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bidi="ar"/>
                    </w:rPr>
                    <w:t>G1-</w:t>
                  </w:r>
                  <w:r>
                    <w:rPr>
                      <w:rFonts w:hint="default" w:ascii="Times New Roman" w:hAnsi="Times New Roman" w:eastAsia="宋体" w:cs="Times New Roman"/>
                      <w:kern w:val="2"/>
                      <w:sz w:val="21"/>
                      <w:szCs w:val="21"/>
                      <w:lang w:val="en-US" w:eastAsia="zh-CN" w:bidi="ar"/>
                    </w:rPr>
                    <w:t>3、</w:t>
                  </w:r>
                  <w:r>
                    <w:rPr>
                      <w:rFonts w:hint="default" w:ascii="Times New Roman" w:hAnsi="Times New Roman" w:eastAsia="宋体" w:cs="Times New Roman"/>
                      <w:kern w:val="2"/>
                      <w:sz w:val="21"/>
                      <w:szCs w:val="21"/>
                      <w:lang w:bidi="ar"/>
                    </w:rPr>
                    <w:t>G1-</w:t>
                  </w:r>
                  <w:r>
                    <w:rPr>
                      <w:rFonts w:hint="default" w:ascii="Times New Roman" w:hAnsi="Times New Roman" w:eastAsia="宋体" w:cs="Times New Roman"/>
                      <w:kern w:val="2"/>
                      <w:sz w:val="21"/>
                      <w:szCs w:val="21"/>
                      <w:lang w:val="en-US" w:eastAsia="zh-CN" w:bidi="ar"/>
                    </w:rPr>
                    <w:t>4、</w:t>
                  </w:r>
                  <w:r>
                    <w:rPr>
                      <w:rFonts w:hint="default" w:ascii="Times New Roman" w:hAnsi="Times New Roman" w:eastAsia="宋体" w:cs="Times New Roman"/>
                      <w:kern w:val="2"/>
                      <w:sz w:val="21"/>
                      <w:szCs w:val="21"/>
                      <w:lang w:bidi="ar"/>
                    </w:rPr>
                    <w:t>G1-</w:t>
                  </w:r>
                  <w:r>
                    <w:rPr>
                      <w:rFonts w:hint="default" w:ascii="Times New Roman" w:hAnsi="Times New Roman" w:eastAsia="宋体" w:cs="Times New Roman"/>
                      <w:kern w:val="2"/>
                      <w:sz w:val="21"/>
                      <w:szCs w:val="21"/>
                      <w:lang w:val="en-US" w:eastAsia="zh-CN" w:bidi="ar"/>
                    </w:rPr>
                    <w:t>5</w:t>
                  </w:r>
                </w:p>
              </w:tc>
              <w:tc>
                <w:tcPr>
                  <w:tcW w:w="1339"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颗粒物</w:t>
                  </w:r>
                </w:p>
                <w:p>
                  <w:pPr>
                    <w:keepNext w:val="0"/>
                    <w:keepLines w:val="0"/>
                    <w:widowControl/>
                    <w:suppressLineNumbers w:val="0"/>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rPr>
                  </w:pPr>
                </w:p>
              </w:tc>
              <w:tc>
                <w:tcPr>
                  <w:tcW w:w="727"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DA00</w:t>
                  </w:r>
                  <w:r>
                    <w:rPr>
                      <w:rFonts w:hint="default" w:ascii="Times New Roman" w:hAnsi="Times New Roman" w:eastAsia="宋体" w:cs="Times New Roman"/>
                      <w:color w:val="auto"/>
                      <w:sz w:val="21"/>
                      <w:szCs w:val="21"/>
                      <w:lang w:val="en-US" w:eastAsia="zh-CN"/>
                    </w:rPr>
                    <w:t>5</w:t>
                  </w:r>
                </w:p>
              </w:tc>
              <w:tc>
                <w:tcPr>
                  <w:tcW w:w="1211"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裁切梳理废气排放口</w:t>
                  </w:r>
                </w:p>
              </w:tc>
              <w:tc>
                <w:tcPr>
                  <w:tcW w:w="794" w:type="dxa"/>
                  <w:tcBorders>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w:t>
                  </w:r>
                </w:p>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放口</w:t>
                  </w:r>
                </w:p>
              </w:tc>
              <w:tc>
                <w:tcPr>
                  <w:tcW w:w="3158" w:type="dxa"/>
                  <w:tcBorders>
                    <w:top w:val="single" w:color="auto" w:sz="6" w:space="0"/>
                    <w:left w:val="single" w:color="auto" w:sz="6" w:space="0"/>
                    <w:bottom w:val="single" w:color="auto" w:sz="6"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《大气污染物综合排放标准》(DB50/418-2016)</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1 大气污染物排放限值）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504" w:type="dxa"/>
                  <w:gridSpan w:val="6"/>
                  <w:tcBorders>
                    <w:top w:val="single" w:color="auto" w:sz="6" w:space="0"/>
                    <w:left w:val="nil"/>
                    <w:bottom w:val="single" w:color="auto" w:sz="4" w:space="0"/>
                    <w:right w:val="nil"/>
                    <w:tl2br w:val="nil"/>
                    <w:tr2bl w:val="nil"/>
                  </w:tcBorders>
                  <w:noWrap w:val="0"/>
                  <w:vAlign w:val="center"/>
                </w:tcPr>
                <w:p>
                  <w:pPr>
                    <w:keepNext w:val="0"/>
                    <w:keepLines w:val="0"/>
                    <w:widowControl/>
                    <w:suppressLineNumbers w:val="0"/>
                    <w:topLinePunct/>
                    <w:spacing w:before="0" w:beforeLines="0" w:beforeAutospacing="0" w:after="0" w:afterLines="0" w:afterAutospacing="0" w:line="30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注：HJ971-2018《排污许可证申请与核发技术规范  汽车制造业》、HJ1122-2020《排污许可证申请与核发技术规范  橡胶和塑料制品工业》仅涉及重点管理排污单位和简化管理排污单位，参照HJ971-2018、HJ1122-2020确定本项目废气排放口类型</w:t>
                  </w:r>
                </w:p>
              </w:tc>
            </w:tr>
          </w:tbl>
          <w:p>
            <w:pPr>
              <w:keepNext w:val="0"/>
              <w:keepLines w:val="0"/>
              <w:widowControl/>
              <w:suppressLineNumbers w:val="0"/>
              <w:spacing w:before="0" w:beforeAutospacing="0" w:after="0" w:afterAutospacing="0" w:line="420" w:lineRule="exact"/>
              <w:ind w:right="0"/>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4.2.1.5废气监测要求</w:t>
            </w:r>
          </w:p>
          <w:p>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按照建设项目环境保护管理有关规定，需要对本项目营运期的废气污染源和周围环境进行定期监测，以了解环境保护治理设施的运行情况，为拟定正确的环境保护计划提供依据。监测重点是对本项目营运期的污染源进行监测，根据《排污单位自行监测技术指南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橡胶和塑料制品》（HJ 1207—2021）、《排污单位自行监测技术指南</w:t>
            </w:r>
            <w:r>
              <w:rPr>
                <w:rFonts w:hint="default" w:ascii="Times New Roman" w:hAnsi="Times New Roman" w:eastAsia="Times New Roman" w:cs="Times New Roman"/>
                <w:color w:val="auto"/>
                <w:sz w:val="24"/>
                <w:szCs w:val="24"/>
              </w:rPr>
              <w:t xml:space="preserve">  </w:t>
            </w:r>
            <w:r>
              <w:rPr>
                <w:rFonts w:hint="default" w:ascii="Times New Roman" w:hAnsi="Times New Roman" w:eastAsia="宋体" w:cs="Times New Roman"/>
                <w:color w:val="auto"/>
                <w:sz w:val="24"/>
                <w:szCs w:val="24"/>
              </w:rPr>
              <w:t>总则》（</w:t>
            </w:r>
            <w:r>
              <w:rPr>
                <w:rFonts w:hint="default" w:ascii="Times New Roman" w:hAnsi="Times New Roman" w:eastAsia="Times New Roman" w:cs="Times New Roman"/>
                <w:color w:val="auto"/>
                <w:sz w:val="24"/>
                <w:szCs w:val="24"/>
              </w:rPr>
              <w:t>HJ 819-2017</w:t>
            </w:r>
            <w:r>
              <w:rPr>
                <w:rFonts w:hint="default" w:ascii="Times New Roman" w:hAnsi="Times New Roman" w:eastAsia="宋体" w:cs="Times New Roman"/>
                <w:color w:val="auto"/>
                <w:sz w:val="24"/>
                <w:szCs w:val="24"/>
              </w:rPr>
              <w:t>），本项目废气具体监测内容和频率见4.2-</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w:t>
            </w:r>
          </w:p>
          <w:p>
            <w:pPr>
              <w:keepNext w:val="0"/>
              <w:keepLines w:val="0"/>
              <w:widowControl/>
              <w:suppressLineNumbers w:val="0"/>
              <w:spacing w:before="0" w:beforeAutospacing="0" w:after="0" w:afterAutospacing="0" w:line="440" w:lineRule="exact"/>
              <w:ind w:left="0" w:right="0"/>
              <w:jc w:val="center"/>
              <w:rPr>
                <w:rFonts w:hint="default" w:ascii="Times New Roman" w:hAnsi="Times New Roman" w:eastAsia="Times New Roman" w:cs="Times New Roman"/>
                <w:b/>
                <w:color w:val="auto"/>
                <w:kern w:val="2"/>
                <w:sz w:val="24"/>
                <w:szCs w:val="24"/>
              </w:rPr>
            </w:pPr>
            <w:r>
              <w:rPr>
                <w:rFonts w:hint="default" w:ascii="Times New Roman" w:hAnsi="Times New Roman" w:eastAsia="宋体" w:cs="Times New Roman"/>
                <w:b/>
                <w:color w:val="auto"/>
                <w:kern w:val="2"/>
                <w:sz w:val="24"/>
                <w:szCs w:val="24"/>
              </w:rPr>
              <w:t>表4.2-</w:t>
            </w:r>
            <w:r>
              <w:rPr>
                <w:rFonts w:hint="default" w:ascii="Times New Roman" w:hAnsi="Times New Roman" w:eastAsia="宋体" w:cs="Times New Roman"/>
                <w:b/>
                <w:color w:val="auto"/>
                <w:kern w:val="2"/>
                <w:sz w:val="24"/>
                <w:szCs w:val="24"/>
                <w:lang w:val="en-US" w:eastAsia="zh-CN"/>
              </w:rPr>
              <w:t>11</w:t>
            </w:r>
            <w:r>
              <w:rPr>
                <w:rFonts w:hint="default" w:ascii="Times New Roman" w:hAnsi="Times New Roman" w:eastAsia="Times New Roman" w:cs="Times New Roman"/>
                <w:b/>
                <w:color w:val="auto"/>
                <w:kern w:val="2"/>
                <w:sz w:val="24"/>
                <w:szCs w:val="24"/>
              </w:rPr>
              <w:t xml:space="preserve">  </w:t>
            </w:r>
            <w:r>
              <w:rPr>
                <w:rFonts w:hint="default" w:ascii="Times New Roman" w:hAnsi="Times New Roman" w:eastAsia="宋体" w:cs="Times New Roman"/>
                <w:b/>
                <w:color w:val="auto"/>
                <w:kern w:val="2"/>
                <w:sz w:val="24"/>
                <w:szCs w:val="24"/>
              </w:rPr>
              <w:t>本项目营运期废气污染源监测计划一览表</w:t>
            </w:r>
          </w:p>
          <w:tbl>
            <w:tblPr>
              <w:tblStyle w:val="30"/>
              <w:tblW w:w="4937"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70"/>
              <w:gridCol w:w="1383"/>
              <w:gridCol w:w="2728"/>
              <w:gridCol w:w="911"/>
              <w:gridCol w:w="323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11" w:hRule="atLeast"/>
                <w:jc w:val="center"/>
              </w:trPr>
              <w:tc>
                <w:tcPr>
                  <w:tcW w:w="770" w:type="dxa"/>
                  <w:tcBorders>
                    <w:top w:val="single" w:color="auto" w:sz="2" w:space="0"/>
                    <w:left w:val="single" w:color="auto" w:sz="2"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pt-BR"/>
                    </w:rPr>
                    <w:t>分类</w:t>
                  </w:r>
                </w:p>
              </w:tc>
              <w:tc>
                <w:tcPr>
                  <w:tcW w:w="1383" w:type="dxa"/>
                  <w:tcBorders>
                    <w:top w:val="single" w:color="auto" w:sz="2"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pt-BR"/>
                    </w:rPr>
                    <w:t>采样点位置</w:t>
                  </w:r>
                </w:p>
              </w:tc>
              <w:tc>
                <w:tcPr>
                  <w:tcW w:w="2729" w:type="dxa"/>
                  <w:tcBorders>
                    <w:top w:val="single" w:color="auto" w:sz="2"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pt-BR"/>
                    </w:rPr>
                    <w:t>监测项目</w:t>
                  </w:r>
                </w:p>
              </w:tc>
              <w:tc>
                <w:tcPr>
                  <w:tcW w:w="911" w:type="dxa"/>
                  <w:tcBorders>
                    <w:top w:val="single" w:color="auto" w:sz="2"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pt-BR"/>
                    </w:rPr>
                    <w:t>频率</w:t>
                  </w:r>
                </w:p>
              </w:tc>
              <w:tc>
                <w:tcPr>
                  <w:tcW w:w="3234" w:type="dxa"/>
                  <w:tcBorders>
                    <w:top w:val="single" w:color="auto" w:sz="2" w:space="0"/>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执行标准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770" w:type="dxa"/>
                  <w:vMerge w:val="restart"/>
                  <w:tcBorders>
                    <w:top w:val="single" w:color="auto" w:sz="6" w:space="0"/>
                    <w:left w:val="single" w:color="auto" w:sz="2"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pt-BR"/>
                    </w:rPr>
                    <w:t>有组织废气</w:t>
                  </w:r>
                </w:p>
              </w:tc>
              <w:tc>
                <w:tcPr>
                  <w:tcW w:w="1383" w:type="dxa"/>
                  <w:vMerge w:val="restart"/>
                  <w:tcBorders>
                    <w:top w:val="single" w:color="auto" w:sz="6" w:space="0"/>
                    <w:left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pt-BR"/>
                    </w:rPr>
                    <w:t>1#排气筒（注塑废气）</w:t>
                  </w: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eastAsia="zh-CN"/>
                    </w:rPr>
                  </w:pPr>
                  <w:r>
                    <w:rPr>
                      <w:rFonts w:hint="default" w:ascii="Times New Roman" w:hAnsi="Times New Roman" w:eastAsia="宋体" w:cs="Times New Roman"/>
                      <w:color w:val="auto"/>
                      <w:kern w:val="2"/>
                      <w:sz w:val="21"/>
                      <w:szCs w:val="21"/>
                      <w:lang w:val="pt-BR"/>
                    </w:rPr>
                    <w:t>非甲烷总烃</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w:t>
                  </w:r>
                  <w:r>
                    <w:rPr>
                      <w:rFonts w:hint="default" w:ascii="Times New Roman" w:hAnsi="Times New Roman" w:eastAsia="Times New Roman" w:cs="Times New Roman"/>
                      <w:color w:val="auto"/>
                      <w:kern w:val="2"/>
                      <w:sz w:val="21"/>
                      <w:szCs w:val="21"/>
                      <w:lang w:val="pt-BR"/>
                    </w:rPr>
                    <w:t>/</w:t>
                  </w:r>
                  <w:r>
                    <w:rPr>
                      <w:rFonts w:hint="default" w:ascii="Times New Roman" w:hAnsi="Times New Roman" w:eastAsia="宋体" w:cs="Times New Roman"/>
                      <w:color w:val="auto"/>
                      <w:kern w:val="2"/>
                      <w:sz w:val="21"/>
                      <w:szCs w:val="21"/>
                      <w:lang w:val="pt-BR" w:eastAsia="zh-CN"/>
                    </w:rPr>
                    <w:t>半</w:t>
                  </w:r>
                  <w:r>
                    <w:rPr>
                      <w:rFonts w:hint="default" w:ascii="Times New Roman" w:hAnsi="Times New Roman" w:eastAsia="宋体" w:cs="Times New Roman"/>
                      <w:color w:val="auto"/>
                      <w:kern w:val="2"/>
                      <w:sz w:val="21"/>
                      <w:szCs w:val="21"/>
                      <w:lang w:val="pt-BR"/>
                    </w:rPr>
                    <w:t>年</w:t>
                  </w:r>
                </w:p>
              </w:tc>
              <w:tc>
                <w:tcPr>
                  <w:tcW w:w="3234" w:type="dxa"/>
                  <w:tcBorders>
                    <w:top w:val="single" w:color="auto" w:sz="4" w:space="0"/>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sz w:val="21"/>
                      <w:szCs w:val="21"/>
                    </w:rPr>
                    <w:t>GB 31572-2015《合成树脂工业污染物排放标准》表5中排放限值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770" w:type="dxa"/>
                  <w:vMerge w:val="continue"/>
                  <w:tcBorders>
                    <w:left w:val="single" w:color="auto" w:sz="2"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p>
              </w:tc>
              <w:tc>
                <w:tcPr>
                  <w:tcW w:w="1383" w:type="dxa"/>
                  <w:vMerge w:val="continue"/>
                  <w:tcBorders>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eastAsia="zh-CN"/>
                    </w:rPr>
                  </w:pPr>
                  <w:r>
                    <w:rPr>
                      <w:rFonts w:hint="default" w:ascii="Times New Roman" w:hAnsi="Times New Roman" w:eastAsia="宋体" w:cs="Times New Roman"/>
                      <w:color w:val="auto"/>
                      <w:kern w:val="2"/>
                      <w:sz w:val="21"/>
                      <w:szCs w:val="21"/>
                      <w:lang w:val="pt-BR" w:eastAsia="zh-CN"/>
                    </w:rPr>
                    <w:t>氨、臭气浓度</w:t>
                  </w:r>
                </w:p>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sz w:val="21"/>
                      <w:szCs w:val="21"/>
                    </w:rPr>
                    <w:t>（仅竣工验收监控指标）</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leftChars="0" w:right="0" w:rightChars="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次/年</w:t>
                  </w:r>
                </w:p>
              </w:tc>
              <w:tc>
                <w:tcPr>
                  <w:tcW w:w="3234" w:type="dxa"/>
                  <w:tcBorders>
                    <w:top w:val="single" w:color="auto" w:sz="4" w:space="0"/>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GB14554-93《恶臭污染物排放标准》表2中排放限值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770" w:type="dxa"/>
                  <w:vMerge w:val="continue"/>
                  <w:tcBorders>
                    <w:left w:val="single" w:color="auto" w:sz="2"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1383"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2#</w:t>
                  </w:r>
                  <w:r>
                    <w:rPr>
                      <w:rFonts w:hint="default" w:ascii="Times New Roman" w:hAnsi="Times New Roman" w:eastAsia="宋体" w:cs="Times New Roman"/>
                      <w:color w:val="auto"/>
                      <w:kern w:val="2"/>
                      <w:sz w:val="21"/>
                      <w:szCs w:val="21"/>
                      <w:lang w:val="pt-BR"/>
                    </w:rPr>
                    <w:t>排气筒</w:t>
                  </w: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pt-BR"/>
                    </w:rPr>
                    <w:t>颗粒物</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次/年</w:t>
                  </w:r>
                </w:p>
              </w:tc>
              <w:tc>
                <w:tcPr>
                  <w:tcW w:w="3234" w:type="dxa"/>
                  <w:tcBorders>
                    <w:top w:val="single" w:color="auto" w:sz="4" w:space="0"/>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sz w:val="21"/>
                      <w:szCs w:val="21"/>
                    </w:rPr>
                    <w:t>GB27632-2011《橡胶制品工业污染物排放标准》表5中排放限值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9" w:hRule="atLeast"/>
                <w:jc w:val="center"/>
              </w:trPr>
              <w:tc>
                <w:tcPr>
                  <w:tcW w:w="770" w:type="dxa"/>
                  <w:vMerge w:val="continue"/>
                  <w:tcBorders>
                    <w:left w:val="single" w:color="auto" w:sz="2"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1383" w:type="dxa"/>
                  <w:vMerge w:val="restart"/>
                  <w:tcBorders>
                    <w:top w:val="single" w:color="auto" w:sz="6" w:space="0"/>
                    <w:left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lang w:val="pt-BR"/>
                    </w:rPr>
                    <w:t>#排气筒（</w:t>
                  </w:r>
                  <w:r>
                    <w:rPr>
                      <w:rFonts w:hint="default" w:ascii="Times New Roman" w:hAnsi="Times New Roman" w:eastAsia="宋体" w:cs="Times New Roman"/>
                      <w:color w:val="auto"/>
                      <w:kern w:val="2"/>
                      <w:sz w:val="21"/>
                      <w:szCs w:val="21"/>
                      <w:lang w:val="pt-BR" w:eastAsia="zh-CN"/>
                    </w:rPr>
                    <w:t>炼胶</w:t>
                  </w:r>
                  <w:r>
                    <w:rPr>
                      <w:rFonts w:hint="default" w:ascii="Times New Roman" w:hAnsi="Times New Roman" w:eastAsia="宋体" w:cs="Times New Roman"/>
                      <w:color w:val="auto"/>
                      <w:kern w:val="2"/>
                      <w:sz w:val="21"/>
                      <w:szCs w:val="21"/>
                      <w:lang w:val="pt-BR"/>
                    </w:rPr>
                    <w:t>废气）</w:t>
                  </w: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pt-BR"/>
                    </w:rPr>
                    <w:t>颗粒物</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次/年</w:t>
                  </w:r>
                </w:p>
              </w:tc>
              <w:tc>
                <w:tcPr>
                  <w:tcW w:w="3234" w:type="dxa"/>
                  <w:vMerge w:val="restart"/>
                  <w:tcBorders>
                    <w:top w:val="single" w:color="auto" w:sz="4" w:space="0"/>
                    <w:left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GB27632-2011《橡胶制品工业污染物排放标准》表5中排放限值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770" w:type="dxa"/>
                  <w:vMerge w:val="continue"/>
                  <w:tcBorders>
                    <w:left w:val="single" w:color="auto" w:sz="2"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1383" w:type="dxa"/>
                  <w:vMerge w:val="continue"/>
                  <w:tcBorders>
                    <w:left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非甲烷总烃</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w:t>
                  </w:r>
                  <w:r>
                    <w:rPr>
                      <w:rFonts w:hint="default" w:ascii="Times New Roman" w:hAnsi="Times New Roman" w:eastAsia="Times New Roman" w:cs="Times New Roman"/>
                      <w:color w:val="auto"/>
                      <w:kern w:val="2"/>
                      <w:sz w:val="21"/>
                      <w:szCs w:val="21"/>
                      <w:lang w:val="pt-BR"/>
                    </w:rPr>
                    <w:t>/</w:t>
                  </w:r>
                  <w:r>
                    <w:rPr>
                      <w:rFonts w:hint="default" w:ascii="Times New Roman" w:hAnsi="Times New Roman" w:eastAsia="宋体" w:cs="Times New Roman"/>
                      <w:color w:val="auto"/>
                      <w:kern w:val="2"/>
                      <w:sz w:val="21"/>
                      <w:szCs w:val="21"/>
                      <w:lang w:val="pt-BR" w:eastAsia="zh-CN"/>
                    </w:rPr>
                    <w:t>半</w:t>
                  </w:r>
                  <w:r>
                    <w:rPr>
                      <w:rFonts w:hint="default" w:ascii="Times New Roman" w:hAnsi="Times New Roman" w:eastAsia="宋体" w:cs="Times New Roman"/>
                      <w:color w:val="auto"/>
                      <w:kern w:val="2"/>
                      <w:sz w:val="21"/>
                      <w:szCs w:val="21"/>
                      <w:lang w:val="pt-BR"/>
                    </w:rPr>
                    <w:t>年</w:t>
                  </w:r>
                </w:p>
              </w:tc>
              <w:tc>
                <w:tcPr>
                  <w:tcW w:w="3234" w:type="dxa"/>
                  <w:vMerge w:val="continue"/>
                  <w:tcBorders>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770" w:type="dxa"/>
                  <w:vMerge w:val="continue"/>
                  <w:tcBorders>
                    <w:left w:val="single" w:color="auto" w:sz="2"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1383" w:type="dxa"/>
                  <w:vMerge w:val="continue"/>
                  <w:tcBorders>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硫化氢、二硫化碳、臭气浓度（仅竣工验收监控指标）</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3234" w:type="dxa"/>
                  <w:tcBorders>
                    <w:top w:val="single" w:color="auto" w:sz="4" w:space="0"/>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leftChars="0" w:right="0" w:rightChars="0"/>
                    <w:rPr>
                      <w:rFonts w:hint="default" w:ascii="Times New Roman" w:hAnsi="Times New Roman" w:eastAsia="Times New Roman" w:cs="Times New Roman"/>
                      <w:color w:val="auto"/>
                      <w:kern w:val="2"/>
                      <w:sz w:val="21"/>
                      <w:szCs w:val="21"/>
                      <w:lang w:val="pt-BR" w:eastAsia="zh-CN" w:bidi="ar-SA"/>
                    </w:rPr>
                  </w:pPr>
                  <w:r>
                    <w:rPr>
                      <w:rFonts w:hint="default" w:ascii="Times New Roman" w:hAnsi="Times New Roman" w:eastAsia="宋体" w:cs="Times New Roman"/>
                      <w:color w:val="auto"/>
                      <w:sz w:val="21"/>
                      <w:szCs w:val="21"/>
                    </w:rPr>
                    <w:t>GB14554-93《恶臭污染物排放标准》表2中排放限值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770" w:type="dxa"/>
                  <w:vMerge w:val="continue"/>
                  <w:tcBorders>
                    <w:left w:val="single" w:color="auto" w:sz="2"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1383" w:type="dxa"/>
                  <w:vMerge w:val="restart"/>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en-US" w:eastAsia="zh-CN"/>
                    </w:rPr>
                    <w:t>4</w:t>
                  </w:r>
                  <w:r>
                    <w:rPr>
                      <w:rFonts w:hint="default" w:ascii="Times New Roman" w:hAnsi="Times New Roman" w:eastAsia="宋体" w:cs="Times New Roman"/>
                      <w:color w:val="auto"/>
                      <w:kern w:val="2"/>
                      <w:sz w:val="21"/>
                      <w:szCs w:val="21"/>
                      <w:lang w:val="pt-BR"/>
                    </w:rPr>
                    <w:t>#排气筒（成型废气）</w:t>
                  </w: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kern w:val="2"/>
                      <w:sz w:val="21"/>
                      <w:szCs w:val="21"/>
                      <w:lang w:val="pt-BR"/>
                    </w:rPr>
                    <w:t>非甲烷总烃</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w:t>
                  </w:r>
                  <w:r>
                    <w:rPr>
                      <w:rFonts w:hint="default" w:ascii="Times New Roman" w:hAnsi="Times New Roman" w:eastAsia="Times New Roman" w:cs="Times New Roman"/>
                      <w:color w:val="auto"/>
                      <w:kern w:val="2"/>
                      <w:sz w:val="21"/>
                      <w:szCs w:val="21"/>
                      <w:lang w:val="pt-BR"/>
                    </w:rPr>
                    <w:t>/</w:t>
                  </w:r>
                  <w:r>
                    <w:rPr>
                      <w:rFonts w:hint="default" w:ascii="Times New Roman" w:hAnsi="Times New Roman" w:eastAsia="宋体" w:cs="Times New Roman"/>
                      <w:color w:val="auto"/>
                      <w:kern w:val="2"/>
                      <w:sz w:val="21"/>
                      <w:szCs w:val="21"/>
                      <w:lang w:val="pt-BR" w:eastAsia="zh-CN"/>
                    </w:rPr>
                    <w:t>半</w:t>
                  </w:r>
                  <w:r>
                    <w:rPr>
                      <w:rFonts w:hint="default" w:ascii="Times New Roman" w:hAnsi="Times New Roman" w:eastAsia="宋体" w:cs="Times New Roman"/>
                      <w:color w:val="auto"/>
                      <w:kern w:val="2"/>
                      <w:sz w:val="21"/>
                      <w:szCs w:val="21"/>
                      <w:lang w:val="pt-BR"/>
                    </w:rPr>
                    <w:t>年</w:t>
                  </w:r>
                </w:p>
              </w:tc>
              <w:tc>
                <w:tcPr>
                  <w:tcW w:w="3234" w:type="dxa"/>
                  <w:tcBorders>
                    <w:top w:val="single" w:color="auto" w:sz="4" w:space="0"/>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sz w:val="21"/>
                      <w:szCs w:val="21"/>
                    </w:rPr>
                    <w:t>GB27632-2011《橡胶制品工业污染物排放标准》表5中排放限值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770" w:type="dxa"/>
                  <w:vMerge w:val="continue"/>
                  <w:tcBorders>
                    <w:left w:val="single" w:color="auto" w:sz="2"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1383" w:type="dxa"/>
                  <w:vMerge w:val="continue"/>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硫化氢、二硫化碳、臭气浓度（仅竣工验收监控指标）</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次/年</w:t>
                  </w:r>
                </w:p>
              </w:tc>
              <w:tc>
                <w:tcPr>
                  <w:tcW w:w="3234" w:type="dxa"/>
                  <w:tcBorders>
                    <w:top w:val="single" w:color="auto" w:sz="4" w:space="0"/>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sz w:val="21"/>
                      <w:szCs w:val="21"/>
                    </w:rPr>
                    <w:t>GB14554-93《恶臭污染物排放标准》表2中排放限值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770" w:type="dxa"/>
                  <w:vMerge w:val="continue"/>
                  <w:tcBorders>
                    <w:left w:val="single" w:color="auto" w:sz="2"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1383"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val="pt-BR"/>
                    </w:rPr>
                    <w:t>#排气筒（成型废气）</w:t>
                  </w: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pt-BR"/>
                    </w:rPr>
                    <w:t>颗粒物</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次/年</w:t>
                  </w:r>
                </w:p>
              </w:tc>
              <w:tc>
                <w:tcPr>
                  <w:tcW w:w="3234" w:type="dxa"/>
                  <w:tcBorders>
                    <w:top w:val="single" w:color="auto" w:sz="4" w:space="0"/>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DB50/418-2016《大气污染物综合排放标准》</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中排放限值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770" w:type="dxa"/>
                  <w:vMerge w:val="restart"/>
                  <w:tcBorders>
                    <w:top w:val="single" w:color="auto" w:sz="6" w:space="0"/>
                    <w:left w:val="single" w:color="auto" w:sz="2"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pt-BR"/>
                    </w:rPr>
                    <w:t>无组织废气</w:t>
                  </w:r>
                </w:p>
              </w:tc>
              <w:tc>
                <w:tcPr>
                  <w:tcW w:w="1383" w:type="dxa"/>
                  <w:vMerge w:val="restart"/>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pt-BR"/>
                    </w:rPr>
                    <w:t>厂界（下风向）</w:t>
                  </w: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pt-BR"/>
                    </w:rPr>
                    <w:t>非甲烷总烃、颗粒物</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次/年</w:t>
                  </w:r>
                </w:p>
              </w:tc>
              <w:tc>
                <w:tcPr>
                  <w:tcW w:w="3234" w:type="dxa"/>
                  <w:tcBorders>
                    <w:top w:val="single" w:color="auto" w:sz="6" w:space="0"/>
                    <w:left w:val="single" w:color="auto" w:sz="6" w:space="0"/>
                    <w:bottom w:val="single" w:color="auto" w:sz="6"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line="300" w:lineRule="exact"/>
                    <w:ind w:left="0" w:right="0"/>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sz w:val="21"/>
                      <w:szCs w:val="21"/>
                    </w:rPr>
                    <w:t>DB50/418-2016</w:t>
                  </w:r>
                  <w:r>
                    <w:rPr>
                      <w:rFonts w:hint="default" w:ascii="Times New Roman" w:hAnsi="Times New Roman" w:eastAsia="宋体" w:cs="Times New Roman"/>
                      <w:color w:val="auto"/>
                      <w:sz w:val="21"/>
                      <w:szCs w:val="21"/>
                    </w:rPr>
                    <w:t>《大气污染物综合排放标准》表1中大气污染物排放限值（影响区）</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770" w:type="dxa"/>
                  <w:vMerge w:val="continue"/>
                  <w:tcBorders>
                    <w:top w:val="single" w:color="auto" w:sz="6" w:space="0"/>
                    <w:left w:val="single" w:color="auto" w:sz="2" w:space="0"/>
                    <w:bottom w:val="single" w:color="auto" w:sz="2"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1383" w:type="dxa"/>
                  <w:vMerge w:val="continue"/>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p>
              </w:tc>
              <w:tc>
                <w:tcPr>
                  <w:tcW w:w="2729"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kern w:val="2"/>
                      <w:sz w:val="21"/>
                      <w:szCs w:val="21"/>
                      <w:lang w:val="en-US" w:eastAsia="zh-CN"/>
                    </w:rPr>
                    <w:t>二</w:t>
                  </w:r>
                  <w:r>
                    <w:rPr>
                      <w:rFonts w:hint="default" w:ascii="Times New Roman" w:hAnsi="Times New Roman" w:eastAsia="宋体" w:cs="Times New Roman"/>
                      <w:color w:val="auto"/>
                      <w:kern w:val="2"/>
                      <w:sz w:val="21"/>
                      <w:szCs w:val="21"/>
                      <w:lang w:val="pt-BR"/>
                    </w:rPr>
                    <w:t>硫化碳、硫化氢、</w:t>
                  </w:r>
                  <w:r>
                    <w:rPr>
                      <w:rFonts w:hint="default" w:ascii="Times New Roman" w:hAnsi="Times New Roman" w:eastAsia="宋体" w:cs="Times New Roman"/>
                      <w:color w:val="auto"/>
                      <w:kern w:val="2"/>
                      <w:sz w:val="21"/>
                      <w:szCs w:val="21"/>
                      <w:lang w:val="pt-BR" w:eastAsia="zh-CN"/>
                    </w:rPr>
                    <w:t>氨、</w:t>
                  </w:r>
                  <w:r>
                    <w:rPr>
                      <w:rFonts w:hint="default" w:ascii="Times New Roman" w:hAnsi="Times New Roman" w:eastAsia="宋体" w:cs="Times New Roman"/>
                      <w:color w:val="auto"/>
                      <w:kern w:val="2"/>
                      <w:sz w:val="21"/>
                      <w:szCs w:val="21"/>
                      <w:lang w:val="pt-BR"/>
                    </w:rPr>
                    <w:t>臭气浓度</w:t>
                  </w:r>
                  <w:r>
                    <w:rPr>
                      <w:rFonts w:hint="default" w:ascii="Times New Roman" w:hAnsi="Times New Roman" w:eastAsia="宋体" w:cs="Times New Roman"/>
                      <w:color w:val="auto"/>
                      <w:sz w:val="21"/>
                      <w:szCs w:val="21"/>
                    </w:rPr>
                    <w:t>（仅竣工验收监控指标）</w:t>
                  </w:r>
                </w:p>
              </w:tc>
              <w:tc>
                <w:tcPr>
                  <w:tcW w:w="911" w:type="dxa"/>
                  <w:tcBorders>
                    <w:top w:val="single" w:color="auto" w:sz="6" w:space="0"/>
                    <w:left w:val="single" w:color="auto" w:sz="6" w:space="0"/>
                    <w:bottom w:val="single" w:color="auto" w:sz="6" w:space="0"/>
                    <w:right w:val="single" w:color="auto" w:sz="6"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lang w:val="pt-BR"/>
                    </w:rPr>
                    <w:t>1</w:t>
                  </w:r>
                  <w:r>
                    <w:rPr>
                      <w:rFonts w:hint="default" w:ascii="Times New Roman" w:hAnsi="Times New Roman" w:eastAsia="宋体" w:cs="Times New Roman"/>
                      <w:color w:val="auto"/>
                      <w:kern w:val="2"/>
                      <w:sz w:val="21"/>
                      <w:szCs w:val="21"/>
                      <w:lang w:val="pt-BR"/>
                    </w:rPr>
                    <w:t>次/年</w:t>
                  </w:r>
                </w:p>
              </w:tc>
              <w:tc>
                <w:tcPr>
                  <w:tcW w:w="3234" w:type="dxa"/>
                  <w:tcBorders>
                    <w:top w:val="single" w:color="auto" w:sz="6" w:space="0"/>
                    <w:left w:val="single" w:color="auto" w:sz="6" w:space="0"/>
                    <w:bottom w:val="single" w:color="auto" w:sz="2" w:space="0"/>
                    <w:right w:val="single" w:color="auto" w:sz="2" w:space="0"/>
                    <w:tl2br w:val="nil"/>
                    <w:tr2bl w:val="nil"/>
                  </w:tcBorders>
                  <w:noWrap w:val="0"/>
                  <w:tcMar>
                    <w:top w:w="0" w:type="dxa"/>
                    <w:left w:w="0" w:type="dxa"/>
                    <w:bottom w:w="0" w:type="dxa"/>
                    <w:right w:w="0" w:type="dxa"/>
                  </w:tcMar>
                  <w:vAlign w:val="center"/>
                </w:tcPr>
                <w:p>
                  <w:pPr>
                    <w:keepNext w:val="0"/>
                    <w:keepLines w:val="0"/>
                    <w:widowControl/>
                    <w:suppressLineNumbers w:val="0"/>
                    <w:topLinePunct/>
                    <w:spacing w:before="0" w:beforeAutospacing="0" w:after="0" w:afterAutospacing="0" w:line="300" w:lineRule="exact"/>
                    <w:ind w:left="0" w:right="0"/>
                    <w:rPr>
                      <w:rFonts w:hint="default" w:ascii="Times New Roman" w:hAnsi="Times New Roman" w:eastAsia="Times New Roman" w:cs="Times New Roman"/>
                      <w:color w:val="auto"/>
                      <w:kern w:val="2"/>
                      <w:sz w:val="21"/>
                      <w:szCs w:val="21"/>
                      <w:lang w:val="pt-BR"/>
                    </w:rPr>
                  </w:pPr>
                  <w:r>
                    <w:rPr>
                      <w:rFonts w:hint="default" w:ascii="Times New Roman" w:hAnsi="Times New Roman" w:eastAsia="宋体" w:cs="Times New Roman"/>
                      <w:color w:val="auto"/>
                      <w:sz w:val="21"/>
                      <w:szCs w:val="21"/>
                    </w:rPr>
                    <w:t>GB14554-93《恶臭污染物排放标准》表1中二级排放限值</w:t>
                  </w:r>
                </w:p>
              </w:tc>
            </w:tr>
          </w:tbl>
          <w:p>
            <w:pPr>
              <w:keepNext w:val="0"/>
              <w:keepLines w:val="0"/>
              <w:widowControl/>
              <w:suppressLineNumbers w:val="0"/>
              <w:spacing w:before="0" w:beforeLines="0" w:beforeAutospacing="0" w:after="0" w:afterLines="0" w:afterAutospacing="0" w:line="390" w:lineRule="exact"/>
              <w:ind w:left="0" w:right="0"/>
              <w:rPr>
                <w:rFonts w:hint="default" w:ascii="Times New Roman" w:hAnsi="Times New Roman" w:eastAsia="Times New Roman" w:cs="Times New Roman"/>
                <w:b/>
                <w:bCs/>
                <w:color w:val="auto"/>
                <w:kern w:val="2"/>
                <w:sz w:val="24"/>
                <w:szCs w:val="24"/>
              </w:rPr>
            </w:pPr>
            <w:r>
              <w:rPr>
                <w:rFonts w:hint="default" w:ascii="Times New Roman" w:hAnsi="Times New Roman" w:eastAsia="Times New Roman" w:cs="Times New Roman"/>
                <w:b/>
                <w:bCs/>
                <w:color w:val="auto"/>
                <w:kern w:val="2"/>
                <w:sz w:val="24"/>
                <w:szCs w:val="24"/>
              </w:rPr>
              <w:t>4.2.1.6</w:t>
            </w:r>
            <w:r>
              <w:rPr>
                <w:rFonts w:hint="default" w:ascii="Times New Roman" w:hAnsi="Times New Roman" w:eastAsia="宋体" w:cs="Times New Roman"/>
                <w:b/>
                <w:bCs/>
                <w:color w:val="auto"/>
                <w:kern w:val="2"/>
                <w:sz w:val="24"/>
                <w:szCs w:val="24"/>
              </w:rPr>
              <w:t>废气治理措施及其可行性分析</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本项目生产过程中大气污染物主要为注塑、</w:t>
            </w:r>
            <w:r>
              <w:rPr>
                <w:rFonts w:hint="default" w:ascii="Times New Roman" w:hAnsi="Times New Roman" w:eastAsia="宋体" w:cs="Times New Roman"/>
                <w:color w:val="auto"/>
                <w:kern w:val="2"/>
                <w:sz w:val="24"/>
                <w:szCs w:val="24"/>
                <w:lang w:eastAsia="zh-CN"/>
              </w:rPr>
              <w:t>炼胶</w:t>
            </w:r>
            <w:r>
              <w:rPr>
                <w:rFonts w:hint="default" w:ascii="Times New Roman" w:hAnsi="Times New Roman" w:eastAsia="宋体" w:cs="Times New Roman"/>
                <w:color w:val="auto"/>
                <w:kern w:val="2"/>
                <w:sz w:val="24"/>
                <w:szCs w:val="24"/>
              </w:rPr>
              <w:t>、成型</w:t>
            </w:r>
            <w:r>
              <w:rPr>
                <w:rFonts w:hint="default" w:ascii="Times New Roman" w:hAnsi="Times New Roman" w:eastAsia="宋体" w:cs="Times New Roman"/>
                <w:color w:val="auto"/>
                <w:kern w:val="2"/>
                <w:sz w:val="24"/>
                <w:szCs w:val="24"/>
                <w:lang w:eastAsia="zh-CN"/>
              </w:rPr>
              <w:t>、裁切梳理</w:t>
            </w:r>
            <w:r>
              <w:rPr>
                <w:rFonts w:hint="default" w:ascii="Times New Roman" w:hAnsi="Times New Roman" w:eastAsia="宋体" w:cs="Times New Roman"/>
                <w:color w:val="auto"/>
                <w:kern w:val="2"/>
                <w:sz w:val="24"/>
                <w:szCs w:val="24"/>
              </w:rPr>
              <w:t>工序产生的废气，废气治理流程详见图4.2-</w:t>
            </w:r>
            <w:r>
              <w:rPr>
                <w:rFonts w:hint="default" w:ascii="Times New Roman" w:hAnsi="Times New Roman" w:eastAsia="宋体" w:cs="Times New Roman"/>
                <w:color w:val="auto"/>
                <w:kern w:val="2"/>
                <w:sz w:val="24"/>
                <w:szCs w:val="24"/>
                <w:lang w:val="en-US" w:eastAsia="zh-CN"/>
              </w:rPr>
              <w:t>1</w:t>
            </w:r>
            <w:r>
              <w:rPr>
                <w:rFonts w:hint="default" w:ascii="Times New Roman" w:hAnsi="Times New Roman" w:eastAsia="宋体" w:cs="Times New Roman"/>
                <w:color w:val="auto"/>
                <w:kern w:val="2"/>
                <w:sz w:val="24"/>
                <w:szCs w:val="24"/>
              </w:rPr>
              <w:t>。</w:t>
            </w:r>
          </w:p>
          <w:p>
            <w:pPr>
              <w:keepNext w:val="0"/>
              <w:keepLines w:val="0"/>
              <w:widowControl/>
              <w:suppressLineNumbers w:val="0"/>
              <w:spacing w:before="0" w:beforeAutospacing="0" w:after="0" w:afterAutospacing="0" w:line="240" w:lineRule="auto"/>
              <w:ind w:left="0" w:right="0"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object>
                <v:shape id="_x0000_i1032" o:spt="75" type="#_x0000_t75" style="height:232.85pt;width:386.2pt;" o:ole="t" filled="f" o:preferrelative="t" stroked="f" coordsize="21600,21600">
                  <v:path/>
                  <v:fill on="f" focussize="0,0"/>
                  <v:stroke on="f"/>
                  <v:imagedata r:id="rId29" o:title=""/>
                  <o:lock v:ext="edit" aspectratio="f"/>
                  <w10:wrap type="none"/>
                  <w10:anchorlock/>
                </v:shape>
                <o:OLEObject Type="Embed" ProgID="Visio.Drawing.11" ShapeID="_x0000_i1032" DrawAspect="Content" ObjectID="_1468075732" r:id="rId28">
                  <o:LockedField>false</o:LockedField>
                </o:OLEObject>
              </w:objec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1、废气收集措施有效性分析</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本项目拟在各注塑机、捏炼机、开炼机、成型机</w:t>
            </w:r>
            <w:r>
              <w:rPr>
                <w:rFonts w:hint="default" w:ascii="Times New Roman" w:hAnsi="Times New Roman" w:eastAsia="宋体" w:cs="Times New Roman"/>
                <w:color w:val="auto"/>
                <w:kern w:val="2"/>
                <w:sz w:val="24"/>
                <w:szCs w:val="24"/>
                <w:lang w:eastAsia="zh-CN"/>
              </w:rPr>
              <w:t>、裁切机、梳理机等</w:t>
            </w:r>
            <w:r>
              <w:rPr>
                <w:rFonts w:hint="default" w:ascii="Times New Roman" w:hAnsi="Times New Roman" w:eastAsia="宋体" w:cs="Times New Roman"/>
                <w:color w:val="auto"/>
                <w:kern w:val="2"/>
                <w:sz w:val="24"/>
                <w:szCs w:val="24"/>
              </w:rPr>
              <w:t>上方设置集气罩，注塑废气、炼胶废气（密炼、开炼）、成型废气</w:t>
            </w:r>
            <w:r>
              <w:rPr>
                <w:rFonts w:hint="default" w:ascii="Times New Roman" w:hAnsi="Times New Roman" w:eastAsia="宋体" w:cs="Times New Roman"/>
                <w:color w:val="auto"/>
                <w:kern w:val="2"/>
                <w:sz w:val="24"/>
                <w:szCs w:val="24"/>
                <w:lang w:eastAsia="zh-CN"/>
              </w:rPr>
              <w:t>、裁切梳理废气</w:t>
            </w:r>
            <w:r>
              <w:rPr>
                <w:rFonts w:hint="default" w:ascii="Times New Roman" w:hAnsi="Times New Roman" w:eastAsia="宋体" w:cs="Times New Roman"/>
                <w:color w:val="auto"/>
                <w:kern w:val="2"/>
                <w:sz w:val="24"/>
                <w:szCs w:val="24"/>
              </w:rPr>
              <w:t>分别通过集气罩收集，其原理为通过罩口的抽吸作用在距离吸气口最远的有害物散发点（即控制点）上造成适当的空气流动，从而把有害物吸入罩内。</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color w:val="auto"/>
                <w:sz w:val="24"/>
                <w:szCs w:val="24"/>
              </w:rPr>
            </w:pPr>
            <w:r>
              <w:rPr>
                <w:rFonts w:hint="default" w:ascii="Times New Roman" w:hAnsi="Times New Roman" w:eastAsia="宋体" w:cs="Times New Roman"/>
                <w:color w:val="auto"/>
                <w:sz w:val="24"/>
                <w:szCs w:val="24"/>
              </w:rPr>
              <w:t>根据《废气处理工程技术手册》（王纯、张殿印，化学工业出版社），上部伞形罩三侧有围挡时，排气量计算公式</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式（1）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上部伞形罩</w:t>
            </w:r>
            <w:r>
              <w:rPr>
                <w:rFonts w:hint="default" w:ascii="Times New Roman" w:hAnsi="Times New Roman" w:eastAsia="宋体" w:cs="Times New Roman"/>
                <w:color w:val="auto"/>
                <w:sz w:val="24"/>
                <w:szCs w:val="24"/>
                <w:lang w:eastAsia="zh-CN"/>
              </w:rPr>
              <w:t>二</w:t>
            </w:r>
            <w:r>
              <w:rPr>
                <w:rFonts w:hint="default" w:ascii="Times New Roman" w:hAnsi="Times New Roman" w:eastAsia="宋体" w:cs="Times New Roman"/>
                <w:color w:val="auto"/>
                <w:sz w:val="24"/>
                <w:szCs w:val="24"/>
              </w:rPr>
              <w:t>侧有围挡时，排气量计算公式</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rPr>
              <w:t>式（</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如下：</w:t>
            </w:r>
          </w:p>
          <w:p>
            <w:pPr>
              <w:keepNext w:val="0"/>
              <w:keepLines w:val="0"/>
              <w:widowControl/>
              <w:suppressLineNumbers w:val="0"/>
              <w:spacing w:before="181" w:beforeLines="50" w:beforeAutospacing="0" w:after="181" w:afterLines="50" w:afterAutospacing="0" w:line="420" w:lineRule="exact"/>
              <w:ind w:left="0" w:right="0" w:firstLine="3120" w:firstLineChars="1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Q=WHVx或Q=BHVx                  式（1）</w:t>
            </w:r>
          </w:p>
          <w:p>
            <w:pPr>
              <w:keepNext w:val="0"/>
              <w:keepLines w:val="0"/>
              <w:widowControl/>
              <w:suppressLineNumbers w:val="0"/>
              <w:spacing w:before="181" w:beforeLines="50" w:beforeAutospacing="0" w:after="181" w:afterLines="50" w:afterAutospacing="0" w:line="420" w:lineRule="exact"/>
              <w:ind w:left="0" w:right="0" w:firstLine="3120" w:firstLineChars="13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w:t>
            </w:r>
            <w:r>
              <w:rPr>
                <w:rFonts w:hint="default"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HVx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 xml:space="preserve"> 式（</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pPr>
              <w:keepNext w:val="0"/>
              <w:keepLines w:val="0"/>
              <w:widowControl/>
              <w:suppressLineNumbers w:val="0"/>
              <w:spacing w:before="0" w:beforeAutospacing="0" w:after="0" w:afterAutospacing="0" w:line="420" w:lineRule="exact"/>
              <w:ind w:left="0" w:right="0"/>
              <w:rPr>
                <w:rFonts w:hint="default" w:ascii="Times New Roman" w:hAnsi="Times New Roman" w:eastAsia="Times New Roman" w:cs="Times New Roman"/>
                <w:color w:val="auto"/>
                <w:sz w:val="24"/>
                <w:szCs w:val="24"/>
              </w:rPr>
            </w:pPr>
            <w:r>
              <w:rPr>
                <w:rFonts w:hint="default" w:ascii="Times New Roman" w:hAnsi="Times New Roman" w:eastAsia="宋体" w:cs="Times New Roman"/>
                <w:color w:val="auto"/>
                <w:sz w:val="24"/>
                <w:szCs w:val="24"/>
              </w:rPr>
              <w:t>式中：Q——排气量，m³/s；</w:t>
            </w:r>
          </w:p>
          <w:p>
            <w:pPr>
              <w:keepNext w:val="0"/>
              <w:keepLines w:val="0"/>
              <w:widowControl/>
              <w:suppressLineNumbers w:val="0"/>
              <w:spacing w:before="0" w:beforeAutospacing="0" w:after="0" w:afterAutospacing="0" w:line="420" w:lineRule="exact"/>
              <w:ind w:left="0" w:right="0" w:firstLine="720" w:firstLineChars="300"/>
              <w:rPr>
                <w:rFonts w:hint="default" w:ascii="Times New Roman" w:hAnsi="Times New Roman" w:eastAsia="Times New Roman" w:cs="Times New Roman"/>
                <w:color w:val="auto"/>
                <w:sz w:val="24"/>
                <w:szCs w:val="24"/>
              </w:rPr>
            </w:pPr>
            <w:r>
              <w:rPr>
                <w:rFonts w:hint="default" w:ascii="Times New Roman" w:hAnsi="Times New Roman" w:eastAsia="宋体" w:cs="Times New Roman"/>
                <w:color w:val="auto"/>
                <w:sz w:val="24"/>
                <w:szCs w:val="24"/>
              </w:rPr>
              <w:t>W——罩口长度，m；</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B——罩口宽度，m；</w:t>
            </w:r>
          </w:p>
          <w:p>
            <w:pPr>
              <w:keepNext w:val="0"/>
              <w:keepLines w:val="0"/>
              <w:widowControl/>
              <w:suppressLineNumbers w:val="0"/>
              <w:spacing w:before="0" w:beforeAutospacing="0" w:after="0" w:afterAutospacing="0" w:line="420" w:lineRule="exact"/>
              <w:ind w:left="0" w:right="0" w:firstLine="720" w:firstLineChars="300"/>
              <w:rPr>
                <w:rFonts w:hint="default" w:ascii="Times New Roman" w:hAnsi="Times New Roman" w:eastAsia="Times New Roman" w:cs="Times New Roman"/>
                <w:color w:val="auto"/>
                <w:sz w:val="24"/>
                <w:szCs w:val="24"/>
              </w:rPr>
            </w:pPr>
            <w:r>
              <w:rPr>
                <w:rFonts w:hint="default" w:ascii="Times New Roman" w:hAnsi="Times New Roman" w:eastAsia="宋体" w:cs="Times New Roman"/>
                <w:color w:val="auto"/>
                <w:sz w:val="24"/>
                <w:szCs w:val="24"/>
              </w:rPr>
              <w:t>H——污染源至罩口距离，m；</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Vx——集气罩开口面吸入速度，m/s。</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经计算，集气罩1排气量计算结果见</w:t>
            </w:r>
            <w:r>
              <w:rPr>
                <w:rFonts w:hint="default" w:ascii="Times New Roman" w:hAnsi="Times New Roman" w:eastAsia="宋体" w:cs="Times New Roman"/>
                <w:color w:val="auto"/>
                <w:sz w:val="24"/>
                <w:szCs w:val="22"/>
              </w:rPr>
              <w:t>表4.2-</w:t>
            </w:r>
            <w:r>
              <w:rPr>
                <w:rFonts w:hint="default"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rPr>
              <w:t>2</w:t>
            </w:r>
            <w:r>
              <w:rPr>
                <w:rFonts w:hint="default" w:ascii="Times New Roman" w:hAnsi="Times New Roman" w:eastAsia="宋体" w:cs="Times New Roman"/>
                <w:color w:val="auto"/>
                <w:sz w:val="24"/>
                <w:szCs w:val="24"/>
              </w:rPr>
              <w:t>。</w:t>
            </w:r>
          </w:p>
          <w:p>
            <w:pPr>
              <w:keepNext w:val="0"/>
              <w:keepLines w:val="0"/>
              <w:widowControl/>
              <w:suppressLineNumbers w:val="0"/>
              <w:spacing w:before="0" w:beforeAutospacing="0" w:after="0" w:afterAutospacing="0" w:line="420" w:lineRule="exact"/>
              <w:ind w:left="0" w:right="0" w:firstLine="481"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表4.2-</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2各</w:t>
            </w:r>
            <w:r>
              <w:rPr>
                <w:rFonts w:hint="default" w:ascii="Times New Roman" w:hAnsi="Times New Roman" w:eastAsia="宋体" w:cs="Times New Roman"/>
                <w:b/>
                <w:color w:val="auto"/>
                <w:sz w:val="24"/>
                <w:szCs w:val="24"/>
              </w:rPr>
              <w:t>集气罩计算排气量计算结果和设计排气量</w:t>
            </w:r>
          </w:p>
          <w:tbl>
            <w:tblPr>
              <w:tblStyle w:val="30"/>
              <w:tblW w:w="85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64"/>
              <w:gridCol w:w="1877"/>
              <w:gridCol w:w="627"/>
              <w:gridCol w:w="616"/>
              <w:gridCol w:w="675"/>
              <w:gridCol w:w="572"/>
              <w:gridCol w:w="1296"/>
              <w:gridCol w:w="750"/>
              <w:gridCol w:w="1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rPr>
              <w:tc>
                <w:tcPr>
                  <w:tcW w:w="10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排气筒编号</w:t>
                  </w: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集气罩编号</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长/m</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宽/m</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Vx</w:t>
                  </w:r>
                </w:p>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Times New Roman" w:cs="Times New Roman"/>
                      <w:color w:val="auto"/>
                      <w:kern w:val="2"/>
                      <w:sz w:val="21"/>
                      <w:szCs w:val="21"/>
                    </w:rPr>
                    <w:t>(m/s)</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H/m</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计算排气量（m³/h）</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数量（台）</w:t>
                  </w:r>
                </w:p>
              </w:tc>
              <w:tc>
                <w:tcPr>
                  <w:tcW w:w="11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设计风量（m³/h）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restart"/>
                  <w:tcBorders>
                    <w:top w:val="single" w:color="000000" w:sz="4" w:space="0"/>
                    <w:left w:val="single" w:color="000000" w:sz="4" w:space="0"/>
                    <w:bottom w:val="nil"/>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1#排气筒</w:t>
                  </w: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卧式注塑机</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0.6</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0.4</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1.2</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eastAsia="zh-CN"/>
                    </w:rPr>
                  </w:pPr>
                  <w:r>
                    <w:rPr>
                      <w:rFonts w:hint="default" w:ascii="Times New Roman" w:hAnsi="Times New Roman" w:eastAsia="宋体"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6</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1296</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12</w:t>
                  </w:r>
                </w:p>
              </w:tc>
              <w:tc>
                <w:tcPr>
                  <w:tcW w:w="1106" w:type="dxa"/>
                  <w:vMerge w:val="restart"/>
                  <w:tcBorders>
                    <w:top w:val="single" w:color="000000" w:sz="4" w:space="0"/>
                    <w:left w:val="single" w:color="000000" w:sz="4" w:space="0"/>
                    <w:bottom w:val="nil"/>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continue"/>
                  <w:tcBorders>
                    <w:top w:val="nil"/>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立式注塑机</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0.5</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0.3</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1.2</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eastAsia="zh-CN"/>
                    </w:rPr>
                  </w:pPr>
                  <w:r>
                    <w:rPr>
                      <w:rFonts w:hint="default" w:ascii="Times New Roman" w:hAnsi="Times New Roman" w:eastAsia="宋体"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6</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1037</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2</w:t>
                  </w:r>
                </w:p>
              </w:tc>
              <w:tc>
                <w:tcPr>
                  <w:tcW w:w="1106" w:type="dxa"/>
                  <w:vMerge w:val="continue"/>
                  <w:tcBorders>
                    <w:top w:val="nil"/>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restart"/>
                  <w:tcBorders>
                    <w:top w:val="single" w:color="000000" w:sz="4" w:space="0"/>
                    <w:left w:val="single" w:color="000000" w:sz="4" w:space="0"/>
                    <w:bottom w:val="nil"/>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2#排气筒</w:t>
                  </w: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解包配料</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1.2</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0.5</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1.2</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0.3</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1</w:t>
                  </w:r>
                  <w:r>
                    <w:rPr>
                      <w:rFonts w:hint="default" w:ascii="Times New Roman" w:hAnsi="Times New Roman" w:eastAsia="宋体" w:cs="Times New Roman"/>
                      <w:color w:val="auto"/>
                      <w:kern w:val="2"/>
                      <w:sz w:val="21"/>
                      <w:szCs w:val="21"/>
                      <w:lang w:val="en-US" w:eastAsia="zh-CN"/>
                    </w:rPr>
                    <w:t>684</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1</w:t>
                  </w:r>
                </w:p>
              </w:tc>
              <w:tc>
                <w:tcPr>
                  <w:tcW w:w="1106" w:type="dxa"/>
                  <w:vMerge w:val="restart"/>
                  <w:tcBorders>
                    <w:top w:val="single" w:color="000000" w:sz="4" w:space="0"/>
                    <w:left w:val="single" w:color="000000" w:sz="4" w:space="0"/>
                    <w:bottom w:val="nil"/>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3</w:t>
                  </w:r>
                  <w:r>
                    <w:rPr>
                      <w:rFonts w:hint="default" w:ascii="Times New Roman" w:hAnsi="Times New Roman" w:eastAsia="宋体" w:cs="Times New Roman"/>
                      <w:color w:val="auto"/>
                      <w:kern w:val="2"/>
                      <w:sz w:val="21"/>
                      <w:szCs w:val="21"/>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continue"/>
                  <w:tcBorders>
                    <w:top w:val="nil"/>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配料输送系统</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Times New Roman" w:cs="Times New Roman"/>
                      <w:color w:val="auto"/>
                      <w:kern w:val="2"/>
                      <w:sz w:val="21"/>
                      <w:szCs w:val="21"/>
                    </w:rPr>
                    <w:t>1</w:t>
                  </w:r>
                  <w:r>
                    <w:rPr>
                      <w:rFonts w:hint="default" w:ascii="Times New Roman" w:hAnsi="Times New Roman" w:eastAsia="宋体" w:cs="Times New Roman"/>
                      <w:color w:val="auto"/>
                      <w:kern w:val="2"/>
                      <w:sz w:val="21"/>
                      <w:szCs w:val="21"/>
                      <w:lang w:val="en-US" w:eastAsia="zh-CN"/>
                    </w:rPr>
                    <w:t>.2</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Times New Roman"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5</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1.2</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0.3</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1</w:t>
                  </w:r>
                  <w:r>
                    <w:rPr>
                      <w:rFonts w:hint="default" w:ascii="Times New Roman" w:hAnsi="Times New Roman" w:eastAsia="宋体" w:cs="Times New Roman"/>
                      <w:color w:val="auto"/>
                      <w:kern w:val="2"/>
                      <w:sz w:val="21"/>
                      <w:szCs w:val="21"/>
                      <w:lang w:val="en-US" w:eastAsia="zh-CN"/>
                    </w:rPr>
                    <w:t>684</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w:t>
                  </w:r>
                </w:p>
              </w:tc>
              <w:tc>
                <w:tcPr>
                  <w:tcW w:w="1106" w:type="dxa"/>
                  <w:vMerge w:val="continue"/>
                  <w:tcBorders>
                    <w:top w:val="nil"/>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restart"/>
                  <w:tcBorders>
                    <w:top w:val="single" w:color="000000" w:sz="4" w:space="0"/>
                    <w:left w:val="single" w:color="000000" w:sz="4" w:space="0"/>
                    <w:bottom w:val="nil"/>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3#排气筒</w:t>
                  </w: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捏炼机75升</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0.8</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0.6</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eastAsia="zh-CN"/>
                    </w:rPr>
                  </w:pPr>
                  <w:r>
                    <w:rPr>
                      <w:rFonts w:hint="default" w:ascii="Times New Roman" w:hAnsi="Times New Roman" w:eastAsia="Times New Roman" w:cs="Times New Roman"/>
                      <w:color w:val="auto"/>
                      <w:kern w:val="2"/>
                      <w:sz w:val="21"/>
                      <w:szCs w:val="21"/>
                    </w:rPr>
                    <w:t>1.2</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6</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1555</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1</w:t>
                  </w:r>
                </w:p>
              </w:tc>
              <w:tc>
                <w:tcPr>
                  <w:tcW w:w="1106" w:type="dxa"/>
                  <w:vMerge w:val="restart"/>
                  <w:tcBorders>
                    <w:top w:val="single" w:color="000000" w:sz="4" w:space="0"/>
                    <w:left w:val="single" w:color="000000" w:sz="4" w:space="0"/>
                    <w:bottom w:val="nil"/>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en-US" w:eastAsia="zh-CN"/>
                    </w:rPr>
                    <w:t>285</w:t>
                  </w:r>
                  <w:r>
                    <w:rPr>
                      <w:rFonts w:hint="default" w:ascii="Times New Roman" w:hAnsi="Times New Roman" w:eastAsia="宋体" w:cs="Times New Roman"/>
                      <w:color w:val="auto"/>
                      <w:kern w:val="2"/>
                      <w:sz w:val="21"/>
                      <w:szCs w:val="21"/>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continue"/>
                  <w:tcBorders>
                    <w:top w:val="nil"/>
                    <w:left w:val="single" w:color="000000" w:sz="4" w:space="0"/>
                    <w:bottom w:val="nil"/>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捏炼机55升</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0.8</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0.6</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eastAsia="zh-CN"/>
                    </w:rPr>
                  </w:pPr>
                  <w:r>
                    <w:rPr>
                      <w:rFonts w:hint="default" w:ascii="Times New Roman" w:hAnsi="Times New Roman" w:eastAsia="Times New Roman" w:cs="Times New Roman"/>
                      <w:color w:val="auto"/>
                      <w:kern w:val="2"/>
                      <w:sz w:val="21"/>
                      <w:szCs w:val="21"/>
                    </w:rPr>
                    <w:t>1.2</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6</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1555</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1</w:t>
                  </w:r>
                </w:p>
              </w:tc>
              <w:tc>
                <w:tcPr>
                  <w:tcW w:w="1106" w:type="dxa"/>
                  <w:vMerge w:val="continue"/>
                  <w:tcBorders>
                    <w:top w:val="nil"/>
                    <w:left w:val="single" w:color="000000" w:sz="4" w:space="0"/>
                    <w:bottom w:val="nil"/>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continue"/>
                  <w:tcBorders>
                    <w:top w:val="nil"/>
                    <w:left w:val="single" w:color="000000" w:sz="4" w:space="0"/>
                    <w:bottom w:val="nil"/>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开炼机18吋</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1.2</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0.8</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eastAsia="zh-CN"/>
                    </w:rPr>
                  </w:pPr>
                  <w:r>
                    <w:rPr>
                      <w:rFonts w:hint="default" w:ascii="Times New Roman" w:hAnsi="Times New Roman" w:eastAsia="Times New Roman" w:cs="Times New Roman"/>
                      <w:color w:val="auto"/>
                      <w:kern w:val="2"/>
                      <w:sz w:val="21"/>
                      <w:szCs w:val="21"/>
                    </w:rPr>
                    <w:t>1.2</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6</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5184</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1</w:t>
                  </w:r>
                </w:p>
              </w:tc>
              <w:tc>
                <w:tcPr>
                  <w:tcW w:w="1106" w:type="dxa"/>
                  <w:vMerge w:val="continue"/>
                  <w:tcBorders>
                    <w:top w:val="nil"/>
                    <w:left w:val="single" w:color="000000" w:sz="4" w:space="0"/>
                    <w:bottom w:val="nil"/>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continue"/>
                  <w:tcBorders>
                    <w:top w:val="nil"/>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开炼机16吋</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1.2</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0.8</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Times New Roman" w:cs="Times New Roman"/>
                      <w:color w:val="auto"/>
                      <w:kern w:val="2"/>
                      <w:sz w:val="21"/>
                      <w:szCs w:val="21"/>
                    </w:rPr>
                    <w:t>1.2</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6</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5184</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4</w:t>
                  </w:r>
                </w:p>
              </w:tc>
              <w:tc>
                <w:tcPr>
                  <w:tcW w:w="1106" w:type="dxa"/>
                  <w:vMerge w:val="continue"/>
                  <w:tcBorders>
                    <w:top w:val="nil"/>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restart"/>
                  <w:tcBorders>
                    <w:top w:val="single" w:color="000000" w:sz="4" w:space="0"/>
                    <w:left w:val="single" w:color="000000" w:sz="4" w:space="0"/>
                    <w:bottom w:val="nil"/>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4#排气筒</w:t>
                  </w: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注射成型机300吨</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0.6</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0.4</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6</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972</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24</w:t>
                  </w:r>
                </w:p>
              </w:tc>
              <w:tc>
                <w:tcPr>
                  <w:tcW w:w="1106" w:type="dxa"/>
                  <w:vMerge w:val="restart"/>
                  <w:tcBorders>
                    <w:top w:val="single" w:color="000000" w:sz="4" w:space="0"/>
                    <w:left w:val="single" w:color="000000" w:sz="4" w:space="0"/>
                    <w:bottom w:val="nil"/>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lang w:val="en-US" w:eastAsia="zh-CN"/>
                    </w:rPr>
                    <w:t>45</w:t>
                  </w:r>
                  <w:r>
                    <w:rPr>
                      <w:rFonts w:hint="default" w:ascii="Times New Roman" w:hAnsi="Times New Roman" w:eastAsia="宋体" w:cs="Times New Roman"/>
                      <w:color w:val="auto"/>
                      <w:kern w:val="2"/>
                      <w:sz w:val="21"/>
                      <w:szCs w:val="21"/>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continue"/>
                  <w:tcBorders>
                    <w:top w:val="nil"/>
                    <w:left w:val="single" w:color="000000" w:sz="4" w:space="0"/>
                    <w:bottom w:val="nil"/>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平板成型机100吨</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0.5</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0.3</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6</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756</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14</w:t>
                  </w:r>
                </w:p>
              </w:tc>
              <w:tc>
                <w:tcPr>
                  <w:tcW w:w="1106" w:type="dxa"/>
                  <w:vMerge w:val="continue"/>
                  <w:tcBorders>
                    <w:top w:val="nil"/>
                    <w:left w:val="single" w:color="000000" w:sz="4" w:space="0"/>
                    <w:bottom w:val="nil"/>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vMerge w:val="continue"/>
                  <w:tcBorders>
                    <w:top w:val="nil"/>
                    <w:left w:val="single" w:color="000000" w:sz="4" w:space="0"/>
                    <w:bottom w:val="nil"/>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平板成型机250吨</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0.5</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0.3</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pt-BR"/>
                    </w:rPr>
                  </w:pPr>
                  <w:r>
                    <w:rPr>
                      <w:rFonts w:hint="default" w:ascii="Times New Roman" w:hAnsi="Times New Roman" w:eastAsia="Times New Roman" w:cs="Times New Roman"/>
                      <w:color w:val="auto"/>
                      <w:kern w:val="2"/>
                      <w:sz w:val="21"/>
                      <w:szCs w:val="21"/>
                    </w:rPr>
                    <w:t>1</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0.</w:t>
                  </w:r>
                  <w:r>
                    <w:rPr>
                      <w:rFonts w:hint="default" w:ascii="Times New Roman" w:hAnsi="Times New Roman" w:eastAsia="宋体" w:cs="Times New Roman"/>
                      <w:color w:val="auto"/>
                      <w:kern w:val="2"/>
                      <w:sz w:val="21"/>
                      <w:szCs w:val="21"/>
                      <w:lang w:val="en-US" w:eastAsia="zh-CN"/>
                    </w:rPr>
                    <w:t>6</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756</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r>
                    <w:rPr>
                      <w:rFonts w:hint="default" w:ascii="Times New Roman" w:hAnsi="Times New Roman" w:eastAsia="宋体" w:cs="Times New Roman"/>
                      <w:color w:val="auto"/>
                      <w:kern w:val="2"/>
                      <w:sz w:val="21"/>
                      <w:szCs w:val="21"/>
                    </w:rPr>
                    <w:t>12</w:t>
                  </w:r>
                </w:p>
              </w:tc>
              <w:tc>
                <w:tcPr>
                  <w:tcW w:w="1106" w:type="dxa"/>
                  <w:vMerge w:val="continue"/>
                  <w:tcBorders>
                    <w:top w:val="nil"/>
                    <w:left w:val="single" w:color="000000" w:sz="4" w:space="0"/>
                    <w:bottom w:val="nil"/>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4" w:type="dxa"/>
                  <w:tcBorders>
                    <w:top w:val="nil"/>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4#排气筒</w:t>
                  </w:r>
                </w:p>
              </w:tc>
              <w:tc>
                <w:tcPr>
                  <w:tcW w:w="18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eastAsia="zh-CN"/>
                    </w:rPr>
                  </w:pPr>
                  <w:r>
                    <w:rPr>
                      <w:rFonts w:hint="default" w:ascii="Times New Roman" w:hAnsi="Times New Roman" w:eastAsia="Times New Roman" w:cs="Times New Roman"/>
                      <w:color w:val="auto"/>
                      <w:kern w:val="2"/>
                      <w:sz w:val="21"/>
                      <w:szCs w:val="21"/>
                      <w:lang w:eastAsia="zh-CN"/>
                    </w:rPr>
                    <w:t>裁切机、梳理机等</w:t>
                  </w:r>
                </w:p>
              </w:tc>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lang w:val="en-US" w:eastAsia="zh-CN"/>
                    </w:rPr>
                    <w:t>1.2</w:t>
                  </w:r>
                </w:p>
              </w:tc>
              <w:tc>
                <w:tcPr>
                  <w:tcW w:w="6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lang w:val="en-US" w:eastAsia="zh-CN"/>
                    </w:rPr>
                    <w:t>0.3</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en-US" w:eastAsia="zh-CN"/>
                    </w:rPr>
                  </w:pPr>
                  <w:r>
                    <w:rPr>
                      <w:rFonts w:hint="default" w:ascii="Times New Roman" w:hAnsi="Times New Roman" w:eastAsia="Times New Roman" w:cs="Times New Roman"/>
                      <w:color w:val="auto"/>
                      <w:kern w:val="2"/>
                      <w:sz w:val="21"/>
                      <w:szCs w:val="21"/>
                      <w:lang w:val="en-US" w:eastAsia="zh-CN"/>
                    </w:rPr>
                    <w:t>1.2</w:t>
                  </w:r>
                </w:p>
              </w:tc>
              <w:tc>
                <w:tcPr>
                  <w:tcW w:w="572"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Times New Roman" w:cs="Times New Roman"/>
                      <w:color w:val="auto"/>
                      <w:kern w:val="2"/>
                      <w:sz w:val="21"/>
                      <w:szCs w:val="21"/>
                      <w:lang w:val="en-US" w:eastAsia="zh-CN"/>
                    </w:rPr>
                  </w:pPr>
                  <w:r>
                    <w:rPr>
                      <w:rFonts w:hint="default" w:ascii="Times New Roman" w:hAnsi="Times New Roman" w:eastAsia="Times New Roman" w:cs="Times New Roman"/>
                      <w:color w:val="auto"/>
                      <w:kern w:val="2"/>
                      <w:sz w:val="21"/>
                      <w:szCs w:val="21"/>
                      <w:lang w:val="en-US" w:eastAsia="zh-CN"/>
                    </w:rPr>
                    <w:t>0.3</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1684</w:t>
                  </w:r>
                </w:p>
              </w:tc>
              <w:tc>
                <w:tcPr>
                  <w:tcW w:w="750" w:type="dxa"/>
                  <w:tcBorders>
                    <w:top w:val="single" w:color="000000" w:sz="4" w:space="0"/>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w:t>
                  </w:r>
                </w:p>
              </w:tc>
              <w:tc>
                <w:tcPr>
                  <w:tcW w:w="1106" w:type="dxa"/>
                  <w:tcBorders>
                    <w:top w:val="nil"/>
                    <w:left w:val="single" w:color="000000" w:sz="4" w:space="0"/>
                    <w:bottom w:val="single" w:color="000000" w:sz="4" w:space="0"/>
                    <w:right w:val="single" w:color="000000" w:sz="4" w:space="0"/>
                    <w:tl2br w:val="nil"/>
                    <w:tr2bl w:val="nil"/>
                  </w:tcBorders>
                  <w:noWrap/>
                  <w:vAlign w:val="center"/>
                </w:tcPr>
                <w:p>
                  <w:pPr>
                    <w:keepNext w:val="0"/>
                    <w:keepLines w:val="0"/>
                    <w:widowControl/>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12800</w:t>
                  </w:r>
                </w:p>
              </w:tc>
            </w:tr>
          </w:tbl>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本项目拟在</w:t>
            </w:r>
            <w:r>
              <w:rPr>
                <w:rFonts w:hint="default" w:ascii="Times New Roman" w:hAnsi="Times New Roman" w:eastAsia="宋体" w:cs="Times New Roman"/>
                <w:color w:val="auto"/>
                <w:sz w:val="24"/>
                <w:szCs w:val="24"/>
              </w:rPr>
              <w:t>开炼机、密炼机、成型机、进料口</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配料输送系统</w:t>
            </w:r>
            <w:r>
              <w:rPr>
                <w:rFonts w:hint="default" w:ascii="Times New Roman" w:hAnsi="Times New Roman" w:eastAsia="宋体" w:cs="Times New Roman"/>
                <w:color w:val="auto"/>
                <w:kern w:val="2"/>
                <w:sz w:val="24"/>
                <w:szCs w:val="24"/>
                <w:lang w:eastAsia="zh-CN"/>
              </w:rPr>
              <w:t>、裁切机、梳理机等</w:t>
            </w:r>
            <w:r>
              <w:rPr>
                <w:rFonts w:hint="default" w:ascii="Times New Roman" w:hAnsi="Times New Roman" w:eastAsia="宋体" w:cs="Times New Roman"/>
                <w:color w:val="auto"/>
                <w:sz w:val="24"/>
                <w:szCs w:val="24"/>
              </w:rPr>
              <w:t>上方分别设置集气罩，</w:t>
            </w:r>
            <w:r>
              <w:rPr>
                <w:rFonts w:hint="default" w:ascii="Times New Roman" w:hAnsi="Times New Roman" w:eastAsia="宋体" w:cs="Times New Roman"/>
                <w:color w:val="auto"/>
                <w:kern w:val="2"/>
                <w:sz w:val="24"/>
                <w:szCs w:val="24"/>
              </w:rPr>
              <w:t>满负荷生产时，能够满足废气《挥发性有机物无组织排放控制标准》（GB37822-</w:t>
            </w:r>
            <w:r>
              <w:rPr>
                <w:rFonts w:hint="default" w:ascii="Times New Roman" w:hAnsi="Times New Roman" w:eastAsia="Times New Roman" w:cs="Times New Roman"/>
                <w:color w:val="auto"/>
                <w:kern w:val="2"/>
                <w:sz w:val="24"/>
                <w:szCs w:val="24"/>
              </w:rPr>
              <w:t>2019</w:t>
            </w:r>
            <w:r>
              <w:rPr>
                <w:rFonts w:hint="default" w:ascii="Times New Roman" w:hAnsi="Times New Roman" w:eastAsia="宋体" w:cs="Times New Roman"/>
                <w:color w:val="auto"/>
                <w:kern w:val="2"/>
                <w:sz w:val="24"/>
                <w:szCs w:val="24"/>
              </w:rPr>
              <w:t>）中废气收集系统要求。</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综上所述，本项目废气收集措施均能够满足《挥发性有机物无组织排放控制标准》（GB37822-2019）中废气收集系统要求，收集措施有效可行。</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2、废气处理措施有效性分析</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b/>
                <w:color w:val="auto"/>
                <w:sz w:val="21"/>
                <w:szCs w:val="21"/>
              </w:rPr>
            </w:pPr>
            <w:r>
              <w:rPr>
                <w:rFonts w:hint="default" w:ascii="Times New Roman" w:hAnsi="Times New Roman" w:eastAsia="宋体" w:cs="Times New Roman"/>
                <w:color w:val="auto"/>
                <w:sz w:val="24"/>
                <w:szCs w:val="24"/>
              </w:rPr>
              <w:t>参照HJ971-2018《排污许可证申请与核发技术规范  汽车制造业》、HJ1122-2020《排污许可证申请与核发技术规范  橡胶和塑料制品工业》，废气污染防治可行技术参考及项目可行性分析见表4.2-1</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pPr>
              <w:keepNext w:val="0"/>
              <w:keepLines w:val="0"/>
              <w:widowControl/>
              <w:suppressLineNumbers w:val="0"/>
              <w:spacing w:before="0" w:beforeAutospacing="0" w:after="0" w:afterAutospacing="0" w:line="420" w:lineRule="exact"/>
              <w:ind w:left="0" w:right="0"/>
              <w:jc w:val="center"/>
              <w:rPr>
                <w:rFonts w:hint="default" w:ascii="Times New Roman" w:hAnsi="Times New Roman" w:eastAsia="Times New Roman" w:cs="Times New Roman"/>
                <w:b/>
                <w:color w:val="auto"/>
                <w:sz w:val="24"/>
                <w:szCs w:val="24"/>
              </w:rPr>
            </w:pPr>
            <w:r>
              <w:rPr>
                <w:rFonts w:hint="default" w:ascii="Times New Roman" w:hAnsi="Times New Roman" w:eastAsia="宋体" w:cs="Times New Roman"/>
                <w:b/>
                <w:color w:val="auto"/>
                <w:sz w:val="24"/>
                <w:szCs w:val="24"/>
              </w:rPr>
              <w:t>表4.2-1</w:t>
            </w: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参考的废气污染防治可行技术及项目可行性分析</w:t>
            </w:r>
          </w:p>
          <w:tbl>
            <w:tblPr>
              <w:tblStyle w:val="30"/>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097"/>
              <w:gridCol w:w="1275"/>
              <w:gridCol w:w="2730"/>
              <w:gridCol w:w="2790"/>
              <w:gridCol w:w="6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7" w:type="dxa"/>
                  <w:tcBorders>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产排污环节</w:t>
                  </w:r>
                </w:p>
              </w:tc>
              <w:tc>
                <w:tcPr>
                  <w:tcW w:w="1275" w:type="dxa"/>
                  <w:tcBorders>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污染物种类</w:t>
                  </w:r>
                </w:p>
              </w:tc>
              <w:tc>
                <w:tcPr>
                  <w:tcW w:w="2730" w:type="dxa"/>
                  <w:tcBorders>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可行技术</w:t>
                  </w:r>
                </w:p>
              </w:tc>
              <w:tc>
                <w:tcPr>
                  <w:tcW w:w="2790" w:type="dxa"/>
                  <w:tcBorders>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项目情况</w:t>
                  </w:r>
                </w:p>
              </w:tc>
              <w:tc>
                <w:tcPr>
                  <w:tcW w:w="612" w:type="dxa"/>
                  <w:tcBorders>
                    <w:left w:val="single" w:color="auto" w:sz="6" w:space="0"/>
                    <w:bottom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w:t>
                  </w:r>
                </w:p>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可行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7" w:type="dxa"/>
                  <w:tcBorders>
                    <w:top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注塑废气</w:t>
                  </w:r>
                </w:p>
              </w:tc>
              <w:tc>
                <w:tcPr>
                  <w:tcW w:w="127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p>
              </w:tc>
              <w:tc>
                <w:tcPr>
                  <w:tcW w:w="2730"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790"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w:t>
                  </w:r>
                  <w:r>
                    <w:rPr>
                      <w:rFonts w:hint="default" w:ascii="Times New Roman" w:hAnsi="Times New Roman" w:eastAsia="宋体" w:cs="Times New Roman"/>
                      <w:color w:val="auto"/>
                      <w:sz w:val="21"/>
                      <w:szCs w:val="21"/>
                      <w:lang w:val="en-US" w:eastAsia="zh-CN"/>
                    </w:rPr>
                    <w:t>二级</w:t>
                  </w:r>
                  <w:r>
                    <w:rPr>
                      <w:rFonts w:hint="default" w:ascii="Times New Roman" w:hAnsi="Times New Roman" w:eastAsia="宋体" w:cs="Times New Roman"/>
                      <w:color w:val="auto"/>
                      <w:sz w:val="21"/>
                      <w:szCs w:val="21"/>
                    </w:rPr>
                    <w:t>活性炭吸附</w:t>
                  </w:r>
                  <w:r>
                    <w:rPr>
                      <w:rFonts w:hint="default" w:ascii="Times New Roman" w:hAnsi="Times New Roman" w:eastAsia="宋体" w:cs="Times New Roman"/>
                      <w:color w:val="auto"/>
                      <w:sz w:val="21"/>
                      <w:szCs w:val="21"/>
                      <w:lang w:bidi="ar"/>
                    </w:rPr>
                    <w:t>+25m高排气筒</w:t>
                  </w:r>
                  <w:r>
                    <w:rPr>
                      <w:rFonts w:hint="default" w:ascii="Times New Roman" w:hAnsi="Times New Roman" w:eastAsia="宋体" w:cs="Times New Roman"/>
                      <w:color w:val="auto"/>
                      <w:sz w:val="21"/>
                      <w:szCs w:val="21"/>
                    </w:rPr>
                    <w:t>（编号：DA001）</w:t>
                  </w:r>
                </w:p>
              </w:tc>
              <w:tc>
                <w:tcPr>
                  <w:tcW w:w="612" w:type="dxa"/>
                  <w:tcBorders>
                    <w:top w:val="single" w:color="auto" w:sz="6" w:space="0"/>
                    <w:left w:val="single" w:color="auto" w:sz="6" w:space="0"/>
                    <w:bottom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7" w:type="dxa"/>
                  <w:tcBorders>
                    <w:top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配料、投料废气</w:t>
                  </w:r>
                </w:p>
              </w:tc>
              <w:tc>
                <w:tcPr>
                  <w:tcW w:w="127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730"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袋式除尘；滤筒/滤芯除尘</w:t>
                  </w:r>
                </w:p>
              </w:tc>
              <w:tc>
                <w:tcPr>
                  <w:tcW w:w="2790"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集气罩+袋式除尘</w:t>
                  </w:r>
                  <w:r>
                    <w:rPr>
                      <w:rFonts w:hint="default" w:ascii="Times New Roman" w:hAnsi="Times New Roman" w:eastAsia="宋体" w:cs="Times New Roman"/>
                      <w:color w:val="auto"/>
                      <w:sz w:val="21"/>
                      <w:szCs w:val="21"/>
                      <w:lang w:bidi="ar"/>
                    </w:rPr>
                    <w:t>+25m高排气筒</w:t>
                  </w:r>
                  <w:r>
                    <w:rPr>
                      <w:rFonts w:hint="default" w:ascii="Times New Roman" w:hAnsi="Times New Roman" w:eastAsia="宋体" w:cs="Times New Roman"/>
                      <w:color w:val="auto"/>
                      <w:sz w:val="21"/>
                      <w:szCs w:val="21"/>
                    </w:rPr>
                    <w:t>（编号：DA002）</w:t>
                  </w:r>
                </w:p>
              </w:tc>
              <w:tc>
                <w:tcPr>
                  <w:tcW w:w="612" w:type="dxa"/>
                  <w:tcBorders>
                    <w:top w:val="single" w:color="auto" w:sz="6" w:space="0"/>
                    <w:left w:val="single" w:color="auto" w:sz="6" w:space="0"/>
                    <w:bottom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7" w:type="dxa"/>
                  <w:vMerge w:val="restart"/>
                  <w:tcBorders>
                    <w:top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炼胶废气</w:t>
                  </w:r>
                </w:p>
              </w:tc>
              <w:tc>
                <w:tcPr>
                  <w:tcW w:w="127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颗粒物</w:t>
                  </w:r>
                </w:p>
              </w:tc>
              <w:tc>
                <w:tcPr>
                  <w:tcW w:w="2730"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袋式除尘；滤筒/滤芯除尘</w:t>
                  </w:r>
                </w:p>
              </w:tc>
              <w:tc>
                <w:tcPr>
                  <w:tcW w:w="2790"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集气罩+袋式除尘</w:t>
                  </w:r>
                  <w:r>
                    <w:rPr>
                      <w:rFonts w:hint="default" w:ascii="Times New Roman" w:hAnsi="Times New Roman" w:eastAsia="宋体" w:cs="Times New Roman"/>
                      <w:color w:val="auto"/>
                      <w:sz w:val="21"/>
                      <w:szCs w:val="21"/>
                      <w:lang w:bidi="ar"/>
                    </w:rPr>
                    <w:t>+</w:t>
                  </w:r>
                  <w:r>
                    <w:rPr>
                      <w:rFonts w:hint="default" w:ascii="Times New Roman" w:hAnsi="Times New Roman" w:eastAsia="宋体" w:cs="Times New Roman"/>
                      <w:color w:val="auto"/>
                      <w:sz w:val="21"/>
                      <w:szCs w:val="21"/>
                      <w:lang w:val="en-US" w:eastAsia="zh-CN"/>
                    </w:rPr>
                    <w:t>二级</w:t>
                  </w:r>
                  <w:r>
                    <w:rPr>
                      <w:rFonts w:hint="default" w:ascii="Times New Roman" w:hAnsi="Times New Roman" w:eastAsia="宋体" w:cs="Times New Roman"/>
                      <w:color w:val="auto"/>
                      <w:sz w:val="21"/>
                      <w:szCs w:val="21"/>
                    </w:rPr>
                    <w:t>活性炭吸附</w:t>
                  </w:r>
                  <w:r>
                    <w:rPr>
                      <w:rFonts w:hint="default" w:ascii="Times New Roman" w:hAnsi="Times New Roman" w:eastAsia="宋体" w:cs="Times New Roman"/>
                      <w:color w:val="auto"/>
                      <w:sz w:val="21"/>
                      <w:szCs w:val="21"/>
                      <w:lang w:bidi="ar"/>
                    </w:rPr>
                    <w:t>+25m高排气筒</w:t>
                  </w:r>
                  <w:r>
                    <w:rPr>
                      <w:rFonts w:hint="default" w:ascii="Times New Roman" w:hAnsi="Times New Roman" w:eastAsia="宋体" w:cs="Times New Roman"/>
                      <w:color w:val="auto"/>
                      <w:sz w:val="21"/>
                      <w:szCs w:val="21"/>
                    </w:rPr>
                    <w:t>（编号：DA003）</w:t>
                  </w:r>
                </w:p>
              </w:tc>
              <w:tc>
                <w:tcPr>
                  <w:tcW w:w="612" w:type="dxa"/>
                  <w:vMerge w:val="restart"/>
                  <w:tcBorders>
                    <w:top w:val="single" w:color="auto" w:sz="6" w:space="0"/>
                    <w:left w:val="single" w:color="auto" w:sz="6" w:space="0"/>
                    <w:bottom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7" w:type="dxa"/>
                  <w:vMerge w:val="continue"/>
                  <w:tcBorders>
                    <w:top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p>
              </w:tc>
              <w:tc>
                <w:tcPr>
                  <w:tcW w:w="127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非甲烷总烃</w:t>
                  </w:r>
                </w:p>
              </w:tc>
              <w:tc>
                <w:tcPr>
                  <w:tcW w:w="2730"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w:t>
                  </w:r>
                </w:p>
              </w:tc>
              <w:tc>
                <w:tcPr>
                  <w:tcW w:w="2790"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p>
              </w:tc>
              <w:tc>
                <w:tcPr>
                  <w:tcW w:w="612" w:type="dxa"/>
                  <w:vMerge w:val="continue"/>
                  <w:tcBorders>
                    <w:top w:val="single" w:color="auto" w:sz="6" w:space="0"/>
                    <w:left w:val="single" w:color="auto" w:sz="6" w:space="0"/>
                    <w:bottom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7" w:type="dxa"/>
                  <w:vMerge w:val="continue"/>
                  <w:tcBorders>
                    <w:top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p>
              </w:tc>
              <w:tc>
                <w:tcPr>
                  <w:tcW w:w="127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臭气浓度、</w:t>
                  </w:r>
                </w:p>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恶臭特征物质</w:t>
                  </w:r>
                </w:p>
              </w:tc>
              <w:tc>
                <w:tcPr>
                  <w:tcW w:w="2730"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喷淋、吸附、低温等离子体、UV光氧化/光催化、生物法两种及以上组合技术</w:t>
                  </w:r>
                </w:p>
              </w:tc>
              <w:tc>
                <w:tcPr>
                  <w:tcW w:w="2790"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p>
              </w:tc>
              <w:tc>
                <w:tcPr>
                  <w:tcW w:w="612" w:type="dxa"/>
                  <w:vMerge w:val="continue"/>
                  <w:tcBorders>
                    <w:top w:val="single" w:color="auto" w:sz="6" w:space="0"/>
                    <w:left w:val="single" w:color="auto" w:sz="6" w:space="0"/>
                    <w:bottom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02" w:hRule="atLeast"/>
                <w:jc w:val="center"/>
              </w:trPr>
              <w:tc>
                <w:tcPr>
                  <w:tcW w:w="1097" w:type="dxa"/>
                  <w:vMerge w:val="restart"/>
                  <w:tcBorders>
                    <w:top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成型废气</w:t>
                  </w:r>
                </w:p>
              </w:tc>
              <w:tc>
                <w:tcPr>
                  <w:tcW w:w="127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非甲烷总烃</w:t>
                  </w:r>
                </w:p>
              </w:tc>
              <w:tc>
                <w:tcPr>
                  <w:tcW w:w="2730"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w:t>
                  </w:r>
                </w:p>
              </w:tc>
              <w:tc>
                <w:tcPr>
                  <w:tcW w:w="2790"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集气罩</w:t>
                  </w:r>
                  <w:r>
                    <w:rPr>
                      <w:rFonts w:hint="default" w:ascii="Times New Roman" w:hAnsi="Times New Roman" w:eastAsia="宋体" w:cs="Times New Roman"/>
                      <w:color w:val="auto"/>
                      <w:sz w:val="21"/>
                      <w:szCs w:val="21"/>
                      <w:lang w:bidi="ar"/>
                    </w:rPr>
                    <w:t>+</w:t>
                  </w:r>
                  <w:r>
                    <w:rPr>
                      <w:rFonts w:hint="default" w:ascii="Times New Roman" w:hAnsi="Times New Roman" w:eastAsia="宋体" w:cs="Times New Roman"/>
                      <w:color w:val="auto"/>
                      <w:sz w:val="21"/>
                      <w:szCs w:val="21"/>
                      <w:lang w:val="en-US" w:eastAsia="zh-CN"/>
                    </w:rPr>
                    <w:t>二级</w:t>
                  </w:r>
                  <w:r>
                    <w:rPr>
                      <w:rFonts w:hint="default" w:ascii="Times New Roman" w:hAnsi="Times New Roman" w:eastAsia="宋体" w:cs="Times New Roman"/>
                      <w:color w:val="auto"/>
                      <w:sz w:val="21"/>
                      <w:szCs w:val="21"/>
                      <w:lang w:bidi="ar"/>
                    </w:rPr>
                    <w:t>活性炭吸附+25m高排气筒</w:t>
                  </w:r>
                  <w:r>
                    <w:rPr>
                      <w:rFonts w:hint="default" w:ascii="Times New Roman" w:hAnsi="Times New Roman" w:eastAsia="宋体" w:cs="Times New Roman"/>
                      <w:color w:val="auto"/>
                      <w:sz w:val="21"/>
                      <w:szCs w:val="21"/>
                    </w:rPr>
                    <w:t>（编号：DA004）</w:t>
                  </w:r>
                </w:p>
              </w:tc>
              <w:tc>
                <w:tcPr>
                  <w:tcW w:w="612" w:type="dxa"/>
                  <w:vMerge w:val="restart"/>
                  <w:tcBorders>
                    <w:top w:val="single" w:color="auto" w:sz="6" w:space="0"/>
                    <w:left w:val="single" w:color="auto" w:sz="6" w:space="0"/>
                    <w:bottom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97" w:type="dxa"/>
                  <w:vMerge w:val="continue"/>
                  <w:tcBorders>
                    <w:top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p>
              </w:tc>
              <w:tc>
                <w:tcPr>
                  <w:tcW w:w="1275"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臭气浓度、</w:t>
                  </w:r>
                </w:p>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恶臭特征物质</w:t>
                  </w:r>
                </w:p>
              </w:tc>
              <w:tc>
                <w:tcPr>
                  <w:tcW w:w="2730"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喷淋、吸附、低温等离子体、UV光氧化、生物法两种及以上组合技术</w:t>
                  </w:r>
                </w:p>
              </w:tc>
              <w:tc>
                <w:tcPr>
                  <w:tcW w:w="2790"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p>
              </w:tc>
              <w:tc>
                <w:tcPr>
                  <w:tcW w:w="612" w:type="dxa"/>
                  <w:vMerge w:val="continue"/>
                  <w:tcBorders>
                    <w:top w:val="single" w:color="auto" w:sz="6" w:space="0"/>
                    <w:left w:val="single" w:color="auto" w:sz="6" w:space="0"/>
                    <w:bottom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70" w:hRule="atLeast"/>
                <w:jc w:val="center"/>
              </w:trPr>
              <w:tc>
                <w:tcPr>
                  <w:tcW w:w="1097" w:type="dxa"/>
                  <w:tcBorders>
                    <w:top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裁切梳理废气</w:t>
                  </w:r>
                </w:p>
              </w:tc>
              <w:tc>
                <w:tcPr>
                  <w:tcW w:w="1275" w:type="dxa"/>
                  <w:tcBorders>
                    <w:top w:val="single" w:color="auto" w:sz="6" w:space="0"/>
                    <w:left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730" w:type="dxa"/>
                  <w:tcBorders>
                    <w:top w:val="single" w:color="auto" w:sz="6" w:space="0"/>
                    <w:left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袋式</w:t>
                  </w:r>
                  <w:r>
                    <w:rPr>
                      <w:rFonts w:hint="default" w:ascii="Times New Roman" w:hAnsi="Times New Roman" w:eastAsia="宋体" w:cs="Times New Roman"/>
                      <w:color w:val="auto"/>
                      <w:sz w:val="21"/>
                      <w:szCs w:val="21"/>
                      <w:lang w:eastAsia="zh-CN"/>
                    </w:rPr>
                    <w:t>过</w:t>
                  </w:r>
                </w:p>
              </w:tc>
              <w:tc>
                <w:tcPr>
                  <w:tcW w:w="2790" w:type="dxa"/>
                  <w:tcBorders>
                    <w:top w:val="single" w:color="auto" w:sz="6" w:space="0"/>
                    <w:left w:val="single" w:color="auto" w:sz="6" w:space="0"/>
                    <w:righ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集气罩+袋式除尘</w:t>
                  </w:r>
                  <w:r>
                    <w:rPr>
                      <w:rFonts w:hint="default" w:ascii="Times New Roman" w:hAnsi="Times New Roman" w:eastAsia="宋体" w:cs="Times New Roman"/>
                      <w:color w:val="auto"/>
                      <w:sz w:val="21"/>
                      <w:szCs w:val="21"/>
                      <w:lang w:bidi="ar"/>
                    </w:rPr>
                    <w:t>+25m高排气筒</w:t>
                  </w:r>
                  <w:r>
                    <w:rPr>
                      <w:rFonts w:hint="default" w:ascii="Times New Roman" w:hAnsi="Times New Roman" w:eastAsia="宋体" w:cs="Times New Roman"/>
                      <w:color w:val="auto"/>
                      <w:sz w:val="21"/>
                      <w:szCs w:val="21"/>
                    </w:rPr>
                    <w:t>（编号：DA00</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612" w:type="dxa"/>
                  <w:tcBorders>
                    <w:top w:val="single" w:color="auto" w:sz="6" w:space="0"/>
                    <w:left w:val="single" w:color="auto" w:sz="6" w:space="0"/>
                    <w:tl2br w:val="nil"/>
                    <w:tr2bl w:val="nil"/>
                  </w:tcBorders>
                  <w:noWrap w:val="0"/>
                  <w:vAlign w:val="center"/>
                </w:tcPr>
                <w:p>
                  <w:pPr>
                    <w:keepNext w:val="0"/>
                    <w:keepLines w:val="0"/>
                    <w:widowControl/>
                    <w:suppressLineNumbers w:val="0"/>
                    <w:topLinePunct/>
                    <w:spacing w:before="0" w:beforeAutospacing="0" w:after="0" w:afterAutospacing="0" w:line="30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r>
          </w:tbl>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由表4.2-1</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可知，本项目拟采取的污染防治技术均为可行技术，排气筒高度不低于15m符合有组织排放要求。</w:t>
            </w:r>
            <w:r>
              <w:rPr>
                <w:rFonts w:hint="default" w:ascii="Times New Roman" w:hAnsi="Times New Roman" w:eastAsia="宋体" w:cs="Times New Roman"/>
                <w:color w:val="auto"/>
                <w:kern w:val="2"/>
                <w:sz w:val="24"/>
                <w:szCs w:val="24"/>
              </w:rPr>
              <w:t>除</w:t>
            </w:r>
            <w:r>
              <w:rPr>
                <w:rFonts w:hint="default" w:ascii="Times New Roman" w:hAnsi="Times New Roman" w:eastAsia="宋体" w:cs="Times New Roman"/>
                <w:color w:val="auto"/>
                <w:kern w:val="2"/>
                <w:sz w:val="21"/>
                <w:szCs w:val="21"/>
              </w:rPr>
              <w:t>PM</w:t>
            </w:r>
            <w:r>
              <w:rPr>
                <w:rFonts w:hint="default" w:ascii="Times New Roman" w:hAnsi="Times New Roman" w:eastAsia="宋体" w:cs="Times New Roman"/>
                <w:color w:val="auto"/>
                <w:kern w:val="2"/>
                <w:sz w:val="21"/>
                <w:szCs w:val="21"/>
                <w:vertAlign w:val="subscript"/>
              </w:rPr>
              <w:t>2.5</w:t>
            </w:r>
            <w:r>
              <w:rPr>
                <w:rFonts w:hint="default" w:ascii="Times New Roman" w:hAnsi="Times New Roman" w:eastAsia="宋体" w:cs="Times New Roman"/>
                <w:color w:val="auto"/>
                <w:kern w:val="2"/>
                <w:sz w:val="24"/>
                <w:szCs w:val="24"/>
              </w:rPr>
              <w:t>外，其余基本因子满足《环境空</w:t>
            </w:r>
            <w:r>
              <w:rPr>
                <w:rFonts w:hint="default" w:ascii="Times New Roman" w:hAnsi="Times New Roman" w:eastAsia="宋体" w:cs="Times New Roman"/>
                <w:kern w:val="2"/>
                <w:sz w:val="24"/>
                <w:szCs w:val="24"/>
              </w:rPr>
              <w:t>气质量标准》(GB3095-2012)二级标准，</w:t>
            </w:r>
            <w:r>
              <w:rPr>
                <w:rFonts w:hint="default" w:ascii="Times New Roman" w:hAnsi="Times New Roman" w:eastAsia="宋体" w:cs="Times New Roman"/>
                <w:kern w:val="2"/>
                <w:sz w:val="21"/>
                <w:szCs w:val="21"/>
              </w:rPr>
              <w:t>PM</w:t>
            </w:r>
            <w:r>
              <w:rPr>
                <w:rFonts w:hint="default" w:ascii="Times New Roman" w:hAnsi="Times New Roman" w:eastAsia="宋体" w:cs="Times New Roman"/>
                <w:kern w:val="2"/>
                <w:sz w:val="21"/>
                <w:szCs w:val="21"/>
                <w:vertAlign w:val="subscript"/>
              </w:rPr>
              <w:t>2.5</w:t>
            </w:r>
            <w:r>
              <w:rPr>
                <w:rFonts w:hint="default" w:ascii="Times New Roman" w:hAnsi="Times New Roman" w:eastAsia="宋体" w:cs="Times New Roman"/>
                <w:kern w:val="2"/>
                <w:sz w:val="24"/>
                <w:szCs w:val="24"/>
              </w:rPr>
              <w:t>超标，本项目所在合川区为不达标区。</w:t>
            </w:r>
          </w:p>
          <w:p>
            <w:pPr>
              <w:keepNext w:val="0"/>
              <w:keepLines w:val="0"/>
              <w:widowControl/>
              <w:suppressLineNumbers w:val="0"/>
              <w:spacing w:before="0" w:beforeAutospacing="0" w:after="0" w:afterAutospacing="0" w:line="420" w:lineRule="exact"/>
              <w:ind w:left="0" w:right="0"/>
              <w:rPr>
                <w:rFonts w:hint="default" w:ascii="Times New Roman" w:hAnsi="Times New Roman" w:eastAsia="Times New Roman" w:cs="Times New Roman"/>
                <w:b/>
                <w:bCs/>
                <w:color w:val="auto"/>
                <w:kern w:val="2"/>
                <w:sz w:val="24"/>
                <w:szCs w:val="24"/>
              </w:rPr>
            </w:pPr>
            <w:r>
              <w:rPr>
                <w:rFonts w:hint="default" w:ascii="Times New Roman" w:hAnsi="Times New Roman" w:eastAsia="Times New Roman" w:cs="Times New Roman"/>
                <w:b/>
                <w:bCs/>
                <w:color w:val="auto"/>
                <w:kern w:val="2"/>
                <w:sz w:val="24"/>
                <w:szCs w:val="24"/>
              </w:rPr>
              <w:t>4.2.1.7</w:t>
            </w:r>
            <w:r>
              <w:rPr>
                <w:rFonts w:hint="default" w:ascii="Times New Roman" w:hAnsi="Times New Roman" w:eastAsia="宋体" w:cs="Times New Roman"/>
                <w:b/>
                <w:bCs/>
                <w:color w:val="auto"/>
                <w:kern w:val="2"/>
                <w:sz w:val="24"/>
                <w:szCs w:val="24"/>
              </w:rPr>
              <w:t>废气排放影响分析</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（1）环境质量现状</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auto"/>
                <w:kern w:val="2"/>
                <w:sz w:val="24"/>
                <w:szCs w:val="24"/>
                <w:highlight w:val="yellow"/>
              </w:rPr>
            </w:pPr>
            <w:r>
              <w:rPr>
                <w:rFonts w:hint="default" w:ascii="Times New Roman" w:hAnsi="Times New Roman" w:eastAsia="宋体" w:cs="Times New Roman"/>
                <w:color w:val="auto"/>
                <w:kern w:val="2"/>
                <w:sz w:val="24"/>
                <w:szCs w:val="24"/>
              </w:rPr>
              <w:t>根据《2023年重庆市生态环境状况公报》，合川区SO</w:t>
            </w:r>
            <w:r>
              <w:rPr>
                <w:rFonts w:hint="default" w:ascii="Times New Roman" w:hAnsi="Times New Roman" w:eastAsia="宋体" w:cs="Times New Roman"/>
                <w:color w:val="auto"/>
                <w:kern w:val="2"/>
                <w:sz w:val="24"/>
                <w:szCs w:val="24"/>
                <w:vertAlign w:val="subscript"/>
              </w:rPr>
              <w:t>2</w:t>
            </w:r>
            <w:r>
              <w:rPr>
                <w:rFonts w:hint="default" w:ascii="Times New Roman" w:hAnsi="Times New Roman" w:eastAsia="宋体" w:cs="Times New Roman"/>
                <w:color w:val="auto"/>
                <w:kern w:val="2"/>
                <w:sz w:val="24"/>
                <w:szCs w:val="24"/>
              </w:rPr>
              <w:t>、NO</w:t>
            </w:r>
            <w:r>
              <w:rPr>
                <w:rFonts w:hint="default" w:ascii="Times New Roman" w:hAnsi="Times New Roman" w:eastAsia="宋体" w:cs="Times New Roman"/>
                <w:color w:val="auto"/>
                <w:kern w:val="2"/>
                <w:sz w:val="24"/>
                <w:szCs w:val="24"/>
                <w:vertAlign w:val="subscript"/>
              </w:rPr>
              <w:t>2</w:t>
            </w:r>
            <w:r>
              <w:rPr>
                <w:rFonts w:hint="default" w:ascii="Times New Roman" w:hAnsi="Times New Roman" w:eastAsia="宋体" w:cs="Times New Roman"/>
                <w:color w:val="auto"/>
                <w:kern w:val="2"/>
                <w:sz w:val="24"/>
                <w:szCs w:val="24"/>
              </w:rPr>
              <w:t>、CO、PM</w:t>
            </w:r>
            <w:r>
              <w:rPr>
                <w:rFonts w:hint="default" w:ascii="Times New Roman" w:hAnsi="Times New Roman" w:eastAsia="宋体" w:cs="Times New Roman"/>
                <w:color w:val="auto"/>
                <w:kern w:val="2"/>
                <w:sz w:val="24"/>
                <w:szCs w:val="24"/>
                <w:vertAlign w:val="subscript"/>
              </w:rPr>
              <w:t>10</w:t>
            </w:r>
            <w:r>
              <w:rPr>
                <w:rFonts w:hint="default" w:ascii="Times New Roman" w:hAnsi="Times New Roman" w:eastAsia="宋体" w:cs="Times New Roman"/>
                <w:color w:val="auto"/>
                <w:kern w:val="2"/>
                <w:sz w:val="24"/>
                <w:szCs w:val="24"/>
              </w:rPr>
              <w:t>、O</w:t>
            </w:r>
            <w:r>
              <w:rPr>
                <w:rFonts w:hint="default" w:ascii="Times New Roman" w:hAnsi="Times New Roman" w:eastAsia="宋体" w:cs="Times New Roman"/>
                <w:color w:val="auto"/>
                <w:kern w:val="2"/>
                <w:sz w:val="24"/>
                <w:szCs w:val="24"/>
                <w:vertAlign w:val="subscript"/>
              </w:rPr>
              <w:t>3</w:t>
            </w:r>
            <w:r>
              <w:rPr>
                <w:rFonts w:hint="default" w:ascii="Times New Roman" w:hAnsi="Times New Roman" w:eastAsia="宋体" w:cs="Times New Roman"/>
                <w:color w:val="auto"/>
                <w:kern w:val="2"/>
                <w:sz w:val="24"/>
                <w:szCs w:val="24"/>
              </w:rPr>
              <w:t>满足《环境空气质量标准》（GB3095-2012）中二级标准，</w:t>
            </w:r>
            <w:r>
              <w:rPr>
                <w:rFonts w:hint="default" w:ascii="Times New Roman" w:hAnsi="Times New Roman" w:eastAsia="宋体" w:cs="Times New Roman"/>
                <w:kern w:val="2"/>
                <w:sz w:val="21"/>
                <w:szCs w:val="21"/>
              </w:rPr>
              <w:t>PM</w:t>
            </w:r>
            <w:r>
              <w:rPr>
                <w:rFonts w:hint="default" w:ascii="Times New Roman" w:hAnsi="Times New Roman" w:eastAsia="宋体" w:cs="Times New Roman"/>
                <w:kern w:val="2"/>
                <w:sz w:val="21"/>
                <w:szCs w:val="21"/>
                <w:vertAlign w:val="subscript"/>
              </w:rPr>
              <w:t>2.5</w:t>
            </w:r>
            <w:r>
              <w:rPr>
                <w:rFonts w:hint="default" w:ascii="Times New Roman" w:hAnsi="Times New Roman" w:eastAsia="宋体" w:cs="Times New Roman"/>
                <w:kern w:val="2"/>
                <w:sz w:val="24"/>
                <w:szCs w:val="24"/>
              </w:rPr>
              <w:t>超标</w:t>
            </w:r>
            <w:r>
              <w:rPr>
                <w:rFonts w:hint="default" w:ascii="Times New Roman" w:hAnsi="Times New Roman" w:eastAsia="宋体" w:cs="Times New Roman"/>
                <w:color w:val="auto"/>
                <w:kern w:val="2"/>
                <w:sz w:val="24"/>
                <w:szCs w:val="24"/>
              </w:rPr>
              <w:t>，区域属于不达标区，采取《合川区大气环境质量限期达标规划》中“主要任务与措施”方案中明确减缓的方案后，可改善区域环境质量达标情况；特征因子非甲烷总烃小时浓度满足《河北省地方标准环境空气质量标准 非甲烷总烃限值》（DB 13/1577-2012）标准限值要求，</w:t>
            </w:r>
            <w:r>
              <w:rPr>
                <w:rFonts w:hint="default" w:ascii="Times New Roman" w:hAnsi="Times New Roman" w:eastAsia="宋体" w:cs="Times New Roman"/>
                <w:color w:val="auto"/>
                <w:kern w:val="2"/>
                <w:sz w:val="24"/>
                <w:szCs w:val="20"/>
                <w:lang w:bidi="ar"/>
              </w:rPr>
              <w:t>项目所在区域TSP最大占标率小于100%，满足《环境空气质量标准》（GB3095-2012）中二级标准要求。</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（2）自然环境概况及环境保护目标调查</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位于重庆市合川工业园区南溪组团B区，根据现场调查，项目厂界外500m范围内的环境空气保护目标为项目东侧散居农户，西侧玉龙佳苑。项目评价范围内无珍稀动植物、文物保护单位、饮用水源保护区、自然保护区、风景名胜区等环境保护目标。</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Times New Roman" w:cs="Times New Roman"/>
                <w:color w:val="auto"/>
                <w:kern w:val="2"/>
                <w:sz w:val="24"/>
                <w:szCs w:val="24"/>
              </w:rPr>
            </w:pPr>
            <w:r>
              <w:rPr>
                <w:rFonts w:hint="default" w:ascii="Times New Roman" w:hAnsi="Times New Roman" w:eastAsia="宋体" w:cs="Times New Roman"/>
                <w:color w:val="auto"/>
                <w:kern w:val="2"/>
                <w:sz w:val="24"/>
                <w:szCs w:val="24"/>
              </w:rPr>
              <w:t>（3）环境保护措施及环境影响</w:t>
            </w:r>
          </w:p>
          <w:p>
            <w:pPr>
              <w:keepNext w:val="0"/>
              <w:keepLines w:val="0"/>
              <w:widowControl/>
              <w:suppressLineNumbers w:val="0"/>
              <w:spacing w:before="0" w:beforeAutospacing="0" w:after="0" w:afterAutospacing="0" w:line="420" w:lineRule="exact"/>
              <w:ind w:left="0" w:right="0" w:firstLine="480" w:firstLineChars="200"/>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rPr>
              <w:t>本项目产生的废气主要为隔热垫粉尘、注塑废气解包配料粉尘、</w:t>
            </w:r>
            <w:r>
              <w:rPr>
                <w:rFonts w:hint="default" w:ascii="Times New Roman" w:hAnsi="Times New Roman" w:eastAsia="宋体" w:cs="Times New Roman"/>
                <w:color w:val="auto"/>
                <w:kern w:val="2"/>
                <w:sz w:val="24"/>
                <w:szCs w:val="24"/>
                <w:lang w:eastAsia="zh-CN"/>
              </w:rPr>
              <w:t>炼胶</w:t>
            </w:r>
            <w:r>
              <w:rPr>
                <w:rFonts w:hint="default" w:ascii="Times New Roman" w:hAnsi="Times New Roman" w:eastAsia="宋体" w:cs="Times New Roman"/>
                <w:color w:val="auto"/>
                <w:kern w:val="2"/>
                <w:sz w:val="24"/>
                <w:szCs w:val="24"/>
              </w:rPr>
              <w:t>废气</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成型废气</w:t>
            </w:r>
            <w:r>
              <w:rPr>
                <w:rFonts w:hint="default" w:ascii="Times New Roman" w:hAnsi="Times New Roman" w:eastAsia="宋体" w:cs="Times New Roman"/>
                <w:color w:val="auto"/>
                <w:kern w:val="2"/>
                <w:sz w:val="24"/>
                <w:szCs w:val="24"/>
                <w:lang w:eastAsia="zh-CN"/>
              </w:rPr>
              <w:t>及裁切梳理废气</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sz w:val="24"/>
                <w:szCs w:val="24"/>
              </w:rPr>
              <w:t>拟在</w:t>
            </w:r>
            <w:r>
              <w:rPr>
                <w:rFonts w:hint="default" w:ascii="Times New Roman" w:hAnsi="Times New Roman" w:eastAsia="宋体" w:cs="Times New Roman"/>
                <w:color w:val="auto"/>
                <w:kern w:val="2"/>
                <w:sz w:val="24"/>
                <w:szCs w:val="24"/>
              </w:rPr>
              <w:t>每台注塑机出料口上方设置集气罩，注塑废气通过集气罩收集经管道引至废气处理系统“</w:t>
            </w:r>
            <w:r>
              <w:rPr>
                <w:rFonts w:hint="default" w:ascii="Times New Roman" w:hAnsi="Times New Roman" w:eastAsia="宋体" w:cs="Times New Roman"/>
                <w:color w:val="auto"/>
                <w:kern w:val="2"/>
                <w:sz w:val="24"/>
                <w:szCs w:val="24"/>
                <w:lang w:val="en-US" w:eastAsia="zh-CN"/>
              </w:rPr>
              <w:t>二级</w:t>
            </w:r>
            <w:r>
              <w:rPr>
                <w:rFonts w:hint="default" w:ascii="Times New Roman" w:hAnsi="Times New Roman" w:eastAsia="宋体" w:cs="Times New Roman"/>
                <w:color w:val="auto"/>
                <w:sz w:val="24"/>
                <w:szCs w:val="24"/>
              </w:rPr>
              <w:t>活性炭吸附装置</w:t>
            </w:r>
            <w:r>
              <w:rPr>
                <w:rFonts w:hint="default" w:ascii="Times New Roman" w:hAnsi="Times New Roman" w:eastAsia="宋体" w:cs="Times New Roman"/>
                <w:color w:val="auto"/>
                <w:kern w:val="2"/>
                <w:sz w:val="24"/>
                <w:szCs w:val="24"/>
              </w:rPr>
              <w:t>”处理后通过1#排气筒排放，排放高度25m、内径0.</w:t>
            </w:r>
            <w:r>
              <w:rPr>
                <w:rFonts w:hint="default" w:ascii="Times New Roman" w:hAnsi="Times New Roman" w:eastAsia="宋体" w:cs="Times New Roman"/>
                <w:color w:val="auto"/>
                <w:kern w:val="2"/>
                <w:sz w:val="24"/>
                <w:szCs w:val="24"/>
                <w:lang w:val="en-US" w:eastAsia="zh-CN"/>
              </w:rPr>
              <w:t>86</w:t>
            </w:r>
            <w:r>
              <w:rPr>
                <w:rFonts w:hint="default" w:ascii="Times New Roman" w:hAnsi="Times New Roman" w:eastAsia="宋体" w:cs="Times New Roman"/>
                <w:color w:val="auto"/>
                <w:kern w:val="2"/>
                <w:sz w:val="24"/>
                <w:szCs w:val="24"/>
              </w:rPr>
              <w:t>m、风机风量</w:t>
            </w:r>
            <w:r>
              <w:rPr>
                <w:rFonts w:hint="default" w:ascii="Times New Roman" w:hAnsi="Times New Roman" w:eastAsia="宋体" w:cs="Times New Roman"/>
                <w:color w:val="auto"/>
                <w:kern w:val="2"/>
                <w:sz w:val="24"/>
                <w:szCs w:val="24"/>
                <w:lang w:val="en-US" w:eastAsia="zh-CN"/>
              </w:rPr>
              <w:t>25</w:t>
            </w:r>
            <w:r>
              <w:rPr>
                <w:rFonts w:hint="default" w:ascii="Times New Roman" w:hAnsi="Times New Roman" w:eastAsia="宋体" w:cs="Times New Roman"/>
                <w:color w:val="auto"/>
                <w:kern w:val="2"/>
                <w:sz w:val="24"/>
                <w:szCs w:val="24"/>
              </w:rPr>
              <w:t>000m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/h；拟在</w:t>
            </w:r>
            <w:r>
              <w:rPr>
                <w:rFonts w:hint="default" w:ascii="Times New Roman" w:hAnsi="Times New Roman" w:eastAsia="宋体" w:cs="Times New Roman"/>
                <w:color w:val="auto"/>
                <w:sz w:val="24"/>
                <w:szCs w:val="24"/>
              </w:rPr>
              <w:t>配料台上方配料输送系统上方进料口设置集气罩，</w:t>
            </w:r>
            <w:r>
              <w:rPr>
                <w:rFonts w:hint="default" w:ascii="Times New Roman" w:hAnsi="Times New Roman" w:eastAsia="宋体" w:cs="Times New Roman"/>
                <w:color w:val="auto"/>
                <w:kern w:val="2"/>
                <w:sz w:val="24"/>
                <w:szCs w:val="24"/>
              </w:rPr>
              <w:t>解包配料粉尘、投料粉尘通过集气罩收集经管道引至废气处理系统“布袋除尘”处理后通过2#排气筒排放，排放高度25m、内径0.3m、风机风量3</w:t>
            </w:r>
            <w:r>
              <w:rPr>
                <w:rFonts w:hint="default"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rPr>
              <w:t>00m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/h。拟在</w:t>
            </w:r>
            <w:r>
              <w:rPr>
                <w:rFonts w:hint="default" w:ascii="Times New Roman" w:hAnsi="Times New Roman" w:eastAsia="宋体" w:cs="Times New Roman"/>
                <w:color w:val="auto"/>
                <w:sz w:val="24"/>
                <w:szCs w:val="24"/>
              </w:rPr>
              <w:t>开炼机上方、密炼机出料口设置集气罩，</w:t>
            </w:r>
            <w:r>
              <w:rPr>
                <w:rFonts w:hint="default" w:ascii="Times New Roman" w:hAnsi="Times New Roman" w:eastAsia="宋体" w:cs="Times New Roman"/>
                <w:color w:val="auto"/>
                <w:kern w:val="2"/>
                <w:sz w:val="24"/>
                <w:szCs w:val="24"/>
                <w:lang w:eastAsia="zh-CN"/>
              </w:rPr>
              <w:t>炼胶</w:t>
            </w:r>
            <w:r>
              <w:rPr>
                <w:rFonts w:hint="default" w:ascii="Times New Roman" w:hAnsi="Times New Roman" w:eastAsia="宋体" w:cs="Times New Roman"/>
                <w:color w:val="auto"/>
                <w:kern w:val="2"/>
                <w:sz w:val="24"/>
                <w:szCs w:val="24"/>
              </w:rPr>
              <w:t>废气通过集气罩收集经管道引至3#废气处理系统“</w:t>
            </w:r>
            <w:r>
              <w:rPr>
                <w:rFonts w:hint="default" w:ascii="Times New Roman" w:hAnsi="Times New Roman" w:eastAsia="宋体" w:cs="Times New Roman"/>
                <w:color w:val="auto"/>
                <w:kern w:val="2"/>
                <w:sz w:val="24"/>
                <w:szCs w:val="24"/>
                <w:lang w:val="en-US" w:eastAsia="zh-CN"/>
              </w:rPr>
              <w:t>二级</w:t>
            </w:r>
            <w:r>
              <w:rPr>
                <w:rFonts w:hint="default" w:ascii="Times New Roman" w:hAnsi="Times New Roman" w:eastAsia="宋体" w:cs="Times New Roman"/>
                <w:color w:val="auto"/>
                <w:kern w:val="2"/>
                <w:sz w:val="24"/>
                <w:szCs w:val="24"/>
              </w:rPr>
              <w:t>活性炭吸附装置”处理后通过2#排气筒排放，排放高度25m、内径</w:t>
            </w:r>
            <w:r>
              <w:rPr>
                <w:rFonts w:hint="default" w:ascii="Times New Roman" w:hAnsi="Times New Roman" w:eastAsia="宋体" w:cs="Times New Roman"/>
                <w:color w:val="auto"/>
                <w:kern w:val="2"/>
                <w:sz w:val="24"/>
                <w:szCs w:val="24"/>
                <w:lang w:val="en-US" w:eastAsia="zh-CN"/>
              </w:rPr>
              <w:t>1</w:t>
            </w:r>
            <w:r>
              <w:rPr>
                <w:rFonts w:hint="default" w:ascii="Times New Roman" w:hAnsi="Times New Roman" w:eastAsia="宋体" w:cs="Times New Roman"/>
                <w:color w:val="auto"/>
                <w:kern w:val="2"/>
                <w:sz w:val="24"/>
                <w:szCs w:val="24"/>
              </w:rPr>
              <w:t>m、风机风量2</w:t>
            </w:r>
            <w:r>
              <w:rPr>
                <w:rFonts w:hint="default" w:ascii="Times New Roman" w:hAnsi="Times New Roman" w:eastAsia="宋体" w:cs="Times New Roman"/>
                <w:color w:val="auto"/>
                <w:kern w:val="2"/>
                <w:sz w:val="24"/>
                <w:szCs w:val="24"/>
                <w:lang w:val="en-US" w:eastAsia="zh-CN"/>
              </w:rPr>
              <w:t>85</w:t>
            </w:r>
            <w:r>
              <w:rPr>
                <w:rFonts w:hint="default" w:ascii="Times New Roman" w:hAnsi="Times New Roman" w:eastAsia="宋体" w:cs="Times New Roman"/>
                <w:color w:val="auto"/>
                <w:kern w:val="2"/>
                <w:sz w:val="24"/>
                <w:szCs w:val="24"/>
              </w:rPr>
              <w:t>00m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/h；拟在</w:t>
            </w:r>
            <w:r>
              <w:rPr>
                <w:rFonts w:hint="default" w:ascii="Times New Roman" w:hAnsi="Times New Roman" w:eastAsia="宋体" w:cs="Times New Roman"/>
                <w:color w:val="auto"/>
                <w:sz w:val="24"/>
                <w:szCs w:val="24"/>
              </w:rPr>
              <w:t>成型机上方设置集气罩，</w:t>
            </w:r>
            <w:r>
              <w:rPr>
                <w:rFonts w:hint="default" w:ascii="Times New Roman" w:hAnsi="Times New Roman" w:eastAsia="宋体" w:cs="Times New Roman"/>
                <w:color w:val="auto"/>
                <w:kern w:val="2"/>
                <w:sz w:val="24"/>
                <w:szCs w:val="24"/>
                <w:lang w:eastAsia="zh-CN"/>
              </w:rPr>
              <w:t>炼胶</w:t>
            </w:r>
            <w:r>
              <w:rPr>
                <w:rFonts w:hint="default" w:ascii="Times New Roman" w:hAnsi="Times New Roman" w:eastAsia="宋体" w:cs="Times New Roman"/>
                <w:color w:val="auto"/>
                <w:kern w:val="2"/>
                <w:sz w:val="24"/>
                <w:szCs w:val="24"/>
              </w:rPr>
              <w:t>废气通过集气罩收集经管道引至废气处理系统“</w:t>
            </w:r>
            <w:r>
              <w:rPr>
                <w:rFonts w:hint="default" w:ascii="Times New Roman" w:hAnsi="Times New Roman" w:eastAsia="宋体" w:cs="Times New Roman"/>
                <w:color w:val="auto"/>
                <w:kern w:val="2"/>
                <w:sz w:val="24"/>
                <w:szCs w:val="24"/>
                <w:lang w:val="en-US" w:eastAsia="zh-CN"/>
              </w:rPr>
              <w:t>二级</w:t>
            </w:r>
            <w:r>
              <w:rPr>
                <w:rFonts w:hint="default" w:ascii="Times New Roman" w:hAnsi="Times New Roman" w:eastAsia="宋体" w:cs="Times New Roman"/>
                <w:color w:val="auto"/>
                <w:kern w:val="2"/>
                <w:sz w:val="24"/>
                <w:szCs w:val="24"/>
              </w:rPr>
              <w:t>活性炭吸附装置”处理后通过4#排气筒排放，排放高度25m、内径</w:t>
            </w:r>
            <w:r>
              <w:rPr>
                <w:rFonts w:hint="default" w:ascii="Times New Roman" w:hAnsi="Times New Roman" w:eastAsia="宋体" w:cs="Times New Roman"/>
                <w:color w:val="auto"/>
                <w:kern w:val="2"/>
                <w:sz w:val="24"/>
                <w:szCs w:val="24"/>
                <w:lang w:val="en-US" w:eastAsia="zh-CN"/>
              </w:rPr>
              <w:t>1</w:t>
            </w:r>
            <w:r>
              <w:rPr>
                <w:rFonts w:hint="default" w:ascii="Times New Roman" w:hAnsi="Times New Roman" w:eastAsia="宋体" w:cs="Times New Roman"/>
                <w:color w:val="auto"/>
                <w:kern w:val="2"/>
                <w:sz w:val="24"/>
                <w:szCs w:val="24"/>
              </w:rPr>
              <w:t>m、风机风量</w:t>
            </w:r>
            <w:r>
              <w:rPr>
                <w:rFonts w:hint="default" w:ascii="Times New Roman" w:hAnsi="Times New Roman" w:eastAsia="宋体" w:cs="Times New Roman"/>
                <w:color w:val="auto"/>
                <w:kern w:val="2"/>
                <w:sz w:val="24"/>
                <w:szCs w:val="24"/>
                <w:lang w:val="en-US" w:eastAsia="zh-CN"/>
              </w:rPr>
              <w:t>45</w:t>
            </w:r>
            <w:r>
              <w:rPr>
                <w:rFonts w:hint="default" w:ascii="Times New Roman" w:hAnsi="Times New Roman" w:eastAsia="宋体" w:cs="Times New Roman"/>
                <w:color w:val="auto"/>
                <w:kern w:val="2"/>
                <w:sz w:val="24"/>
                <w:szCs w:val="24"/>
              </w:rPr>
              <w:t>000m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/h</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拟在</w:t>
            </w:r>
            <w:r>
              <w:rPr>
                <w:rFonts w:hint="default" w:ascii="Times New Roman" w:hAnsi="Times New Roman" w:eastAsia="宋体" w:cs="Times New Roman"/>
                <w:color w:val="auto"/>
                <w:sz w:val="24"/>
                <w:szCs w:val="24"/>
                <w:lang w:eastAsia="zh-CN"/>
              </w:rPr>
              <w:t>裁切机、梳理机等</w:t>
            </w:r>
            <w:r>
              <w:rPr>
                <w:rFonts w:hint="default" w:ascii="Times New Roman" w:hAnsi="Times New Roman" w:eastAsia="宋体" w:cs="Times New Roman"/>
                <w:color w:val="auto"/>
                <w:sz w:val="24"/>
                <w:szCs w:val="24"/>
              </w:rPr>
              <w:t>上方设置集气罩，</w:t>
            </w:r>
            <w:r>
              <w:rPr>
                <w:rFonts w:hint="default" w:ascii="Times New Roman" w:hAnsi="Times New Roman" w:eastAsia="宋体" w:cs="Times New Roman"/>
                <w:color w:val="auto"/>
                <w:kern w:val="2"/>
                <w:sz w:val="24"/>
                <w:szCs w:val="24"/>
              </w:rPr>
              <w:t>废气通过集气罩收集经管道引至废气处理系统“布袋除尘”处理后通过</w:t>
            </w:r>
            <w:r>
              <w:rPr>
                <w:rFonts w:hint="default" w:ascii="Times New Roman" w:hAnsi="Times New Roman" w:eastAsia="宋体" w:cs="Times New Roman"/>
                <w:color w:val="auto"/>
                <w:kern w:val="2"/>
                <w:sz w:val="24"/>
                <w:szCs w:val="24"/>
                <w:lang w:val="en-US" w:eastAsia="zh-CN"/>
              </w:rPr>
              <w:t>5</w:t>
            </w:r>
            <w:r>
              <w:rPr>
                <w:rFonts w:hint="default" w:ascii="Times New Roman" w:hAnsi="Times New Roman" w:eastAsia="宋体" w:cs="Times New Roman"/>
                <w:color w:val="auto"/>
                <w:kern w:val="2"/>
                <w:sz w:val="24"/>
                <w:szCs w:val="24"/>
              </w:rPr>
              <w:t>#排气筒排放，排放高度25m、内径</w:t>
            </w:r>
            <w:r>
              <w:rPr>
                <w:rFonts w:hint="default" w:ascii="Times New Roman" w:hAnsi="Times New Roman" w:eastAsia="宋体" w:cs="Times New Roman"/>
                <w:color w:val="auto"/>
                <w:kern w:val="2"/>
                <w:sz w:val="24"/>
                <w:szCs w:val="24"/>
                <w:lang w:val="en-US" w:eastAsia="zh-CN"/>
              </w:rPr>
              <w:t>0.3</w:t>
            </w:r>
            <w:r>
              <w:rPr>
                <w:rFonts w:hint="default" w:ascii="Times New Roman" w:hAnsi="Times New Roman" w:eastAsia="宋体" w:cs="Times New Roman"/>
                <w:color w:val="auto"/>
                <w:kern w:val="2"/>
                <w:sz w:val="24"/>
                <w:szCs w:val="24"/>
              </w:rPr>
              <w:t>m、风机风量</w:t>
            </w:r>
            <w:r>
              <w:rPr>
                <w:rFonts w:hint="default" w:ascii="Times New Roman" w:hAnsi="Times New Roman" w:eastAsia="宋体" w:cs="Times New Roman"/>
                <w:color w:val="auto"/>
                <w:kern w:val="2"/>
                <w:sz w:val="24"/>
                <w:szCs w:val="24"/>
                <w:lang w:val="en-US" w:eastAsia="zh-CN"/>
              </w:rPr>
              <w:t>13</w:t>
            </w:r>
            <w:r>
              <w:rPr>
                <w:rFonts w:hint="default" w:ascii="Times New Roman" w:hAnsi="Times New Roman" w:eastAsia="宋体" w:cs="Times New Roman"/>
                <w:color w:val="auto"/>
                <w:kern w:val="2"/>
                <w:sz w:val="24"/>
                <w:szCs w:val="24"/>
              </w:rPr>
              <w:t>000m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/h</w:t>
            </w:r>
            <w:r>
              <w:rPr>
                <w:rFonts w:hint="default" w:ascii="Times New Roman" w:hAnsi="Times New Roman" w:eastAsia="宋体" w:cs="Times New Roman"/>
                <w:color w:val="auto"/>
                <w:kern w:val="2"/>
                <w:sz w:val="24"/>
                <w:szCs w:val="24"/>
                <w:lang w:eastAsia="zh-CN"/>
              </w:rPr>
              <w:t>。</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color w:val="auto"/>
                <w:kern w:val="2"/>
                <w:sz w:val="24"/>
                <w:szCs w:val="24"/>
                <w:lang w:eastAsia="zh-CN"/>
              </w:rPr>
              <w:t>本</w:t>
            </w:r>
            <w:r>
              <w:rPr>
                <w:rFonts w:hint="default" w:ascii="Times New Roman" w:hAnsi="Times New Roman" w:eastAsia="宋体" w:cs="Times New Roman"/>
                <w:color w:val="auto"/>
                <w:kern w:val="2"/>
                <w:sz w:val="24"/>
                <w:szCs w:val="24"/>
              </w:rPr>
              <w:t>项目严格按照评价提出的环保措施实施后，废气可实现达标排放，不会对区域环境空气质量产生明显影响。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680" w:hRule="atLeast"/>
          <w:jc w:val="center"/>
        </w:trPr>
        <w:tc>
          <w:tcPr>
            <w:tcW w:w="9260" w:type="dxa"/>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4.2.2废水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4.2.2.1废水的产生情况</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根据前文可知，外排废水主要为地面清洁废水W3、生活污水W4和食堂废水W5。</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根据水平衡前文分析，本项目废水产生情况如下：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（1）地面清洁废水W3：地面清洁废水排水量1555.5m³/a，主要污染因子为：COD：300mg/L、SS：200mg/L。</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（2）生活污水W4、食堂废水W5</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生活污水产生量9990m³/a，主要污染因子为COD：500mg/L、BOD</w:t>
            </w:r>
            <w:r>
              <w:rPr>
                <w:rFonts w:hint="default" w:ascii="Times New Roman" w:hAnsi="Times New Roman" w:eastAsia="宋体" w:cs="Times New Roman"/>
                <w:color w:val="auto"/>
                <w:kern w:val="2"/>
                <w:sz w:val="24"/>
                <w:szCs w:val="24"/>
                <w:vertAlign w:val="subscript"/>
                <w:lang w:val="en-US" w:eastAsia="zh-CN"/>
              </w:rPr>
              <w:t>5</w:t>
            </w:r>
            <w:r>
              <w:rPr>
                <w:rFonts w:hint="default" w:ascii="Times New Roman" w:hAnsi="Times New Roman" w:eastAsia="宋体" w:cs="Times New Roman"/>
                <w:color w:val="auto"/>
                <w:kern w:val="2"/>
                <w:sz w:val="24"/>
                <w:szCs w:val="24"/>
                <w:lang w:val="en-US" w:eastAsia="zh-CN"/>
              </w:rPr>
              <w:t>：:250mg/L、SS：400mg/L、NH3-N：50mg/L、TP：20mg/L。</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FF0000"/>
                <w:kern w:val="2"/>
                <w:sz w:val="24"/>
                <w:szCs w:val="24"/>
                <w:highlight w:val="yellow"/>
                <w:lang w:val="en-US" w:eastAsia="zh-CN"/>
              </w:rPr>
            </w:pPr>
            <w:r>
              <w:rPr>
                <w:rFonts w:hint="default" w:ascii="Times New Roman" w:hAnsi="Times New Roman" w:eastAsia="宋体" w:cs="Times New Roman"/>
                <w:color w:val="auto"/>
                <w:kern w:val="2"/>
                <w:sz w:val="24"/>
                <w:szCs w:val="24"/>
                <w:lang w:val="en-US" w:eastAsia="zh-CN"/>
              </w:rPr>
              <w:t>食堂废水产生量4860m³/a，主要污染因子为COD：480mg/L、BOD</w:t>
            </w:r>
            <w:r>
              <w:rPr>
                <w:rFonts w:hint="default" w:ascii="Times New Roman" w:hAnsi="Times New Roman" w:eastAsia="宋体" w:cs="Times New Roman"/>
                <w:color w:val="auto"/>
                <w:kern w:val="2"/>
                <w:sz w:val="24"/>
                <w:szCs w:val="24"/>
                <w:vertAlign w:val="subscript"/>
                <w:lang w:val="en-US" w:eastAsia="zh-CN"/>
              </w:rPr>
              <w:t>5</w:t>
            </w:r>
            <w:r>
              <w:rPr>
                <w:rFonts w:hint="default" w:ascii="Times New Roman" w:hAnsi="Times New Roman" w:eastAsia="宋体" w:cs="Times New Roman"/>
                <w:color w:val="auto"/>
                <w:kern w:val="2"/>
                <w:sz w:val="24"/>
                <w:szCs w:val="24"/>
                <w:lang w:val="en-US" w:eastAsia="zh-CN"/>
              </w:rPr>
              <w:t>：:240mg/L、SS：380mg/L、NH3-N：45mg/L、TP：20mg/L、动植物油：120mg/L。</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3）食堂废水经隔油池预处理后与生活污水一并经新建生化池处理达《污水综合排放标准》（GB8978-1996）三级标准后经市政污水管网进入农创园污水处理厂深度处理达《地表水环境质量标准》（GB3838-2002）中的Ⅳ类水体标准（COD、BOD、氨氮、总磷、石油类）和《城镇污水处理厂污染物排放标准》(GB18918-2002）一级A标准（其余指标）后排入嘉陵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20" w:lineRule="exact"/>
              <w:ind w:left="0" w:right="0" w:firstLine="480" w:firstLineChars="200"/>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color w:val="auto"/>
                <w:kern w:val="2"/>
                <w:sz w:val="24"/>
                <w:szCs w:val="24"/>
                <w:lang w:val="en-US" w:eastAsia="zh-CN"/>
              </w:rPr>
              <w:t>本项目废水污染物及排放情况汇总详见表4.2-14。</w:t>
            </w:r>
          </w:p>
        </w:tc>
      </w:tr>
    </w:tbl>
    <w:p>
      <w:pPr>
        <w:spacing w:after="0" w:line="420" w:lineRule="exact"/>
        <w:jc w:val="center"/>
        <w:rPr>
          <w:rFonts w:hint="default" w:ascii="Times New Roman" w:hAnsi="Times New Roman" w:eastAsia="宋体" w:cs="Times New Roman"/>
          <w:b/>
          <w:sz w:val="21"/>
          <w:szCs w:val="21"/>
        </w:rPr>
        <w:sectPr>
          <w:pgSz w:w="11906" w:h="16838"/>
          <w:pgMar w:top="1417" w:right="1417" w:bottom="1417" w:left="1417" w:header="1134" w:footer="1021" w:gutter="0"/>
          <w:cols w:space="708" w:num="1"/>
          <w:docGrid w:linePitch="360" w:charSpace="0"/>
        </w:sectPr>
      </w:pPr>
    </w:p>
    <w:p>
      <w:pPr>
        <w:spacing w:after="0" w:line="42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表4.2-1</w:t>
      </w:r>
      <w:r>
        <w:rPr>
          <w:rFonts w:hint="default" w:ascii="Times New Roman" w:hAnsi="Times New Roman" w:eastAsia="宋体" w:cs="Times New Roman"/>
          <w:b/>
          <w:bCs w:val="0"/>
          <w:sz w:val="24"/>
          <w:szCs w:val="24"/>
          <w:lang w:val="en-US" w:eastAsia="zh-CN"/>
        </w:rPr>
        <w:t>4</w:t>
      </w:r>
      <w:r>
        <w:rPr>
          <w:rFonts w:hint="default" w:ascii="Times New Roman" w:hAnsi="Times New Roman" w:eastAsia="宋体" w:cs="Times New Roman"/>
          <w:b/>
          <w:bCs w:val="0"/>
          <w:sz w:val="24"/>
          <w:szCs w:val="24"/>
        </w:rPr>
        <w:t xml:space="preserve">  项目废水产、排情况一览表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95"/>
        <w:gridCol w:w="825"/>
        <w:gridCol w:w="791"/>
        <w:gridCol w:w="728"/>
        <w:gridCol w:w="2139"/>
        <w:gridCol w:w="760"/>
        <w:gridCol w:w="682"/>
        <w:gridCol w:w="868"/>
        <w:gridCol w:w="852"/>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类别</w:t>
            </w:r>
          </w:p>
        </w:tc>
        <w:tc>
          <w:tcPr>
            <w:tcW w:w="825"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污染物</w:t>
            </w:r>
          </w:p>
        </w:tc>
        <w:tc>
          <w:tcPr>
            <w:tcW w:w="1519" w:type="dxa"/>
            <w:gridSpan w:val="2"/>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产生情况</w:t>
            </w:r>
          </w:p>
        </w:tc>
        <w:tc>
          <w:tcPr>
            <w:tcW w:w="2139"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治理措施</w:t>
            </w:r>
          </w:p>
        </w:tc>
        <w:tc>
          <w:tcPr>
            <w:tcW w:w="1442" w:type="dxa"/>
            <w:gridSpan w:val="2"/>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标准厂房生化池排放口（三级标准）</w:t>
            </w:r>
          </w:p>
        </w:tc>
        <w:tc>
          <w:tcPr>
            <w:tcW w:w="1720" w:type="dxa"/>
            <w:gridSpan w:val="2"/>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园区污水处理厂处理后排入嘉陵江（一级B标准）</w:t>
            </w:r>
          </w:p>
        </w:tc>
        <w:tc>
          <w:tcPr>
            <w:tcW w:w="588"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浓度</w:t>
            </w:r>
          </w:p>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（mg/ L）</w:t>
            </w:r>
          </w:p>
        </w:tc>
        <w:tc>
          <w:tcPr>
            <w:tcW w:w="72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产生量（t/a）</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浓度</w:t>
            </w:r>
          </w:p>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（mg/ L）</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排放量（t/a）</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浓度</w:t>
            </w:r>
          </w:p>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（mg/ L）</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排放量（t/a）</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77" w:hRule="atLeast"/>
          <w:jc w:val="center"/>
        </w:trPr>
        <w:tc>
          <w:tcPr>
            <w:tcW w:w="895"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地面清洁废水</w:t>
            </w:r>
          </w:p>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（5.</w:t>
            </w:r>
            <w:r>
              <w:rPr>
                <w:rFonts w:hint="default" w:ascii="Times New Roman" w:hAnsi="Times New Roman" w:eastAsia="宋体" w:cs="Times New Roman"/>
                <w:kern w:val="2"/>
                <w:sz w:val="21"/>
                <w:szCs w:val="21"/>
              </w:rPr>
              <w:t>185</w:t>
            </w:r>
            <w:r>
              <w:rPr>
                <w:rFonts w:hint="default" w:ascii="Times New Roman" w:hAnsi="Times New Roman" w:eastAsia="宋体" w:cs="Times New Roman"/>
                <w:kern w:val="2"/>
                <w:sz w:val="21"/>
                <w:szCs w:val="21"/>
                <w:lang w:val="pt-BR"/>
              </w:rPr>
              <w:t>m</w:t>
            </w:r>
            <w:r>
              <w:rPr>
                <w:rFonts w:hint="default" w:ascii="Times New Roman" w:hAnsi="Times New Roman" w:eastAsia="宋体" w:cs="Times New Roman"/>
                <w:kern w:val="2"/>
                <w:sz w:val="21"/>
                <w:szCs w:val="21"/>
                <w:vertAlign w:val="superscript"/>
                <w:lang w:val="pt-BR"/>
              </w:rPr>
              <w:t>3</w:t>
            </w:r>
            <w:r>
              <w:rPr>
                <w:rFonts w:hint="default" w:ascii="Times New Roman" w:hAnsi="Times New Roman" w:eastAsia="宋体" w:cs="Times New Roman"/>
                <w:kern w:val="2"/>
                <w:sz w:val="21"/>
                <w:szCs w:val="21"/>
                <w:lang w:val="pt-BR"/>
              </w:rPr>
              <w:t>/d）</w:t>
            </w:r>
          </w:p>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r>
              <w:rPr>
                <w:rFonts w:hint="default" w:ascii="Times New Roman" w:hAnsi="Times New Roman" w:eastAsia="宋体" w:cs="Times New Roman"/>
                <w:kern w:val="2"/>
                <w:sz w:val="21"/>
                <w:szCs w:val="21"/>
              </w:rPr>
              <w:t>1555.5</w:t>
            </w:r>
            <w:r>
              <w:rPr>
                <w:rFonts w:hint="default" w:ascii="Times New Roman" w:hAnsi="Times New Roman" w:cs="Times New Roman"/>
              </w:rPr>
              <w:t>m³/a</w:t>
            </w:r>
            <w:r>
              <w:rPr>
                <w:rFonts w:hint="default" w:ascii="Times New Roman" w:hAnsi="Times New Roman" w:eastAsia="宋体" w:cs="Times New Roman"/>
                <w:kern w:val="2"/>
                <w:sz w:val="21"/>
                <w:szCs w:val="21"/>
                <w:lang w:val="pt-BR"/>
              </w:rPr>
              <w:t>）</w:t>
            </w: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COD</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300</w:t>
            </w:r>
          </w:p>
        </w:tc>
        <w:tc>
          <w:tcPr>
            <w:tcW w:w="72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rPr>
              <w:t>0.46665</w:t>
            </w:r>
          </w:p>
        </w:tc>
        <w:tc>
          <w:tcPr>
            <w:tcW w:w="2139"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食堂废水经隔油池预处理后与生活污水、喷淋废水一并经新建生化池处理达《污水综合排放标准》（GB8978-1996）三级标准后经市政污水管网进入农创园污水处理厂深度处理达《地表水环境质量标准》（GB3838-2002）中的Ⅳ类水体标准（COD、BOD、氨氮、总磷、石油类）和《城镇污水处理厂污染物排放标准》(GB18918-2002）一级</w:t>
            </w:r>
            <w:r>
              <w:rPr>
                <w:rFonts w:hint="default" w:ascii="Times New Roman" w:hAnsi="Times New Roman" w:eastAsia="宋体" w:cs="Times New Roman"/>
                <w:kern w:val="2"/>
                <w:sz w:val="21"/>
                <w:szCs w:val="21"/>
              </w:rPr>
              <w:t>B</w:t>
            </w:r>
            <w:r>
              <w:rPr>
                <w:rFonts w:hint="default" w:ascii="Times New Roman" w:hAnsi="Times New Roman" w:eastAsia="宋体" w:cs="Times New Roman"/>
                <w:kern w:val="2"/>
                <w:sz w:val="21"/>
                <w:szCs w:val="21"/>
                <w:lang w:val="pt-BR"/>
              </w:rPr>
              <w:t>标准后排入嘉陵江。</w:t>
            </w:r>
          </w:p>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SS</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200</w:t>
            </w:r>
          </w:p>
        </w:tc>
        <w:tc>
          <w:tcPr>
            <w:tcW w:w="72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rPr>
              <w:t>0.3111</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生活污水</w:t>
            </w:r>
          </w:p>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r>
              <w:rPr>
                <w:rFonts w:hint="default" w:ascii="Times New Roman" w:hAnsi="Times New Roman" w:eastAsia="宋体" w:cs="Times New Roman"/>
                <w:kern w:val="2"/>
                <w:sz w:val="21"/>
                <w:szCs w:val="21"/>
              </w:rPr>
              <w:t>33.3</w:t>
            </w:r>
            <w:r>
              <w:rPr>
                <w:rFonts w:hint="default" w:ascii="Times New Roman" w:hAnsi="Times New Roman" w:eastAsia="宋体" w:cs="Times New Roman"/>
                <w:kern w:val="2"/>
                <w:sz w:val="21"/>
                <w:szCs w:val="21"/>
                <w:lang w:val="pt-BR"/>
              </w:rPr>
              <w:t>m</w:t>
            </w:r>
            <w:r>
              <w:rPr>
                <w:rFonts w:hint="default" w:ascii="Times New Roman" w:hAnsi="Times New Roman" w:eastAsia="宋体" w:cs="Times New Roman"/>
                <w:kern w:val="2"/>
                <w:sz w:val="21"/>
                <w:szCs w:val="21"/>
                <w:vertAlign w:val="superscript"/>
                <w:lang w:val="pt-BR"/>
              </w:rPr>
              <w:t>3</w:t>
            </w:r>
            <w:r>
              <w:rPr>
                <w:rFonts w:hint="default" w:ascii="Times New Roman" w:hAnsi="Times New Roman" w:eastAsia="宋体" w:cs="Times New Roman"/>
                <w:kern w:val="2"/>
                <w:sz w:val="21"/>
                <w:szCs w:val="21"/>
                <w:lang w:val="pt-BR"/>
              </w:rPr>
              <w:t>/d）（</w:t>
            </w:r>
            <w:r>
              <w:rPr>
                <w:rFonts w:hint="default" w:ascii="Times New Roman" w:hAnsi="Times New Roman" w:eastAsia="宋体" w:cs="Times New Roman"/>
                <w:sz w:val="21"/>
                <w:szCs w:val="21"/>
                <w:lang w:bidi="ar"/>
              </w:rPr>
              <w:t>9990</w:t>
            </w:r>
            <w:r>
              <w:rPr>
                <w:rFonts w:hint="default" w:ascii="Times New Roman" w:hAnsi="Times New Roman" w:eastAsia="宋体" w:cs="Times New Roman"/>
                <w:kern w:val="2"/>
                <w:sz w:val="21"/>
                <w:szCs w:val="21"/>
                <w:lang w:val="pt-BR"/>
              </w:rPr>
              <w:t>m</w:t>
            </w:r>
            <w:r>
              <w:rPr>
                <w:rFonts w:hint="default" w:ascii="Times New Roman" w:hAnsi="Times New Roman" w:eastAsia="宋体" w:cs="Times New Roman"/>
                <w:kern w:val="2"/>
                <w:sz w:val="21"/>
                <w:szCs w:val="21"/>
                <w:vertAlign w:val="superscript"/>
                <w:lang w:val="pt-BR"/>
              </w:rPr>
              <w:t>3</w:t>
            </w:r>
            <w:r>
              <w:rPr>
                <w:rFonts w:hint="default" w:ascii="Times New Roman" w:hAnsi="Times New Roman" w:eastAsia="宋体" w:cs="Times New Roman"/>
                <w:kern w:val="2"/>
                <w:sz w:val="21"/>
                <w:szCs w:val="21"/>
                <w:lang w:val="pt-BR"/>
              </w:rPr>
              <w:t>/a）</w:t>
            </w: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COD</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500</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4.995</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BOD</w:t>
            </w:r>
            <w:r>
              <w:rPr>
                <w:rFonts w:hint="default" w:ascii="Times New Roman" w:hAnsi="Times New Roman" w:eastAsia="宋体" w:cs="Times New Roman"/>
                <w:kern w:val="2"/>
                <w:sz w:val="21"/>
                <w:szCs w:val="21"/>
                <w:vertAlign w:val="subscript"/>
                <w:lang w:val="pt-BR"/>
              </w:rPr>
              <w:t>5</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250</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2.4975</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SS</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400</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3.996</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NH3-N</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50</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0.4995</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sz w:val="21"/>
                <w:szCs w:val="21"/>
                <w:lang w:bidi="ar"/>
              </w:rPr>
              <w:t>TP</w:t>
            </w:r>
          </w:p>
        </w:tc>
        <w:tc>
          <w:tcPr>
            <w:tcW w:w="791"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20</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0.1998</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18" w:hRule="atLeast"/>
          <w:jc w:val="center"/>
        </w:trPr>
        <w:tc>
          <w:tcPr>
            <w:tcW w:w="895"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食堂废水</w:t>
            </w:r>
          </w:p>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r>
              <w:rPr>
                <w:rFonts w:hint="default" w:ascii="Times New Roman" w:hAnsi="Times New Roman" w:eastAsia="宋体" w:cs="Times New Roman"/>
                <w:kern w:val="2"/>
                <w:sz w:val="21"/>
                <w:szCs w:val="21"/>
              </w:rPr>
              <w:t>16.2</w:t>
            </w:r>
            <w:r>
              <w:rPr>
                <w:rFonts w:hint="default" w:ascii="Times New Roman" w:hAnsi="Times New Roman" w:eastAsia="宋体" w:cs="Times New Roman"/>
                <w:kern w:val="2"/>
                <w:sz w:val="21"/>
                <w:szCs w:val="21"/>
                <w:lang w:val="pt-BR"/>
              </w:rPr>
              <w:t>m</w:t>
            </w:r>
            <w:r>
              <w:rPr>
                <w:rFonts w:hint="default" w:ascii="Times New Roman" w:hAnsi="Times New Roman" w:eastAsia="宋体" w:cs="Times New Roman"/>
                <w:kern w:val="2"/>
                <w:sz w:val="21"/>
                <w:szCs w:val="21"/>
                <w:vertAlign w:val="superscript"/>
                <w:lang w:val="pt-BR"/>
              </w:rPr>
              <w:t>3</w:t>
            </w:r>
            <w:r>
              <w:rPr>
                <w:rFonts w:hint="default" w:ascii="Times New Roman" w:hAnsi="Times New Roman" w:eastAsia="宋体" w:cs="Times New Roman"/>
                <w:kern w:val="2"/>
                <w:sz w:val="21"/>
                <w:szCs w:val="21"/>
                <w:lang w:val="pt-BR"/>
              </w:rPr>
              <w:t>/d）（</w:t>
            </w:r>
            <w:r>
              <w:rPr>
                <w:rFonts w:hint="default" w:ascii="Times New Roman" w:hAnsi="Times New Roman" w:eastAsia="宋体" w:cs="Times New Roman"/>
                <w:sz w:val="21"/>
                <w:szCs w:val="21"/>
                <w:lang w:bidi="ar"/>
              </w:rPr>
              <w:t>4860</w:t>
            </w:r>
            <w:r>
              <w:rPr>
                <w:rFonts w:hint="default" w:ascii="Times New Roman" w:hAnsi="Times New Roman" w:eastAsia="宋体" w:cs="Times New Roman"/>
                <w:kern w:val="2"/>
                <w:sz w:val="21"/>
                <w:szCs w:val="21"/>
                <w:lang w:val="pt-BR"/>
              </w:rPr>
              <w:t>m</w:t>
            </w:r>
            <w:r>
              <w:rPr>
                <w:rFonts w:hint="default" w:ascii="Times New Roman" w:hAnsi="Times New Roman" w:eastAsia="宋体" w:cs="Times New Roman"/>
                <w:kern w:val="2"/>
                <w:sz w:val="21"/>
                <w:szCs w:val="21"/>
                <w:vertAlign w:val="superscript"/>
                <w:lang w:val="pt-BR"/>
              </w:rPr>
              <w:t>3</w:t>
            </w:r>
            <w:r>
              <w:rPr>
                <w:rFonts w:hint="default" w:ascii="Times New Roman" w:hAnsi="Times New Roman" w:eastAsia="宋体" w:cs="Times New Roman"/>
                <w:kern w:val="2"/>
                <w:sz w:val="21"/>
                <w:szCs w:val="21"/>
                <w:lang w:val="pt-BR"/>
              </w:rPr>
              <w:t>/a）</w:t>
            </w: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COD</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 xml:space="preserve">480 </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2.3328</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BOD</w:t>
            </w:r>
            <w:r>
              <w:rPr>
                <w:rFonts w:hint="default" w:ascii="Times New Roman" w:hAnsi="Times New Roman" w:eastAsia="宋体" w:cs="Times New Roman"/>
                <w:kern w:val="2"/>
                <w:sz w:val="21"/>
                <w:szCs w:val="21"/>
                <w:vertAlign w:val="subscript"/>
                <w:lang w:val="pt-BR"/>
              </w:rPr>
              <w:t>5</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 xml:space="preserve">240 </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1.1664</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SS</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 xml:space="preserve">380 </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1.8468</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NH3-N</w:t>
            </w:r>
          </w:p>
        </w:tc>
        <w:tc>
          <w:tcPr>
            <w:tcW w:w="791"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 xml:space="preserve">45 </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0.2187</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sz w:val="21"/>
                <w:szCs w:val="21"/>
                <w:lang w:bidi="ar"/>
              </w:rPr>
              <w:t>TP</w:t>
            </w:r>
          </w:p>
        </w:tc>
        <w:tc>
          <w:tcPr>
            <w:tcW w:w="791"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20</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0.0972</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sz w:val="21"/>
                <w:szCs w:val="21"/>
                <w:lang w:bidi="ar"/>
              </w:rPr>
              <w:t>动植物油</w:t>
            </w:r>
          </w:p>
        </w:tc>
        <w:tc>
          <w:tcPr>
            <w:tcW w:w="791"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120</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0.5832</w:t>
            </w:r>
          </w:p>
        </w:tc>
        <w:tc>
          <w:tcPr>
            <w:tcW w:w="2139"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760"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68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588" w:type="dxa"/>
            <w:vMerge w:val="continue"/>
          </w:tcPr>
          <w:p>
            <w:pPr>
              <w:topLinePunct/>
              <w:spacing w:after="0"/>
              <w:jc w:val="center"/>
              <w:rPr>
                <w:rFonts w:hint="default" w:ascii="Times New Roman" w:hAnsi="Times New Roman" w:eastAsia="宋体" w:cs="Times New Roman"/>
                <w:kern w:val="2"/>
                <w:sz w:val="21"/>
                <w:szCs w:val="21"/>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restart"/>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总计</w:t>
            </w:r>
          </w:p>
        </w:tc>
        <w:tc>
          <w:tcPr>
            <w:tcW w:w="825"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COD</w:t>
            </w:r>
          </w:p>
        </w:tc>
        <w:tc>
          <w:tcPr>
            <w:tcW w:w="791"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7.79445</w:t>
            </w:r>
          </w:p>
        </w:tc>
        <w:tc>
          <w:tcPr>
            <w:tcW w:w="2139"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760"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r>
              <w:rPr>
                <w:rFonts w:hint="default" w:ascii="Times New Roman" w:hAnsi="Times New Roman" w:eastAsia="宋体" w:cs="Times New Roman"/>
                <w:kern w:val="2"/>
                <w:sz w:val="21"/>
                <w:szCs w:val="21"/>
                <w:lang w:val="pt-BR"/>
              </w:rPr>
              <w:t>00</w:t>
            </w:r>
          </w:p>
        </w:tc>
        <w:tc>
          <w:tcPr>
            <w:tcW w:w="682"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7.794</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60</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rPr>
              <w:t>0.9843</w:t>
            </w:r>
          </w:p>
        </w:tc>
        <w:tc>
          <w:tcPr>
            <w:tcW w:w="588" w:type="dxa"/>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3"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BOD</w:t>
            </w:r>
            <w:r>
              <w:rPr>
                <w:rFonts w:hint="default" w:ascii="Times New Roman" w:hAnsi="Times New Roman" w:eastAsia="宋体" w:cs="Times New Roman"/>
                <w:kern w:val="2"/>
                <w:sz w:val="21"/>
                <w:szCs w:val="21"/>
                <w:vertAlign w:val="subscript"/>
                <w:lang w:val="pt-BR"/>
              </w:rPr>
              <w:t>5</w:t>
            </w:r>
          </w:p>
        </w:tc>
        <w:tc>
          <w:tcPr>
            <w:tcW w:w="791"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3.6639</w:t>
            </w:r>
          </w:p>
        </w:tc>
        <w:tc>
          <w:tcPr>
            <w:tcW w:w="2139"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760"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r>
              <w:rPr>
                <w:rFonts w:hint="default" w:ascii="Times New Roman" w:hAnsi="Times New Roman" w:eastAsia="宋体" w:cs="Times New Roman"/>
                <w:kern w:val="2"/>
                <w:sz w:val="21"/>
                <w:szCs w:val="21"/>
                <w:lang w:val="pt-BR"/>
              </w:rPr>
              <w:t>00</w:t>
            </w:r>
          </w:p>
        </w:tc>
        <w:tc>
          <w:tcPr>
            <w:tcW w:w="682"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3.897</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20</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rPr>
              <w:t>0.6251</w:t>
            </w:r>
          </w:p>
        </w:tc>
        <w:tc>
          <w:tcPr>
            <w:tcW w:w="588" w:type="dxa"/>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SS</w:t>
            </w:r>
          </w:p>
        </w:tc>
        <w:tc>
          <w:tcPr>
            <w:tcW w:w="791"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6.1539</w:t>
            </w:r>
          </w:p>
        </w:tc>
        <w:tc>
          <w:tcPr>
            <w:tcW w:w="2139"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760"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r>
              <w:rPr>
                <w:rFonts w:hint="default" w:ascii="Times New Roman" w:hAnsi="Times New Roman" w:eastAsia="宋体" w:cs="Times New Roman"/>
                <w:kern w:val="2"/>
                <w:sz w:val="21"/>
                <w:szCs w:val="21"/>
                <w:lang w:val="pt-BR"/>
              </w:rPr>
              <w:t>00</w:t>
            </w:r>
          </w:p>
        </w:tc>
        <w:tc>
          <w:tcPr>
            <w:tcW w:w="682"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6.154</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20</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rPr>
              <w:t>0.6251</w:t>
            </w:r>
          </w:p>
        </w:tc>
        <w:tc>
          <w:tcPr>
            <w:tcW w:w="588" w:type="dxa"/>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NH3-N</w:t>
            </w:r>
          </w:p>
        </w:tc>
        <w:tc>
          <w:tcPr>
            <w:tcW w:w="791"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0.719</w:t>
            </w:r>
          </w:p>
        </w:tc>
        <w:tc>
          <w:tcPr>
            <w:tcW w:w="2139"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760"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45</w:t>
            </w:r>
          </w:p>
        </w:tc>
        <w:tc>
          <w:tcPr>
            <w:tcW w:w="682"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0.</w:t>
            </w:r>
            <w:r>
              <w:rPr>
                <w:rFonts w:hint="default" w:ascii="Times New Roman" w:hAnsi="Times New Roman" w:eastAsia="宋体" w:cs="Times New Roman"/>
                <w:kern w:val="2"/>
                <w:sz w:val="21"/>
                <w:szCs w:val="21"/>
              </w:rPr>
              <w:t>669</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8</w:t>
            </w:r>
          </w:p>
        </w:tc>
        <w:tc>
          <w:tcPr>
            <w:tcW w:w="852"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0.119</w:t>
            </w:r>
          </w:p>
        </w:tc>
        <w:tc>
          <w:tcPr>
            <w:tcW w:w="588" w:type="dxa"/>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TP</w:t>
            </w:r>
          </w:p>
        </w:tc>
        <w:tc>
          <w:tcPr>
            <w:tcW w:w="791"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72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0.297</w:t>
            </w:r>
          </w:p>
        </w:tc>
        <w:tc>
          <w:tcPr>
            <w:tcW w:w="2139"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760"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w:t>
            </w:r>
          </w:p>
        </w:tc>
        <w:tc>
          <w:tcPr>
            <w:tcW w:w="682"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0.0389</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rPr>
              <w:t>1</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rPr>
              <w:t>0.061</w:t>
            </w:r>
          </w:p>
        </w:tc>
        <w:tc>
          <w:tcPr>
            <w:tcW w:w="588" w:type="dxa"/>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895" w:type="dxa"/>
            <w:vMerge w:val="continue"/>
            <w:vAlign w:val="center"/>
          </w:tcPr>
          <w:p>
            <w:pPr>
              <w:topLinePunct/>
              <w:spacing w:after="0"/>
              <w:jc w:val="center"/>
              <w:rPr>
                <w:rFonts w:hint="default" w:ascii="Times New Roman" w:hAnsi="Times New Roman" w:eastAsia="宋体" w:cs="Times New Roman"/>
                <w:kern w:val="2"/>
                <w:sz w:val="21"/>
                <w:szCs w:val="21"/>
                <w:lang w:val="pt-BR"/>
              </w:rPr>
            </w:pPr>
          </w:p>
        </w:tc>
        <w:tc>
          <w:tcPr>
            <w:tcW w:w="825"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动植物油</w:t>
            </w:r>
          </w:p>
        </w:tc>
        <w:tc>
          <w:tcPr>
            <w:tcW w:w="791"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w:t>
            </w:r>
          </w:p>
        </w:tc>
        <w:tc>
          <w:tcPr>
            <w:tcW w:w="72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rPr>
              <w:t>0.5832</w:t>
            </w:r>
          </w:p>
        </w:tc>
        <w:tc>
          <w:tcPr>
            <w:tcW w:w="2139"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c>
          <w:tcPr>
            <w:tcW w:w="760"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100</w:t>
            </w:r>
          </w:p>
        </w:tc>
        <w:tc>
          <w:tcPr>
            <w:tcW w:w="682"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pt-BR"/>
              </w:rPr>
              <w:t>0.</w:t>
            </w:r>
            <w:r>
              <w:rPr>
                <w:rFonts w:hint="default" w:ascii="Times New Roman" w:hAnsi="Times New Roman" w:eastAsia="宋体" w:cs="Times New Roman"/>
                <w:kern w:val="2"/>
                <w:sz w:val="21"/>
                <w:szCs w:val="21"/>
              </w:rPr>
              <w:t>486</w:t>
            </w:r>
          </w:p>
        </w:tc>
        <w:tc>
          <w:tcPr>
            <w:tcW w:w="868"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3</w:t>
            </w:r>
          </w:p>
        </w:tc>
        <w:tc>
          <w:tcPr>
            <w:tcW w:w="852" w:type="dxa"/>
            <w:vAlign w:val="center"/>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rPr>
              <w:t>0.1675</w:t>
            </w:r>
          </w:p>
        </w:tc>
        <w:tc>
          <w:tcPr>
            <w:tcW w:w="588" w:type="dxa"/>
          </w:tcPr>
          <w:p>
            <w:pPr>
              <w:topLinePunct/>
              <w:spacing w:after="0"/>
              <w:jc w:val="center"/>
              <w:rPr>
                <w:rFonts w:hint="default" w:ascii="Times New Roman" w:hAnsi="Times New Roman" w:eastAsia="宋体" w:cs="Times New Roman"/>
                <w:kern w:val="2"/>
                <w:sz w:val="21"/>
                <w:szCs w:val="21"/>
                <w:lang w:val="pt-BR"/>
              </w:rPr>
            </w:pPr>
            <w:r>
              <w:rPr>
                <w:rFonts w:hint="default" w:ascii="Times New Roman" w:hAnsi="Times New Roman" w:eastAsia="宋体" w:cs="Times New Roman"/>
                <w:kern w:val="2"/>
                <w:sz w:val="21"/>
                <w:szCs w:val="21"/>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9128" w:type="dxa"/>
            <w:gridSpan w:val="10"/>
            <w:vAlign w:val="center"/>
          </w:tcPr>
          <w:p>
            <w:pPr>
              <w:pStyle w:val="107"/>
              <w:jc w:val="left"/>
              <w:rPr>
                <w:rFonts w:hint="default" w:ascii="Times New Roman" w:hAnsi="Times New Roman" w:cs="Times New Roman"/>
                <w:kern w:val="2"/>
                <w:lang w:val="pt-BR"/>
              </w:rPr>
            </w:pPr>
            <w:r>
              <w:rPr>
                <w:rFonts w:hint="default" w:ascii="Times New Roman" w:hAnsi="Times New Roman" w:cs="Times New Roman"/>
              </w:rPr>
              <w:t>注：*氨氮、总磷排放浓度参照《污水排入城镇下水道水质标准》（GB/T31962-2015）表1中B级标准限值要求。</w:t>
            </w:r>
          </w:p>
        </w:tc>
      </w:tr>
    </w:tbl>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由表4.2-1</w:t>
      </w:r>
      <w:r>
        <w:rPr>
          <w:rFonts w:hint="default" w:ascii="Times New Roman" w:hAnsi="Times New Roman" w:eastAsia="宋体" w:cs="Times New Roman"/>
          <w:kern w:val="2"/>
          <w:sz w:val="24"/>
          <w:szCs w:val="24"/>
          <w:lang w:val="en-US" w:eastAsia="zh-CN"/>
        </w:rPr>
        <w:t>4</w:t>
      </w:r>
      <w:r>
        <w:rPr>
          <w:rFonts w:hint="default" w:ascii="Times New Roman" w:hAnsi="Times New Roman" w:eastAsia="宋体" w:cs="Times New Roman"/>
          <w:kern w:val="2"/>
          <w:sz w:val="24"/>
          <w:szCs w:val="24"/>
        </w:rPr>
        <w:t>可知，本项目外排污水经处理后能达标排放。</w:t>
      </w:r>
    </w:p>
    <w:tbl>
      <w:tblPr>
        <w:tblStyle w:val="31"/>
        <w:tblW w:w="504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92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1972" w:hRule="atLeast"/>
          <w:jc w:val="center"/>
        </w:trPr>
        <w:tc>
          <w:tcPr>
            <w:tcW w:w="9260" w:type="dxa"/>
          </w:tcPr>
          <w:p>
            <w:pPr>
              <w:spacing w:after="0" w:line="440" w:lineRule="exact"/>
              <w:rPr>
                <w:rFonts w:hint="default" w:ascii="Times New Roman" w:hAnsi="Times New Roman" w:eastAsia="宋体" w:cs="Times New Roman"/>
                <w:b/>
                <w:bCs/>
                <w:sz w:val="24"/>
              </w:rPr>
            </w:pPr>
            <w:r>
              <w:rPr>
                <w:rFonts w:hint="default" w:ascii="Times New Roman" w:hAnsi="Times New Roman" w:eastAsia="宋体" w:cs="Times New Roman"/>
                <w:b/>
                <w:bCs/>
                <w:sz w:val="24"/>
              </w:rPr>
              <w:t>4.2.2.2废水达标排放分析</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bCs/>
                <w:sz w:val="24"/>
                <w:szCs w:val="24"/>
              </w:rPr>
              <w:t>项目用水主要包括生产用水和生活用水，其中生产用水主要是用于设备冷却循环补水，不外排。</w:t>
            </w:r>
            <w:r>
              <w:rPr>
                <w:rFonts w:hint="default" w:ascii="Times New Roman" w:hAnsi="Times New Roman" w:eastAsia="宋体" w:cs="Times New Roman"/>
                <w:kern w:val="2"/>
                <w:sz w:val="24"/>
                <w:szCs w:val="24"/>
              </w:rPr>
              <w:t>食堂废水经隔油池预处理后与生活污水一并经新建生化池处理后，可满足《污水综合排放标准》（GB8978-1996）三级标准限值要求。本项目外排废水能够实现达标排放。</w:t>
            </w:r>
          </w:p>
          <w:p>
            <w:pPr>
              <w:spacing w:after="0" w:line="440" w:lineRule="exact"/>
              <w:rPr>
                <w:rFonts w:hint="default" w:ascii="Times New Roman" w:hAnsi="Times New Roman" w:eastAsia="宋体" w:cs="Times New Roman"/>
                <w:b/>
                <w:bCs/>
                <w:sz w:val="24"/>
              </w:rPr>
            </w:pPr>
            <w:r>
              <w:rPr>
                <w:rFonts w:hint="default" w:ascii="Times New Roman" w:hAnsi="Times New Roman" w:eastAsia="宋体" w:cs="Times New Roman"/>
                <w:b/>
                <w:bCs/>
                <w:sz w:val="24"/>
              </w:rPr>
              <w:t>4.2.2.</w:t>
            </w:r>
            <w:r>
              <w:rPr>
                <w:rFonts w:hint="default" w:ascii="Times New Roman" w:hAnsi="Times New Roman" w:eastAsia="宋体" w:cs="Times New Roman"/>
                <w:b/>
                <w:bCs/>
                <w:sz w:val="24"/>
                <w:lang w:val="en-US" w:eastAsia="zh-CN"/>
              </w:rPr>
              <w:t>3</w:t>
            </w:r>
            <w:r>
              <w:rPr>
                <w:rFonts w:hint="default" w:ascii="Times New Roman" w:hAnsi="Times New Roman" w:eastAsia="宋体" w:cs="Times New Roman"/>
                <w:b/>
                <w:bCs/>
                <w:sz w:val="24"/>
              </w:rPr>
              <w:t>废水处理设施可行性分析</w:t>
            </w:r>
          </w:p>
          <w:p>
            <w:pPr>
              <w:numPr>
                <w:ilvl w:val="0"/>
                <w:numId w:val="5"/>
              </w:num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废水处理设施可行性分析</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综合生活污水排放量9990m³/a（33.3m³/d），综合废水排放量16404m³/a（54.68m³/d）。食堂废水经隔油池（处理规模不小于20m³/d）预处理后与生活污水、喷淋废水、地面清洁用水经新建生化池处理（处理规模不小于60m³/d）达《污水综合排放标准》（GB8978-1996）三级标准后排入市政污水管网进入农创园污水处理厂深度处理，处理达《地表水环境质量标准》（GB3838-2002）中的Ⅳ类水体标准和《城镇污水处理厂污染物排放标准》(GB18918-2002）一级B标准后排入嘉陵江。</w:t>
            </w:r>
          </w:p>
          <w:p>
            <w:pPr>
              <w:spacing w:after="0" w:line="420" w:lineRule="exact"/>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表4.2-1</w:t>
            </w:r>
            <w:r>
              <w:rPr>
                <w:rFonts w:hint="default" w:ascii="Times New Roman" w:hAnsi="Times New Roman" w:eastAsia="宋体" w:cs="Times New Roman"/>
                <w:b/>
                <w:kern w:val="2"/>
                <w:sz w:val="24"/>
                <w:szCs w:val="24"/>
                <w:lang w:val="en-US" w:eastAsia="zh-CN"/>
              </w:rPr>
              <w:t>5</w:t>
            </w:r>
            <w:r>
              <w:rPr>
                <w:rFonts w:hint="default" w:ascii="Times New Roman" w:hAnsi="Times New Roman" w:eastAsia="宋体" w:cs="Times New Roman"/>
                <w:b/>
                <w:kern w:val="2"/>
                <w:sz w:val="24"/>
                <w:szCs w:val="24"/>
              </w:rPr>
              <w:t xml:space="preserve">  自建污水处理设施处理可行性分析</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707"/>
              <w:gridCol w:w="1581"/>
              <w:gridCol w:w="1161"/>
              <w:gridCol w:w="4108"/>
              <w:gridCol w:w="58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694"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产排污环节</w:t>
                  </w:r>
                </w:p>
              </w:tc>
              <w:tc>
                <w:tcPr>
                  <w:tcW w:w="156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污染物种类</w:t>
                  </w:r>
                </w:p>
              </w:tc>
              <w:tc>
                <w:tcPr>
                  <w:tcW w:w="1152"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可行技术</w:t>
                  </w:r>
                </w:p>
              </w:tc>
              <w:tc>
                <w:tcPr>
                  <w:tcW w:w="4075"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项目情况</w:t>
                  </w:r>
                </w:p>
              </w:tc>
              <w:tc>
                <w:tcPr>
                  <w:tcW w:w="583"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是否可行</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694"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地面清洁用水、工作人员生活、住宿和洗手、食堂、喷淋废水</w:t>
                  </w:r>
                </w:p>
              </w:tc>
              <w:tc>
                <w:tcPr>
                  <w:tcW w:w="1568"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pH、COD、BOD5、SS、NH3-N、</w:t>
                  </w:r>
                </w:p>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石油类、</w:t>
                  </w:r>
                  <w:r>
                    <w:rPr>
                      <w:rFonts w:hint="default" w:ascii="Times New Roman" w:hAnsi="Times New Roman" w:eastAsia="宋体" w:cs="Times New Roman"/>
                      <w:kern w:val="2"/>
                      <w:sz w:val="21"/>
                      <w:szCs w:val="21"/>
                      <w:lang w:val="zh-TW"/>
                    </w:rPr>
                    <w:t>TP、动植物油</w:t>
                  </w:r>
                </w:p>
              </w:tc>
              <w:tc>
                <w:tcPr>
                  <w:tcW w:w="1152"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预处理技术+生物处理技术</w:t>
                  </w:r>
                </w:p>
              </w:tc>
              <w:tc>
                <w:tcPr>
                  <w:tcW w:w="4075"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食堂废水经隔油后，与生活污水、地面清洁用水一同经生化池处理后排放</w:t>
                  </w:r>
                </w:p>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废水处理工艺：隔油+生化池（水解酸化）</w:t>
                  </w:r>
                </w:p>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废水处理规模：60m³/d；本项目污水产生量54.73m³/d，能满足项目排水需要</w:t>
                  </w:r>
                </w:p>
              </w:tc>
              <w:tc>
                <w:tcPr>
                  <w:tcW w:w="583" w:type="dxa"/>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是</w:t>
                  </w:r>
                </w:p>
              </w:tc>
            </w:tr>
          </w:tbl>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由表4.2-1</w:t>
            </w:r>
            <w:r>
              <w:rPr>
                <w:rFonts w:hint="default" w:ascii="Times New Roman" w:hAnsi="Times New Roman" w:eastAsia="宋体" w:cs="Times New Roman"/>
                <w:kern w:val="2"/>
                <w:sz w:val="24"/>
                <w:szCs w:val="24"/>
                <w:lang w:val="en-US" w:eastAsia="zh-CN"/>
              </w:rPr>
              <w:t>5</w:t>
            </w:r>
            <w:r>
              <w:rPr>
                <w:rFonts w:hint="default" w:ascii="Times New Roman" w:hAnsi="Times New Roman" w:eastAsia="宋体" w:cs="Times New Roman"/>
                <w:kern w:val="2"/>
                <w:sz w:val="24"/>
                <w:szCs w:val="24"/>
              </w:rPr>
              <w:t>可知，从废水处理工艺和处理规模分析，本项目污水经自建污水处理设施处理是可行的。</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（2）污水处理厂依托可行性分析</w:t>
            </w:r>
          </w:p>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农创园污水处理厂位于重庆市草街街道百岁村6社，合川区草街街道农创园污水厂2014年8月开工建设。2016年12月建成投产。采用A</w:t>
            </w:r>
            <w:r>
              <w:rPr>
                <w:rFonts w:hint="default" w:ascii="Times New Roman" w:hAnsi="Times New Roman" w:eastAsia="宋体" w:cs="Times New Roman"/>
                <w:color w:val="auto"/>
                <w:kern w:val="2"/>
                <w:sz w:val="24"/>
                <w:szCs w:val="24"/>
                <w:vertAlign w:val="subscript"/>
              </w:rPr>
              <w:t>2</w:t>
            </w:r>
            <w:r>
              <w:rPr>
                <w:rFonts w:hint="default" w:ascii="Times New Roman" w:hAnsi="Times New Roman" w:eastAsia="宋体" w:cs="Times New Roman"/>
                <w:color w:val="auto"/>
                <w:kern w:val="2"/>
                <w:sz w:val="24"/>
                <w:szCs w:val="24"/>
              </w:rPr>
              <w:t>/O处理工艺，主要处理对象为合川草街信息安全产业城的城市生活污水和达标排放的工业废水，污水处理厂出水达到《城镇污水处理厂污染物排放标准》（GB18918-2002）一级B标后排入嘉陵江。农创园污水处理厂一期设计处理能力为2万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/d，远期规模为</w:t>
            </w:r>
            <w:r>
              <w:rPr>
                <w:rFonts w:hint="default" w:ascii="Times New Roman" w:hAnsi="Times New Roman" w:cs="Times New Roman" w:eastAsiaTheme="minorEastAsia"/>
                <w:color w:val="auto"/>
              </w:rPr>
              <w:t>7.5</w:t>
            </w:r>
            <w:r>
              <w:rPr>
                <w:rFonts w:hint="default" w:ascii="Times New Roman" w:hAnsi="Times New Roman" w:eastAsia="宋体" w:cs="Times New Roman"/>
                <w:color w:val="auto"/>
                <w:kern w:val="2"/>
                <w:sz w:val="24"/>
                <w:szCs w:val="24"/>
              </w:rPr>
              <w:t>万</w:t>
            </w: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/d，</w:t>
            </w:r>
            <w:r>
              <w:rPr>
                <w:rFonts w:hint="default" w:ascii="Times New Roman" w:hAnsi="Times New Roman" w:eastAsia="宋体" w:cs="Times New Roman"/>
                <w:color w:val="auto"/>
                <w:kern w:val="2"/>
                <w:sz w:val="24"/>
                <w:szCs w:val="24"/>
              </w:rPr>
              <w:t>目前已建成运营。</w:t>
            </w:r>
          </w:p>
          <w:p>
            <w:pPr>
              <w:spacing w:after="0" w:line="420" w:lineRule="exact"/>
              <w:ind w:firstLine="480"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本项目位于农创园污水处理厂的服务范围，区域污水管网已建成并接入农创园污水处理厂。项目废水排放量为55m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/d，在农创园污水处理厂可接受能力内。</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本项目污水经污水处理设施处理达《污水综合排放标准》（GB 8978-1996）三级标准后满足农创园污水处理厂的进水水质要求。因此，本项目污水依托农创园污水处理厂处理的措施可行，能够实现废水的有效治理。</w:t>
            </w:r>
          </w:p>
          <w:p>
            <w:pPr>
              <w:spacing w:after="0" w:line="440" w:lineRule="exact"/>
              <w:rPr>
                <w:rFonts w:hint="default" w:ascii="Times New Roman" w:hAnsi="Times New Roman" w:eastAsia="宋体" w:cs="Times New Roman"/>
                <w:b/>
                <w:bCs/>
                <w:sz w:val="24"/>
              </w:rPr>
            </w:pPr>
            <w:r>
              <w:rPr>
                <w:rFonts w:hint="default" w:ascii="Times New Roman" w:hAnsi="Times New Roman" w:eastAsia="宋体" w:cs="Times New Roman"/>
                <w:b/>
                <w:bCs/>
                <w:sz w:val="24"/>
              </w:rPr>
              <w:t>4.2.2.</w:t>
            </w:r>
            <w:r>
              <w:rPr>
                <w:rFonts w:hint="default" w:ascii="Times New Roman" w:hAnsi="Times New Roman" w:eastAsia="宋体" w:cs="Times New Roman"/>
                <w:b/>
                <w:bCs/>
                <w:sz w:val="24"/>
                <w:lang w:val="en-US" w:eastAsia="zh-CN"/>
              </w:rPr>
              <w:t>4</w:t>
            </w:r>
            <w:r>
              <w:rPr>
                <w:rFonts w:hint="default" w:ascii="Times New Roman" w:hAnsi="Times New Roman" w:eastAsia="宋体" w:cs="Times New Roman"/>
                <w:b/>
                <w:bCs/>
                <w:sz w:val="24"/>
              </w:rPr>
              <w:t>废水监测计划</w:t>
            </w:r>
          </w:p>
          <w:p>
            <w:pPr>
              <w:spacing w:after="0" w:line="420" w:lineRule="exact"/>
              <w:ind w:firstLine="480" w:firstLineChars="200"/>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根据《排污单位自行监测技术指南 橡胶和塑料制品》（HJ 1207—2021）和《排污单位自行监测技术指南 总则》（HJ 819-2017）等相关要求，企业全厂废水总排放口DW001的自行监测计划如下：</w:t>
            </w:r>
          </w:p>
          <w:p>
            <w:pPr>
              <w:pStyle w:val="14"/>
              <w:adjustRightInd w:val="0"/>
              <w:snapToGrid w:val="0"/>
              <w:spacing w:before="120" w:beforeLines="5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表4.2-1</w:t>
            </w:r>
            <w:r>
              <w:rPr>
                <w:rFonts w:hint="default" w:ascii="Times New Roman" w:hAnsi="Times New Roman" w:eastAsia="宋体" w:cs="Times New Roman"/>
                <w:b/>
                <w:bCs/>
                <w:sz w:val="24"/>
                <w:szCs w:val="24"/>
                <w:lang w:val="en-US" w:eastAsia="zh-CN"/>
              </w:rPr>
              <w:t>6</w:t>
            </w:r>
            <w:r>
              <w:rPr>
                <w:rFonts w:hint="default" w:ascii="Times New Roman" w:hAnsi="Times New Roman" w:eastAsia="宋体" w:cs="Times New Roman"/>
                <w:b/>
                <w:bCs/>
                <w:sz w:val="24"/>
                <w:szCs w:val="24"/>
              </w:rPr>
              <w:t>本项目废水环境监测计划</w:t>
            </w:r>
          </w:p>
          <w:tbl>
            <w:tblPr>
              <w:tblStyle w:val="30"/>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13"/>
              <w:gridCol w:w="2308"/>
              <w:gridCol w:w="2807"/>
              <w:gridCol w:w="1248"/>
              <w:gridCol w:w="1961"/>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8" w:type="dxa"/>
                  <w:tcBorders>
                    <w:top w:val="single" w:color="auto" w:sz="2" w:space="0"/>
                    <w:left w:val="single" w:color="auto" w:sz="2" w:space="0"/>
                    <w:bottom w:val="single" w:color="auto" w:sz="6" w:space="0"/>
                    <w:right w:val="single" w:color="auto" w:sz="6"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分类</w:t>
                  </w:r>
                </w:p>
              </w:tc>
              <w:tc>
                <w:tcPr>
                  <w:tcW w:w="2290" w:type="dxa"/>
                  <w:tcBorders>
                    <w:top w:val="single" w:color="auto" w:sz="2" w:space="0"/>
                    <w:left w:val="single" w:color="auto" w:sz="6" w:space="0"/>
                    <w:bottom w:val="single" w:color="auto" w:sz="6" w:space="0"/>
                    <w:right w:val="single" w:color="auto" w:sz="6"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采样点位置</w:t>
                  </w:r>
                </w:p>
              </w:tc>
              <w:tc>
                <w:tcPr>
                  <w:tcW w:w="2785" w:type="dxa"/>
                  <w:tcBorders>
                    <w:top w:val="single" w:color="auto" w:sz="2" w:space="0"/>
                    <w:left w:val="single" w:color="auto" w:sz="6" w:space="0"/>
                    <w:bottom w:val="single" w:color="auto" w:sz="6" w:space="0"/>
                    <w:right w:val="single" w:color="auto" w:sz="6"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监测项目</w:t>
                  </w:r>
                </w:p>
              </w:tc>
              <w:tc>
                <w:tcPr>
                  <w:tcW w:w="1238" w:type="dxa"/>
                  <w:tcBorders>
                    <w:top w:val="single" w:color="auto" w:sz="2" w:space="0"/>
                    <w:left w:val="single" w:color="auto" w:sz="6" w:space="0"/>
                    <w:bottom w:val="single" w:color="auto" w:sz="6" w:space="0"/>
                    <w:right w:val="single" w:color="auto" w:sz="6"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频率</w:t>
                  </w:r>
                </w:p>
              </w:tc>
              <w:tc>
                <w:tcPr>
                  <w:tcW w:w="1946" w:type="dxa"/>
                  <w:tcBorders>
                    <w:top w:val="single" w:color="auto" w:sz="2" w:space="0"/>
                    <w:left w:val="single" w:color="auto" w:sz="6" w:space="0"/>
                    <w:bottom w:val="single" w:color="auto" w:sz="6" w:space="0"/>
                    <w:right w:val="single" w:color="auto" w:sz="2"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排放标准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404" w:hRule="atLeast"/>
                <w:jc w:val="center"/>
              </w:trPr>
              <w:tc>
                <w:tcPr>
                  <w:tcW w:w="808" w:type="dxa"/>
                  <w:tcBorders>
                    <w:top w:val="single" w:color="auto" w:sz="6" w:space="0"/>
                    <w:left w:val="single" w:color="auto" w:sz="2" w:space="0"/>
                    <w:bottom w:val="single" w:color="auto" w:sz="6" w:space="0"/>
                    <w:right w:val="single" w:color="auto" w:sz="6"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废水</w:t>
                  </w:r>
                </w:p>
              </w:tc>
              <w:tc>
                <w:tcPr>
                  <w:tcW w:w="2290" w:type="dxa"/>
                  <w:tcBorders>
                    <w:top w:val="single" w:color="auto" w:sz="6" w:space="0"/>
                    <w:left w:val="single" w:color="auto" w:sz="6" w:space="0"/>
                    <w:bottom w:val="single" w:color="auto" w:sz="6" w:space="0"/>
                    <w:right w:val="single" w:color="auto" w:sz="6"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标准厂房生化池废水排放口</w:t>
                  </w:r>
                </w:p>
              </w:tc>
              <w:tc>
                <w:tcPr>
                  <w:tcW w:w="2785" w:type="dxa"/>
                  <w:tcBorders>
                    <w:top w:val="single" w:color="auto" w:sz="6" w:space="0"/>
                    <w:left w:val="single" w:color="auto" w:sz="6" w:space="0"/>
                    <w:bottom w:val="single" w:color="auto" w:sz="6" w:space="0"/>
                    <w:right w:val="single" w:color="auto" w:sz="6"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pH、流量、COD、BOD5、SS、NH3-N、石油类、</w:t>
                  </w:r>
                  <w:r>
                    <w:rPr>
                      <w:rFonts w:hint="default" w:ascii="Times New Roman" w:hAnsi="Times New Roman" w:eastAsia="宋体" w:cs="Times New Roman"/>
                      <w:kern w:val="2"/>
                      <w:sz w:val="21"/>
                      <w:szCs w:val="21"/>
                      <w:lang w:val="zh-TW"/>
                    </w:rPr>
                    <w:t>TP、动植物油</w:t>
                  </w:r>
                </w:p>
              </w:tc>
              <w:tc>
                <w:tcPr>
                  <w:tcW w:w="1238" w:type="dxa"/>
                  <w:tcBorders>
                    <w:top w:val="single" w:color="auto" w:sz="4" w:space="0"/>
                    <w:left w:val="single" w:color="auto" w:sz="6" w:space="0"/>
                    <w:bottom w:val="single" w:color="auto" w:sz="6" w:space="0"/>
                    <w:right w:val="single" w:color="auto" w:sz="6"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1次/年</w:t>
                  </w:r>
                </w:p>
              </w:tc>
              <w:tc>
                <w:tcPr>
                  <w:tcW w:w="1946" w:type="dxa"/>
                  <w:tcBorders>
                    <w:top w:val="single" w:color="auto" w:sz="4" w:space="0"/>
                    <w:left w:val="single" w:color="auto" w:sz="6" w:space="0"/>
                    <w:bottom w:val="single" w:color="auto" w:sz="6" w:space="0"/>
                    <w:right w:val="single" w:color="auto" w:sz="2" w:space="0"/>
                  </w:tcBorders>
                  <w:vAlign w:val="center"/>
                </w:tcPr>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《污水综合排放标准》</w:t>
                  </w:r>
                </w:p>
                <w:p>
                  <w:pPr>
                    <w:topLinePunct/>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（GB8978-1996）三级标准</w:t>
                  </w:r>
                </w:p>
              </w:tc>
            </w:tr>
          </w:tbl>
          <w:p>
            <w:pPr>
              <w:pStyle w:val="24"/>
              <w:rPr>
                <w:rFonts w:hint="default" w:ascii="Times New Roman" w:hAnsi="Times New Roman" w:cs="Times New Roman"/>
              </w:rPr>
            </w:pPr>
            <w:r>
              <w:rPr>
                <w:rFonts w:hint="default" w:ascii="Times New Roman" w:hAnsi="Times New Roman" w:eastAsia="宋体" w:cs="Times New Roman"/>
                <w:kern w:val="2"/>
                <w:sz w:val="21"/>
                <w:szCs w:val="21"/>
              </w:rPr>
              <w:t>注：</w:t>
            </w:r>
            <w:r>
              <w:rPr>
                <w:rFonts w:hint="default" w:ascii="Times New Roman" w:hAnsi="Times New Roman" w:eastAsia="宋体" w:cs="Times New Roman"/>
                <w:kern w:val="2"/>
                <w:sz w:val="21"/>
                <w:szCs w:val="21"/>
                <w:lang w:val="zh-TW"/>
              </w:rPr>
              <w:t>NH3-N、TP</w:t>
            </w:r>
            <w:r>
              <w:rPr>
                <w:rFonts w:hint="default" w:ascii="Times New Roman" w:hAnsi="Times New Roman" w:eastAsia="宋体" w:cs="Times New Roman"/>
                <w:kern w:val="2"/>
                <w:sz w:val="21"/>
                <w:szCs w:val="21"/>
              </w:rPr>
              <w:t>参照执行《污水排入城镇下水道水质标准》（GBT31962-2015）表1中B级标准</w:t>
            </w:r>
          </w:p>
          <w:p>
            <w:pPr>
              <w:spacing w:after="0" w:line="440" w:lineRule="exact"/>
              <w:rPr>
                <w:rFonts w:hint="default" w:ascii="Times New Roman" w:hAnsi="Times New Roman" w:eastAsia="宋体" w:cs="Times New Roman"/>
                <w:b/>
                <w:bCs/>
                <w:sz w:val="24"/>
              </w:rPr>
            </w:pPr>
            <w:r>
              <w:rPr>
                <w:rFonts w:hint="default" w:ascii="Times New Roman" w:hAnsi="Times New Roman" w:eastAsia="宋体" w:cs="Times New Roman"/>
                <w:b/>
                <w:bCs/>
                <w:sz w:val="24"/>
              </w:rPr>
              <w:t>4.2.3噪声</w:t>
            </w:r>
          </w:p>
          <w:p>
            <w:pPr>
              <w:spacing w:after="0" w:line="440" w:lineRule="exact"/>
              <w:rPr>
                <w:rFonts w:hint="default" w:ascii="Times New Roman" w:hAnsi="Times New Roman" w:eastAsia="宋体" w:cs="Times New Roman"/>
                <w:b/>
                <w:bCs/>
                <w:sz w:val="24"/>
              </w:rPr>
            </w:pPr>
            <w:r>
              <w:rPr>
                <w:rFonts w:hint="default" w:ascii="Times New Roman" w:hAnsi="Times New Roman" w:eastAsia="宋体" w:cs="Times New Roman"/>
                <w:b/>
                <w:bCs/>
                <w:sz w:val="24"/>
              </w:rPr>
              <w:t>4.2.3.1主要设备噪声源强及分布</w:t>
            </w:r>
          </w:p>
          <w:p>
            <w:pPr>
              <w:spacing w:after="0" w:line="420" w:lineRule="exact"/>
              <w:ind w:firstLine="480" w:firstLineChars="200"/>
              <w:rPr>
                <w:rFonts w:hint="default" w:ascii="Times New Roman" w:hAnsi="Times New Roman" w:eastAsia="宋体" w:cs="Times New Roman"/>
                <w:bCs/>
                <w:strike/>
                <w:kern w:val="2"/>
                <w:sz w:val="24"/>
                <w:szCs w:val="24"/>
              </w:rPr>
            </w:pPr>
            <w:r>
              <w:rPr>
                <w:rFonts w:hint="default" w:ascii="Times New Roman" w:hAnsi="Times New Roman" w:eastAsia="宋体" w:cs="Times New Roman"/>
                <w:bCs/>
                <w:kern w:val="2"/>
                <w:sz w:val="24"/>
                <w:szCs w:val="24"/>
              </w:rPr>
              <w:t>本项目噪声主要为注塑机、捏炼机、开炼机、粉料机、空压机、风机、冷却塔等设备的机械运行噪声，参考《污染源源强核算技术指南  汽车制造》(HJ1097—2020)附录G，各类设备噪声声压级在70~95dB(A)之间。隔声效果厂房及围墙隔声15-25dB(A)、进风口消声器12～25 dB(A)、隔声罩10～20 dB(A)、隔声间15～35dB(A)。生产设备均位于车间内，按照室内声源考虑，空压机、风机、冷却塔位于室外，按照室外声源考虑。本项目主要噪声源源强调查见表4.2-1</w:t>
            </w:r>
            <w:r>
              <w:rPr>
                <w:rFonts w:hint="default" w:ascii="Times New Roman" w:hAnsi="Times New Roman" w:eastAsia="宋体" w:cs="Times New Roman"/>
                <w:bCs/>
                <w:kern w:val="2"/>
                <w:sz w:val="24"/>
                <w:szCs w:val="24"/>
                <w:lang w:val="en-US" w:eastAsia="zh-CN"/>
              </w:rPr>
              <w:t>7</w:t>
            </w:r>
            <w:r>
              <w:rPr>
                <w:rFonts w:hint="default" w:ascii="Times New Roman" w:hAnsi="Times New Roman" w:eastAsia="宋体" w:cs="Times New Roman"/>
                <w:bCs/>
                <w:kern w:val="2"/>
                <w:sz w:val="24"/>
                <w:szCs w:val="24"/>
              </w:rPr>
              <w:t>。</w:t>
            </w:r>
          </w:p>
          <w:p>
            <w:pPr>
              <w:spacing w:after="0" w:line="440" w:lineRule="exact"/>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color w:val="auto"/>
                <w:kern w:val="2"/>
                <w:sz w:val="24"/>
                <w:szCs w:val="24"/>
              </w:rPr>
              <w:t>表4.2-1</w:t>
            </w:r>
            <w:r>
              <w:rPr>
                <w:rFonts w:hint="default" w:ascii="Times New Roman" w:hAnsi="Times New Roman" w:eastAsia="宋体" w:cs="Times New Roman"/>
                <w:b/>
                <w:color w:val="auto"/>
                <w:kern w:val="2"/>
                <w:sz w:val="24"/>
                <w:szCs w:val="24"/>
                <w:lang w:val="en-US" w:eastAsia="zh-CN"/>
              </w:rPr>
              <w:t>7</w:t>
            </w:r>
            <w:r>
              <w:rPr>
                <w:rFonts w:hint="default" w:ascii="Times New Roman" w:hAnsi="Times New Roman" w:eastAsia="宋体" w:cs="Times New Roman"/>
                <w:b/>
                <w:color w:val="auto"/>
                <w:kern w:val="2"/>
                <w:sz w:val="24"/>
                <w:szCs w:val="24"/>
              </w:rPr>
              <w:t xml:space="preserve"> 本项目噪声源强调查清单</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331"/>
              <w:gridCol w:w="741"/>
              <w:gridCol w:w="1708"/>
              <w:gridCol w:w="101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284" w:type="dxa"/>
                  <w:vMerge w:val="restart"/>
                  <w:vAlign w:val="center"/>
                </w:tcPr>
                <w:p>
                  <w:pPr>
                    <w:pStyle w:val="90"/>
                    <w:rPr>
                      <w:rFonts w:hint="default" w:ascii="Times New Roman" w:hAnsi="Times New Roman" w:cs="Times New Roman"/>
                      <w:b/>
                      <w:bCs/>
                      <w:color w:val="auto"/>
                      <w:szCs w:val="21"/>
                    </w:rPr>
                  </w:pPr>
                  <w:r>
                    <w:rPr>
                      <w:rFonts w:hint="default" w:ascii="Times New Roman" w:hAnsi="Times New Roman" w:cs="Times New Roman"/>
                      <w:color w:val="auto"/>
                      <w:szCs w:val="21"/>
                    </w:rPr>
                    <w:t>位置</w:t>
                  </w:r>
                </w:p>
              </w:tc>
              <w:tc>
                <w:tcPr>
                  <w:tcW w:w="1320" w:type="dxa"/>
                  <w:vMerge w:val="restart"/>
                  <w:vAlign w:val="center"/>
                </w:tcPr>
                <w:p>
                  <w:pPr>
                    <w:pStyle w:val="90"/>
                    <w:rPr>
                      <w:rFonts w:hint="default" w:ascii="Times New Roman" w:hAnsi="Times New Roman" w:cs="Times New Roman"/>
                      <w:color w:val="auto"/>
                      <w:szCs w:val="21"/>
                    </w:rPr>
                  </w:pPr>
                  <w:r>
                    <w:rPr>
                      <w:rFonts w:hint="default" w:ascii="Times New Roman" w:hAnsi="Times New Roman" w:cs="Times New Roman"/>
                      <w:color w:val="auto"/>
                      <w:szCs w:val="21"/>
                    </w:rPr>
                    <w:t>设备</w:t>
                  </w:r>
                </w:p>
                <w:p>
                  <w:pPr>
                    <w:pStyle w:val="90"/>
                    <w:rPr>
                      <w:rFonts w:hint="default" w:ascii="Times New Roman" w:hAnsi="Times New Roman" w:cs="Times New Roman"/>
                      <w:b/>
                      <w:bCs/>
                      <w:color w:val="auto"/>
                      <w:szCs w:val="21"/>
                    </w:rPr>
                  </w:pPr>
                  <w:r>
                    <w:rPr>
                      <w:rFonts w:hint="default" w:ascii="Times New Roman" w:hAnsi="Times New Roman" w:cs="Times New Roman"/>
                      <w:color w:val="auto"/>
                      <w:szCs w:val="21"/>
                    </w:rPr>
                    <w:t>名称</w:t>
                  </w:r>
                </w:p>
              </w:tc>
              <w:tc>
                <w:tcPr>
                  <w:tcW w:w="735" w:type="dxa"/>
                  <w:vMerge w:val="restart"/>
                  <w:vAlign w:val="center"/>
                </w:tcPr>
                <w:p>
                  <w:pPr>
                    <w:pStyle w:val="90"/>
                    <w:rPr>
                      <w:rFonts w:hint="default" w:ascii="Times New Roman" w:hAnsi="Times New Roman" w:cs="Times New Roman"/>
                      <w:b/>
                      <w:bCs/>
                      <w:color w:val="auto"/>
                      <w:szCs w:val="21"/>
                    </w:rPr>
                  </w:pPr>
                  <w:r>
                    <w:rPr>
                      <w:rFonts w:hint="default" w:ascii="Times New Roman" w:hAnsi="Times New Roman" w:cs="Times New Roman"/>
                      <w:color w:val="auto"/>
                      <w:szCs w:val="21"/>
                    </w:rPr>
                    <w:t>数量(台)</w:t>
                  </w:r>
                </w:p>
              </w:tc>
              <w:tc>
                <w:tcPr>
                  <w:tcW w:w="1694" w:type="dxa"/>
                  <w:vMerge w:val="restart"/>
                  <w:vAlign w:val="center"/>
                </w:tcPr>
                <w:p>
                  <w:pPr>
                    <w:pStyle w:val="90"/>
                    <w:rPr>
                      <w:rFonts w:hint="default" w:ascii="Times New Roman" w:hAnsi="Times New Roman" w:cs="Times New Roman"/>
                      <w:b/>
                      <w:bCs/>
                      <w:color w:val="auto"/>
                      <w:szCs w:val="21"/>
                    </w:rPr>
                  </w:pPr>
                  <w:r>
                    <w:rPr>
                      <w:rFonts w:hint="default" w:ascii="Times New Roman" w:hAnsi="Times New Roman" w:cs="Times New Roman"/>
                      <w:color w:val="auto"/>
                      <w:szCs w:val="21"/>
                    </w:rPr>
                    <w:t>单台噪声级dB(A)</w:t>
                  </w:r>
                </w:p>
              </w:tc>
              <w:tc>
                <w:tcPr>
                  <w:tcW w:w="1007" w:type="dxa"/>
                  <w:vMerge w:val="restart"/>
                  <w:vAlign w:val="center"/>
                </w:tcPr>
                <w:p>
                  <w:pPr>
                    <w:pStyle w:val="90"/>
                    <w:rPr>
                      <w:rFonts w:hint="default" w:ascii="Times New Roman" w:hAnsi="Times New Roman" w:cs="Times New Roman"/>
                      <w:color w:val="auto"/>
                      <w:szCs w:val="21"/>
                    </w:rPr>
                  </w:pPr>
                  <w:r>
                    <w:rPr>
                      <w:rFonts w:hint="default" w:ascii="Times New Roman" w:hAnsi="Times New Roman" w:cs="Times New Roman"/>
                      <w:color w:val="auto"/>
                      <w:szCs w:val="21"/>
                    </w:rPr>
                    <w:t>排放</w:t>
                  </w:r>
                </w:p>
                <w:p>
                  <w:pPr>
                    <w:pStyle w:val="90"/>
                    <w:rPr>
                      <w:rFonts w:hint="default" w:ascii="Times New Roman" w:hAnsi="Times New Roman" w:cs="Times New Roman"/>
                      <w:b/>
                      <w:bCs/>
                      <w:color w:val="auto"/>
                      <w:szCs w:val="21"/>
                    </w:rPr>
                  </w:pPr>
                  <w:r>
                    <w:rPr>
                      <w:rFonts w:hint="default" w:ascii="Times New Roman" w:hAnsi="Times New Roman" w:cs="Times New Roman"/>
                      <w:color w:val="auto"/>
                      <w:szCs w:val="21"/>
                    </w:rPr>
                    <w:t>特征</w:t>
                  </w:r>
                </w:p>
              </w:tc>
              <w:tc>
                <w:tcPr>
                  <w:tcW w:w="3022" w:type="dxa"/>
                  <w:vMerge w:val="restart"/>
                  <w:vAlign w:val="center"/>
                </w:tcPr>
                <w:p>
                  <w:pPr>
                    <w:pStyle w:val="90"/>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284" w:type="dxa"/>
                  <w:vMerge w:val="continue"/>
                  <w:vAlign w:val="center"/>
                </w:tcPr>
                <w:p>
                  <w:pPr>
                    <w:spacing w:after="0" w:line="440" w:lineRule="exact"/>
                    <w:jc w:val="center"/>
                    <w:rPr>
                      <w:rFonts w:hint="default" w:ascii="Times New Roman" w:hAnsi="Times New Roman" w:eastAsia="宋体" w:cs="Times New Roman"/>
                      <w:b/>
                      <w:bCs/>
                      <w:color w:val="auto"/>
                      <w:sz w:val="21"/>
                      <w:szCs w:val="21"/>
                    </w:rPr>
                  </w:pPr>
                </w:p>
              </w:tc>
              <w:tc>
                <w:tcPr>
                  <w:tcW w:w="1320" w:type="dxa"/>
                  <w:vMerge w:val="continue"/>
                  <w:vAlign w:val="center"/>
                </w:tcPr>
                <w:p>
                  <w:pPr>
                    <w:spacing w:after="0" w:line="440" w:lineRule="exact"/>
                    <w:jc w:val="center"/>
                    <w:rPr>
                      <w:rFonts w:hint="default" w:ascii="Times New Roman" w:hAnsi="Times New Roman" w:eastAsia="宋体" w:cs="Times New Roman"/>
                      <w:b/>
                      <w:bCs/>
                      <w:color w:val="auto"/>
                      <w:sz w:val="21"/>
                      <w:szCs w:val="21"/>
                    </w:rPr>
                  </w:pPr>
                </w:p>
              </w:tc>
              <w:tc>
                <w:tcPr>
                  <w:tcW w:w="735" w:type="dxa"/>
                  <w:vMerge w:val="continue"/>
                  <w:vAlign w:val="center"/>
                </w:tcPr>
                <w:p>
                  <w:pPr>
                    <w:spacing w:after="0" w:line="440" w:lineRule="exact"/>
                    <w:jc w:val="center"/>
                    <w:rPr>
                      <w:rFonts w:hint="default" w:ascii="Times New Roman" w:hAnsi="Times New Roman" w:eastAsia="宋体" w:cs="Times New Roman"/>
                      <w:b/>
                      <w:bCs/>
                      <w:color w:val="auto"/>
                      <w:sz w:val="21"/>
                      <w:szCs w:val="21"/>
                    </w:rPr>
                  </w:pPr>
                </w:p>
              </w:tc>
              <w:tc>
                <w:tcPr>
                  <w:tcW w:w="1694" w:type="dxa"/>
                  <w:vMerge w:val="continue"/>
                  <w:vAlign w:val="center"/>
                </w:tcPr>
                <w:p>
                  <w:pPr>
                    <w:spacing w:after="0" w:line="440" w:lineRule="exact"/>
                    <w:jc w:val="center"/>
                    <w:rPr>
                      <w:rFonts w:hint="default" w:ascii="Times New Roman" w:hAnsi="Times New Roman" w:eastAsia="宋体" w:cs="Times New Roman"/>
                      <w:b/>
                      <w:bCs/>
                      <w:color w:val="auto"/>
                      <w:sz w:val="21"/>
                      <w:szCs w:val="21"/>
                    </w:rPr>
                  </w:pPr>
                </w:p>
              </w:tc>
              <w:tc>
                <w:tcPr>
                  <w:tcW w:w="1007" w:type="dxa"/>
                  <w:vMerge w:val="continue"/>
                  <w:vAlign w:val="center"/>
                </w:tcPr>
                <w:p>
                  <w:pPr>
                    <w:spacing w:after="0" w:line="440" w:lineRule="exact"/>
                    <w:jc w:val="center"/>
                    <w:rPr>
                      <w:rFonts w:hint="default" w:ascii="Times New Roman" w:hAnsi="Times New Roman" w:eastAsia="宋体" w:cs="Times New Roman"/>
                      <w:b/>
                      <w:bCs/>
                      <w:color w:val="auto"/>
                      <w:sz w:val="21"/>
                      <w:szCs w:val="21"/>
                    </w:rPr>
                  </w:pPr>
                </w:p>
              </w:tc>
              <w:tc>
                <w:tcPr>
                  <w:tcW w:w="3022" w:type="dxa"/>
                  <w:vMerge w:val="continue"/>
                  <w:vAlign w:val="center"/>
                </w:tcPr>
                <w:p>
                  <w:pPr>
                    <w:spacing w:after="0" w:line="440" w:lineRule="exact"/>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84" w:type="dxa"/>
                  <w:vMerge w:val="restart"/>
                  <w:vAlign w:val="center"/>
                </w:tcPr>
                <w:p>
                  <w:pPr>
                    <w:spacing w:after="0"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kern w:val="2"/>
                      <w:sz w:val="21"/>
                      <w:szCs w:val="21"/>
                    </w:rPr>
                    <w:t>连接器密封件炼胶区</w:t>
                  </w:r>
                </w:p>
              </w:tc>
              <w:tc>
                <w:tcPr>
                  <w:tcW w:w="1320" w:type="dxa"/>
                  <w:vAlign w:val="center"/>
                </w:tcPr>
                <w:p>
                  <w:pPr>
                    <w:spacing w:after="0" w:line="28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rPr>
                    <w:t>捏炼机</w:t>
                  </w:r>
                </w:p>
              </w:tc>
              <w:tc>
                <w:tcPr>
                  <w:tcW w:w="735" w:type="dxa"/>
                  <w:vAlign w:val="center"/>
                </w:tcPr>
                <w:p>
                  <w:pPr>
                    <w:spacing w:after="0" w:line="4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694"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70~80dB（A）</w:t>
                  </w:r>
                </w:p>
              </w:tc>
              <w:tc>
                <w:tcPr>
                  <w:tcW w:w="1007"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频发</w:t>
                  </w:r>
                </w:p>
              </w:tc>
              <w:tc>
                <w:tcPr>
                  <w:tcW w:w="3022" w:type="dxa"/>
                  <w:vAlign w:val="center"/>
                </w:tcPr>
                <w:p>
                  <w:pPr>
                    <w:spacing w:after="0" w:line="4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Merge w:val="continue"/>
                  <w:vAlign w:val="center"/>
                </w:tcPr>
                <w:p>
                  <w:pPr>
                    <w:spacing w:after="0" w:line="440" w:lineRule="exact"/>
                    <w:jc w:val="center"/>
                    <w:rPr>
                      <w:rFonts w:hint="default" w:ascii="Times New Roman" w:hAnsi="Times New Roman" w:eastAsia="宋体" w:cs="Times New Roman"/>
                      <w:b/>
                      <w:bCs/>
                      <w:color w:val="auto"/>
                      <w:sz w:val="21"/>
                      <w:szCs w:val="21"/>
                    </w:rPr>
                  </w:pPr>
                </w:p>
              </w:tc>
              <w:tc>
                <w:tcPr>
                  <w:tcW w:w="1320" w:type="dxa"/>
                  <w:vAlign w:val="center"/>
                </w:tcPr>
                <w:p>
                  <w:pPr>
                    <w:spacing w:after="0" w:line="28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rPr>
                    <w:t>开炼机</w:t>
                  </w:r>
                </w:p>
              </w:tc>
              <w:tc>
                <w:tcPr>
                  <w:tcW w:w="735" w:type="dxa"/>
                  <w:vAlign w:val="center"/>
                </w:tcPr>
                <w:p>
                  <w:pPr>
                    <w:spacing w:after="0" w:line="4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694"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70~80dB（A）</w:t>
                  </w:r>
                </w:p>
              </w:tc>
              <w:tc>
                <w:tcPr>
                  <w:tcW w:w="1007"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频发</w:t>
                  </w:r>
                </w:p>
              </w:tc>
              <w:tc>
                <w:tcPr>
                  <w:tcW w:w="3022" w:type="dxa"/>
                  <w:vAlign w:val="center"/>
                </w:tcPr>
                <w:p>
                  <w:pPr>
                    <w:spacing w:after="0" w:line="4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Align w:val="center"/>
                </w:tcPr>
                <w:p>
                  <w:pPr>
                    <w:spacing w:after="0" w:line="28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成型一区</w:t>
                  </w:r>
                </w:p>
              </w:tc>
              <w:tc>
                <w:tcPr>
                  <w:tcW w:w="1320" w:type="dxa"/>
                  <w:vAlign w:val="center"/>
                </w:tcPr>
                <w:p>
                  <w:pPr>
                    <w:spacing w:after="0" w:line="280" w:lineRule="exact"/>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注射成型机</w:t>
                  </w:r>
                </w:p>
              </w:tc>
              <w:tc>
                <w:tcPr>
                  <w:tcW w:w="735" w:type="dxa"/>
                  <w:vAlign w:val="center"/>
                </w:tcPr>
                <w:p>
                  <w:pPr>
                    <w:spacing w:after="0" w:line="4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24</w:t>
                  </w:r>
                </w:p>
              </w:tc>
              <w:tc>
                <w:tcPr>
                  <w:tcW w:w="1694" w:type="dxa"/>
                  <w:vAlign w:val="center"/>
                </w:tcPr>
                <w:p>
                  <w:pPr>
                    <w:spacing w:after="0" w:line="28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70~80dB（A）</w:t>
                  </w:r>
                </w:p>
              </w:tc>
              <w:tc>
                <w:tcPr>
                  <w:tcW w:w="1007"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频发</w:t>
                  </w:r>
                </w:p>
              </w:tc>
              <w:tc>
                <w:tcPr>
                  <w:tcW w:w="3022" w:type="dxa"/>
                  <w:vAlign w:val="center"/>
                </w:tcPr>
                <w:p>
                  <w:pPr>
                    <w:spacing w:after="0" w:line="4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Align w:val="center"/>
                </w:tcPr>
                <w:p>
                  <w:pPr>
                    <w:spacing w:after="0"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kern w:val="2"/>
                      <w:sz w:val="21"/>
                      <w:szCs w:val="21"/>
                    </w:rPr>
                    <w:t>成型二区</w:t>
                  </w:r>
                </w:p>
              </w:tc>
              <w:tc>
                <w:tcPr>
                  <w:tcW w:w="1320" w:type="dxa"/>
                  <w:vAlign w:val="center"/>
                </w:tcPr>
                <w:p>
                  <w:pPr>
                    <w:spacing w:after="0" w:line="28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rPr>
                    <w:t>平板成型机</w:t>
                  </w:r>
                </w:p>
              </w:tc>
              <w:tc>
                <w:tcPr>
                  <w:tcW w:w="735" w:type="dxa"/>
                  <w:vAlign w:val="center"/>
                </w:tcPr>
                <w:p>
                  <w:pPr>
                    <w:spacing w:after="0" w:line="4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c>
                <w:tcPr>
                  <w:tcW w:w="1694" w:type="dxa"/>
                  <w:vAlign w:val="center"/>
                </w:tcPr>
                <w:p>
                  <w:pPr>
                    <w:spacing w:after="0" w:line="28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70~80dB（A）</w:t>
                  </w:r>
                </w:p>
              </w:tc>
              <w:tc>
                <w:tcPr>
                  <w:tcW w:w="1007"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频发</w:t>
                  </w:r>
                </w:p>
              </w:tc>
              <w:tc>
                <w:tcPr>
                  <w:tcW w:w="3022" w:type="dxa"/>
                  <w:vAlign w:val="center"/>
                </w:tcPr>
                <w:p>
                  <w:pPr>
                    <w:spacing w:after="0" w:line="4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restart"/>
                  <w:vAlign w:val="center"/>
                </w:tcPr>
                <w:p>
                  <w:pPr>
                    <w:spacing w:after="0" w:line="28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注塑区</w:t>
                  </w:r>
                </w:p>
              </w:tc>
              <w:tc>
                <w:tcPr>
                  <w:tcW w:w="1320" w:type="dxa"/>
                  <w:vAlign w:val="center"/>
                </w:tcPr>
                <w:p>
                  <w:pPr>
                    <w:spacing w:after="0" w:line="280" w:lineRule="exact"/>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4"/>
                    </w:rPr>
                    <w:t>注塑机</w:t>
                  </w:r>
                </w:p>
              </w:tc>
              <w:tc>
                <w:tcPr>
                  <w:tcW w:w="735" w:type="dxa"/>
                  <w:vAlign w:val="center"/>
                </w:tcPr>
                <w:p>
                  <w:pPr>
                    <w:spacing w:after="0" w:line="4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c>
                <w:tcPr>
                  <w:tcW w:w="1694" w:type="dxa"/>
                  <w:vAlign w:val="center"/>
                </w:tcPr>
                <w:p>
                  <w:pPr>
                    <w:spacing w:after="0" w:line="28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70~80dB（A）</w:t>
                  </w:r>
                </w:p>
              </w:tc>
              <w:tc>
                <w:tcPr>
                  <w:tcW w:w="1007"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频发</w:t>
                  </w:r>
                </w:p>
              </w:tc>
              <w:tc>
                <w:tcPr>
                  <w:tcW w:w="3022" w:type="dxa"/>
                  <w:vAlign w:val="center"/>
                </w:tcPr>
                <w:p>
                  <w:pPr>
                    <w:spacing w:after="0" w:line="4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Merge w:val="continue"/>
                  <w:vAlign w:val="center"/>
                </w:tcPr>
                <w:p>
                  <w:pPr>
                    <w:spacing w:after="0" w:line="280" w:lineRule="exact"/>
                    <w:jc w:val="center"/>
                    <w:rPr>
                      <w:rFonts w:hint="default" w:ascii="Times New Roman" w:hAnsi="Times New Roman" w:eastAsia="宋体" w:cs="Times New Roman"/>
                      <w:color w:val="auto"/>
                      <w:kern w:val="2"/>
                      <w:sz w:val="21"/>
                      <w:szCs w:val="21"/>
                    </w:rPr>
                  </w:pPr>
                </w:p>
              </w:tc>
              <w:tc>
                <w:tcPr>
                  <w:tcW w:w="1320" w:type="dxa"/>
                  <w:vAlign w:val="center"/>
                </w:tcPr>
                <w:p>
                  <w:pPr>
                    <w:spacing w:after="0" w:line="280" w:lineRule="exact"/>
                    <w:jc w:val="center"/>
                    <w:rPr>
                      <w:rFonts w:hint="default" w:ascii="Times New Roman" w:hAnsi="Times New Roman" w:eastAsia="宋体" w:cs="Times New Roman"/>
                      <w:b w:val="0"/>
                      <w:bCs w:val="0"/>
                      <w:color w:val="auto"/>
                      <w:sz w:val="21"/>
                      <w:szCs w:val="24"/>
                    </w:rPr>
                  </w:pPr>
                  <w:r>
                    <w:rPr>
                      <w:rFonts w:hint="default" w:ascii="Times New Roman" w:hAnsi="Times New Roman" w:eastAsia="宋体" w:cs="Times New Roman"/>
                      <w:b w:val="0"/>
                      <w:bCs w:val="0"/>
                      <w:color w:val="auto"/>
                      <w:sz w:val="21"/>
                      <w:szCs w:val="24"/>
                    </w:rPr>
                    <w:t>粉料机</w:t>
                  </w:r>
                </w:p>
              </w:tc>
              <w:tc>
                <w:tcPr>
                  <w:tcW w:w="735" w:type="dxa"/>
                  <w:vAlign w:val="center"/>
                </w:tcPr>
                <w:p>
                  <w:pPr>
                    <w:spacing w:after="0" w:line="4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694" w:type="dxa"/>
                  <w:vAlign w:val="center"/>
                </w:tcPr>
                <w:p>
                  <w:pPr>
                    <w:spacing w:after="0" w:line="28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70~80dB（A）</w:t>
                  </w:r>
                </w:p>
              </w:tc>
              <w:tc>
                <w:tcPr>
                  <w:tcW w:w="1007"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频发</w:t>
                  </w:r>
                </w:p>
              </w:tc>
              <w:tc>
                <w:tcPr>
                  <w:tcW w:w="3022" w:type="dxa"/>
                  <w:vAlign w:val="center"/>
                </w:tcPr>
                <w:p>
                  <w:pPr>
                    <w:spacing w:after="0" w:line="4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Align w:val="center"/>
                </w:tcPr>
                <w:p>
                  <w:pPr>
                    <w:spacing w:after="0" w:line="28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空压站</w:t>
                  </w:r>
                </w:p>
              </w:tc>
              <w:tc>
                <w:tcPr>
                  <w:tcW w:w="1320" w:type="dxa"/>
                  <w:vAlign w:val="center"/>
                </w:tcPr>
                <w:p>
                  <w:pPr>
                    <w:spacing w:after="0" w:line="280" w:lineRule="exact"/>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空压机</w:t>
                  </w:r>
                </w:p>
              </w:tc>
              <w:tc>
                <w:tcPr>
                  <w:tcW w:w="735" w:type="dxa"/>
                  <w:vAlign w:val="center"/>
                </w:tcPr>
                <w:p>
                  <w:pPr>
                    <w:spacing w:after="0" w:line="4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694" w:type="dxa"/>
                  <w:vAlign w:val="center"/>
                </w:tcPr>
                <w:p>
                  <w:pPr>
                    <w:spacing w:after="0" w:line="28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75~85dB（A）</w:t>
                  </w:r>
                </w:p>
              </w:tc>
              <w:tc>
                <w:tcPr>
                  <w:tcW w:w="1007"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频发</w:t>
                  </w:r>
                </w:p>
              </w:tc>
              <w:tc>
                <w:tcPr>
                  <w:tcW w:w="3022" w:type="dxa"/>
                  <w:vAlign w:val="center"/>
                </w:tcPr>
                <w:p>
                  <w:pPr>
                    <w:spacing w:after="0" w:line="4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基础减振、隔声罩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Align w:val="center"/>
                </w:tcPr>
                <w:p>
                  <w:pPr>
                    <w:spacing w:after="0" w:line="280" w:lineRule="exact"/>
                    <w:jc w:val="center"/>
                    <w:rPr>
                      <w:rFonts w:hint="default" w:ascii="Times New Roman" w:hAnsi="Times New Roman" w:eastAsia="宋体" w:cs="Times New Roman"/>
                      <w:color w:val="auto"/>
                      <w:kern w:val="2"/>
                      <w:sz w:val="21"/>
                      <w:szCs w:val="21"/>
                      <w:highlight w:val="green"/>
                    </w:rPr>
                  </w:pPr>
                  <w:r>
                    <w:rPr>
                      <w:rFonts w:hint="default" w:ascii="Times New Roman" w:hAnsi="Times New Roman" w:eastAsia="宋体" w:cs="Times New Roman"/>
                      <w:color w:val="auto"/>
                      <w:kern w:val="2"/>
                      <w:sz w:val="21"/>
                      <w:szCs w:val="21"/>
                    </w:rPr>
                    <w:t>风机</w:t>
                  </w:r>
                </w:p>
              </w:tc>
              <w:tc>
                <w:tcPr>
                  <w:tcW w:w="1320" w:type="dxa"/>
                  <w:vAlign w:val="center"/>
                </w:tcPr>
                <w:p>
                  <w:pPr>
                    <w:spacing w:after="0" w:line="280" w:lineRule="exact"/>
                    <w:jc w:val="center"/>
                    <w:rPr>
                      <w:rFonts w:hint="default" w:ascii="Times New Roman" w:hAnsi="Times New Roman" w:eastAsia="宋体" w:cs="Times New Roman"/>
                      <w:b w:val="0"/>
                      <w:bCs w:val="0"/>
                      <w:color w:val="auto"/>
                      <w:sz w:val="21"/>
                      <w:szCs w:val="24"/>
                    </w:rPr>
                  </w:pPr>
                  <w:r>
                    <w:rPr>
                      <w:rFonts w:hint="default" w:ascii="Times New Roman" w:hAnsi="Times New Roman" w:eastAsia="宋体" w:cs="Times New Roman"/>
                      <w:b w:val="0"/>
                      <w:bCs w:val="0"/>
                      <w:color w:val="auto"/>
                      <w:sz w:val="21"/>
                      <w:szCs w:val="24"/>
                    </w:rPr>
                    <w:t>风机</w:t>
                  </w:r>
                </w:p>
              </w:tc>
              <w:tc>
                <w:tcPr>
                  <w:tcW w:w="735" w:type="dxa"/>
                  <w:vAlign w:val="center"/>
                </w:tcPr>
                <w:p>
                  <w:pPr>
                    <w:spacing w:after="0" w:line="440" w:lineRule="exact"/>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5</w:t>
                  </w:r>
                </w:p>
              </w:tc>
              <w:tc>
                <w:tcPr>
                  <w:tcW w:w="1694" w:type="dxa"/>
                  <w:vAlign w:val="center"/>
                </w:tcPr>
                <w:p>
                  <w:pPr>
                    <w:spacing w:after="0" w:line="28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75~90dB（A）</w:t>
                  </w:r>
                </w:p>
              </w:tc>
              <w:tc>
                <w:tcPr>
                  <w:tcW w:w="1007"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频发</w:t>
                  </w:r>
                </w:p>
              </w:tc>
              <w:tc>
                <w:tcPr>
                  <w:tcW w:w="3022" w:type="dxa"/>
                  <w:vAlign w:val="center"/>
                </w:tcPr>
                <w:p>
                  <w:pPr>
                    <w:spacing w:after="0" w:line="4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Align w:val="center"/>
                </w:tcPr>
                <w:p>
                  <w:pPr>
                    <w:spacing w:after="0" w:line="280" w:lineRule="exac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冷却塔</w:t>
                  </w:r>
                </w:p>
              </w:tc>
              <w:tc>
                <w:tcPr>
                  <w:tcW w:w="1320" w:type="dxa"/>
                  <w:vAlign w:val="center"/>
                </w:tcPr>
                <w:p>
                  <w:pPr>
                    <w:spacing w:after="0" w:line="280" w:lineRule="exact"/>
                    <w:jc w:val="center"/>
                    <w:rPr>
                      <w:rFonts w:hint="default" w:ascii="Times New Roman" w:hAnsi="Times New Roman" w:eastAsia="宋体" w:cs="Times New Roman"/>
                      <w:b w:val="0"/>
                      <w:bCs w:val="0"/>
                      <w:color w:val="auto"/>
                      <w:sz w:val="21"/>
                      <w:szCs w:val="24"/>
                    </w:rPr>
                  </w:pPr>
                  <w:r>
                    <w:rPr>
                      <w:rFonts w:hint="default" w:ascii="Times New Roman" w:hAnsi="Times New Roman" w:eastAsia="宋体" w:cs="Times New Roman"/>
                      <w:b w:val="0"/>
                      <w:bCs w:val="0"/>
                      <w:color w:val="auto"/>
                      <w:kern w:val="2"/>
                      <w:sz w:val="21"/>
                      <w:szCs w:val="21"/>
                    </w:rPr>
                    <w:t>冷却塔</w:t>
                  </w:r>
                </w:p>
              </w:tc>
              <w:tc>
                <w:tcPr>
                  <w:tcW w:w="735" w:type="dxa"/>
                  <w:vAlign w:val="center"/>
                </w:tcPr>
                <w:p>
                  <w:pPr>
                    <w:spacing w:after="0" w:line="44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694" w:type="dxa"/>
                  <w:vAlign w:val="center"/>
                </w:tcPr>
                <w:p>
                  <w:pPr>
                    <w:spacing w:after="0" w:line="28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75~85dB（A）</w:t>
                  </w:r>
                </w:p>
              </w:tc>
              <w:tc>
                <w:tcPr>
                  <w:tcW w:w="1007" w:type="dxa"/>
                  <w:vAlign w:val="center"/>
                </w:tcPr>
                <w:p>
                  <w:pPr>
                    <w:pStyle w:val="9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频发</w:t>
                  </w:r>
                </w:p>
              </w:tc>
              <w:tc>
                <w:tcPr>
                  <w:tcW w:w="3022" w:type="dxa"/>
                  <w:vAlign w:val="center"/>
                </w:tcPr>
                <w:p>
                  <w:pPr>
                    <w:spacing w:after="0" w:line="4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基础减振、隔声罩</w:t>
                  </w:r>
                </w:p>
              </w:tc>
            </w:tr>
          </w:tbl>
          <w:p>
            <w:pPr>
              <w:spacing w:after="0" w:line="440" w:lineRule="exac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4.2.3.2噪声治理措施及影响分析</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（1）噪声污染防治措施</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本项目在建筑墙体隔声、选用低噪声设备的基础上，本工程针对噪声设备同时采取以下治理措施：</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1）在保证工艺生产的同时注意选用低噪声的设备；</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2）将主要噪声设备置于室内，减轻对外环境的噪声影响；</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综上，采用以上措施可较好地降低噪声影响，防止噪声污染。</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（2）噪声影响分析</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根据《环境影响评价技术导则 声环境》（HJ 2.4-2021）的技术要求，本次评价采用导则推荐模式。</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①声级计算</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建设项目声源在预测点产生的等效声级贡献值(Leq g)计算公式：</w:t>
            </w:r>
          </w:p>
          <w:p>
            <w:pPr>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sz w:val="24"/>
              </w:rPr>
              <w:object>
                <v:shape id="_x0000_i1033" o:spt="75" type="#_x0000_t75" style="height:30.15pt;width:131.45pt;" o:ole="t" filled="f" o:preferrelative="t" stroked="f" coordsize="21600,21600">
                  <v:path/>
                  <v:fill on="f" focussize="0,0"/>
                  <v:stroke on="f" joinstyle="miter"/>
                  <v:imagedata r:id="rId31" o:title=""/>
                  <o:lock v:ext="edit" aspectratio="t"/>
                  <w10:wrap type="none"/>
                  <w10:anchorlock/>
                </v:shape>
                <o:OLEObject Type="Embed" ProgID="Equations" ShapeID="_x0000_i1033" DrawAspect="Content" ObjectID="_1468075733" r:id="rId30">
                  <o:LockedField>false</o:LockedField>
                </o:OLEObject>
              </w:objec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式中：Leqg—建设项目声源在预测点的等效声级贡献值，dB(A)；</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LAi — i声源在预测点产生的A 声级，dB(A)；</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  — 预测计算的时间段，s；</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ti  — i 声源在T 时段内的运行时间，s。</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②预测点的预测等效声级(L eq )计算公式</w:t>
            </w:r>
          </w:p>
          <w:p>
            <w:pPr>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sz w:val="24"/>
              </w:rPr>
              <w:object>
                <v:shape id="_x0000_i1034" o:spt="75" type="#_x0000_t75" style="height:19.25pt;width:142.35pt;" o:ole="t" filled="f" o:preferrelative="t" stroked="f" coordsize="21600,21600">
                  <v:path/>
                  <v:fill on="f" focussize="0,0"/>
                  <v:stroke on="f" joinstyle="miter"/>
                  <v:imagedata r:id="rId33" o:title=""/>
                  <o:lock v:ext="edit" aspectratio="t"/>
                  <w10:wrap type="none"/>
                  <w10:anchorlock/>
                </v:shape>
                <o:OLEObject Type="Embed" ProgID="Equations" ShapeID="_x0000_i1034" DrawAspect="Content" ObjectID="_1468075734" r:id="rId32">
                  <o:LockedField>false</o:LockedField>
                </o:OLEObject>
              </w:objec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式中：L eqg —建设项目声源在预测点的等效声级贡献值，dB(A)；</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 eqb — 预测点的背景值，dB(A)</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③户外声传播衰减基本公式</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户外声传播衰减包括几何发散（Adiv）、大气吸收（Aatm）、地面效应（Agr）、屏障屏蔽（Abar）、其他多方面效应（Amisc）引起的衰减。</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距声源点r处的A声级按下式计算：</w:t>
            </w:r>
          </w:p>
          <w:p>
            <w:pPr>
              <w:spacing w:line="360" w:lineRule="auto"/>
              <w:ind w:firstLine="440" w:firstLineChars="200"/>
              <w:jc w:val="center"/>
              <w:rPr>
                <w:rFonts w:hint="default" w:ascii="Times New Roman" w:hAnsi="Times New Roman" w:cs="Times New Roman"/>
                <w:sz w:val="24"/>
              </w:rPr>
            </w:pPr>
            <m:oMathPara>
              <m:oMath>
                <m:sSub>
                  <m:sSubPr>
                    <m:ctrlPr>
                      <w:rPr>
                        <w:rFonts w:hint="default" w:ascii="Cambria Math" w:hAnsi="Cambria Math" w:eastAsia="宋体" w:cs="Times New Roman"/>
                      </w:rPr>
                    </m:ctrlPr>
                  </m:sSubPr>
                  <m:e>
                    <m:r>
                      <m:rPr/>
                      <w:rPr>
                        <w:rFonts w:hint="default" w:ascii="Cambria Math" w:hAnsi="Cambria Math" w:eastAsia="宋体" w:cs="Times New Roman"/>
                      </w:rPr>
                      <m:t>L</m:t>
                    </m:r>
                    <m:ctrlPr>
                      <w:rPr>
                        <w:rFonts w:hint="default" w:ascii="Cambria Math" w:hAnsi="Cambria Math" w:eastAsia="宋体" w:cs="Times New Roman"/>
                      </w:rPr>
                    </m:ctrlPr>
                  </m:e>
                  <m:sub>
                    <m:r>
                      <m:rPr/>
                      <w:rPr>
                        <w:rFonts w:hint="default" w:ascii="Cambria Math" w:hAnsi="Cambria Math" w:eastAsia="宋体" w:cs="Times New Roman"/>
                      </w:rPr>
                      <m:t>p</m:t>
                    </m:r>
                    <m:ctrlPr>
                      <w:rPr>
                        <w:rFonts w:hint="default" w:ascii="Cambria Math" w:hAnsi="Cambria Math" w:eastAsia="宋体" w:cs="Times New Roman"/>
                      </w:rPr>
                    </m:ctrlPr>
                  </m:sub>
                </m:sSub>
                <m:d>
                  <m:dPr>
                    <m:ctrlPr>
                      <w:rPr>
                        <w:rFonts w:hint="default" w:ascii="Cambria Math" w:hAnsi="Cambria Math" w:eastAsia="宋体" w:cs="Times New Roman"/>
                        <w:i/>
                      </w:rPr>
                    </m:ctrlPr>
                  </m:dPr>
                  <m:e>
                    <m:r>
                      <m:rPr/>
                      <w:rPr>
                        <w:rFonts w:hint="default" w:ascii="Cambria Math" w:hAnsi="Cambria Math" w:eastAsia="宋体" w:cs="Times New Roman"/>
                      </w:rPr>
                      <m:t>r</m:t>
                    </m:r>
                    <m:ctrlPr>
                      <w:rPr>
                        <w:rFonts w:hint="default" w:ascii="Cambria Math" w:hAnsi="Cambria Math" w:eastAsia="宋体" w:cs="Times New Roman"/>
                        <w:i/>
                      </w:rPr>
                    </m:ctrlPr>
                  </m:e>
                </m:d>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L</m:t>
                    </m:r>
                    <m:ctrlPr>
                      <w:rPr>
                        <w:rFonts w:hint="default" w:ascii="Cambria Math" w:hAnsi="Cambria Math" w:eastAsia="宋体" w:cs="Times New Roman"/>
                        <w:i/>
                      </w:rPr>
                    </m:ctrlPr>
                  </m:e>
                  <m:sub>
                    <m:r>
                      <m:rPr/>
                      <w:rPr>
                        <w:rFonts w:hint="default" w:ascii="Cambria Math" w:hAnsi="Cambria Math" w:eastAsia="宋体" w:cs="Times New Roman"/>
                      </w:rPr>
                      <m:t>p</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r</m:t>
                    </m:r>
                    <m:ctrlPr>
                      <w:rPr>
                        <w:rFonts w:hint="default" w:ascii="Cambria Math" w:hAnsi="Cambria Math" w:eastAsia="宋体" w:cs="Times New Roman"/>
                        <w:i/>
                      </w:rPr>
                    </m:ctrlPr>
                  </m:e>
                  <m:sub>
                    <m:r>
                      <m:rPr/>
                      <w:rPr>
                        <w:rFonts w:hint="default" w:ascii="Cambria Math" w:hAnsi="Cambria Math" w:eastAsia="宋体" w:cs="Times New Roman"/>
                      </w:rPr>
                      <m:t>0</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D</m:t>
                    </m:r>
                    <m:ctrlPr>
                      <w:rPr>
                        <w:rFonts w:hint="default" w:ascii="Cambria Math" w:hAnsi="Cambria Math" w:eastAsia="宋体" w:cs="Times New Roman"/>
                        <w:i/>
                      </w:rPr>
                    </m:ctrlPr>
                  </m:e>
                  <m:sub>
                    <m:r>
                      <m:rPr/>
                      <w:rPr>
                        <w:rFonts w:hint="default" w:ascii="Cambria Math" w:hAnsi="Cambria Math" w:eastAsia="宋体" w:cs="Times New Roman"/>
                      </w:rPr>
                      <m:t>c</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A</m:t>
                    </m:r>
                    <m:ctrlPr>
                      <w:rPr>
                        <w:rFonts w:hint="default" w:ascii="Cambria Math" w:hAnsi="Cambria Math" w:eastAsia="宋体" w:cs="Times New Roman"/>
                        <w:i/>
                      </w:rPr>
                    </m:ctrlPr>
                  </m:e>
                  <m:sub>
                    <m:r>
                      <m:rPr/>
                      <w:rPr>
                        <w:rFonts w:hint="default" w:ascii="Cambria Math" w:hAnsi="Cambria Math" w:eastAsia="宋体" w:cs="Times New Roman"/>
                      </w:rPr>
                      <m:t>div</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A</m:t>
                    </m:r>
                    <m:ctrlPr>
                      <w:rPr>
                        <w:rFonts w:hint="default" w:ascii="Cambria Math" w:hAnsi="Cambria Math" w:eastAsia="宋体" w:cs="Times New Roman"/>
                        <w:i/>
                      </w:rPr>
                    </m:ctrlPr>
                  </m:e>
                  <m:sub>
                    <m:r>
                      <m:rPr/>
                      <w:rPr>
                        <w:rFonts w:hint="default" w:ascii="Cambria Math" w:hAnsi="Cambria Math" w:eastAsia="宋体" w:cs="Times New Roman"/>
                      </w:rPr>
                      <m:t>atm</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A</m:t>
                    </m:r>
                    <m:ctrlPr>
                      <w:rPr>
                        <w:rFonts w:hint="default" w:ascii="Cambria Math" w:hAnsi="Cambria Math" w:eastAsia="宋体" w:cs="Times New Roman"/>
                        <w:i/>
                      </w:rPr>
                    </m:ctrlPr>
                  </m:e>
                  <m:sub>
                    <m:r>
                      <m:rPr/>
                      <w:rPr>
                        <w:rFonts w:hint="default" w:ascii="Cambria Math" w:hAnsi="Cambria Math" w:eastAsia="宋体" w:cs="Times New Roman"/>
                      </w:rPr>
                      <m:t>gr</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A</m:t>
                    </m:r>
                    <m:ctrlPr>
                      <w:rPr>
                        <w:rFonts w:hint="default" w:ascii="Cambria Math" w:hAnsi="Cambria Math" w:eastAsia="宋体" w:cs="Times New Roman"/>
                        <w:i/>
                      </w:rPr>
                    </m:ctrlPr>
                  </m:e>
                  <m:sub>
                    <m:r>
                      <m:rPr/>
                      <w:rPr>
                        <w:rFonts w:hint="default" w:ascii="Cambria Math" w:hAnsi="Cambria Math" w:eastAsia="宋体" w:cs="Times New Roman"/>
                      </w:rPr>
                      <m:t>bar</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A</m:t>
                    </m:r>
                    <m:ctrlPr>
                      <w:rPr>
                        <w:rFonts w:hint="default" w:ascii="Cambria Math" w:hAnsi="Cambria Math" w:eastAsia="宋体" w:cs="Times New Roman"/>
                        <w:i/>
                      </w:rPr>
                    </m:ctrlPr>
                  </m:e>
                  <m:sub>
                    <m:r>
                      <m:rPr/>
                      <w:rPr>
                        <w:rFonts w:hint="default" w:ascii="Cambria Math" w:hAnsi="Cambria Math" w:eastAsia="宋体" w:cs="Times New Roman"/>
                      </w:rPr>
                      <m:t>misc</m:t>
                    </m:r>
                    <m:ctrlPr>
                      <w:rPr>
                        <w:rFonts w:hint="default" w:ascii="Cambria Math" w:hAnsi="Cambria Math" w:eastAsia="宋体" w:cs="Times New Roman"/>
                        <w:i/>
                      </w:rPr>
                    </m:ctrlPr>
                  </m:sub>
                </m:sSub>
                <m:r>
                  <m:rPr/>
                  <w:rPr>
                    <w:rFonts w:hint="default" w:ascii="Cambria Math" w:hAnsi="Cambria Math" w:eastAsia="宋体" w:cs="Times New Roman"/>
                  </w:rPr>
                  <m:t>)</m:t>
                </m:r>
              </m:oMath>
            </m:oMathPara>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在预测中考虑几何发散、屏障引起的衰减等影响和计算方法。</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④预测点的A声级计算公式</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预测点的A声级LA(r)可按下式计算：</w:t>
            </w:r>
          </w:p>
          <w:p>
            <w:pPr>
              <w:spacing w:line="360" w:lineRule="auto"/>
              <w:ind w:firstLine="480" w:firstLineChars="200"/>
              <w:jc w:val="center"/>
              <w:rPr>
                <w:rFonts w:hint="default" w:ascii="Times New Roman" w:hAnsi="Times New Roman" w:cs="Times New Roman"/>
                <w:sz w:val="24"/>
              </w:rPr>
            </w:pPr>
            <w:r>
              <w:rPr>
                <w:rFonts w:hint="default" w:ascii="Times New Roman" w:hAnsi="Times New Roman" w:cs="Times New Roman"/>
                <w:sz w:val="24"/>
              </w:rPr>
              <w:object>
                <v:shape id="_x0000_i1035" o:spt="75" type="#_x0000_t75" style="height:37.65pt;width:170.8pt;" o:ole="t" filled="f" o:preferrelative="t" stroked="f" coordsize="21600,21600">
                  <v:path/>
                  <v:fill on="f" focussize="0,0"/>
                  <v:stroke on="f" joinstyle="miter"/>
                  <v:imagedata r:id="rId35" o:title=""/>
                  <o:lock v:ext="edit" aspectratio="t"/>
                  <w10:wrap type="none"/>
                  <w10:anchorlock/>
                </v:shape>
                <o:OLEObject Type="Embed" ProgID="Equations" ShapeID="_x0000_i1035" DrawAspect="Content" ObjectID="_1468075735" r:id="rId34">
                  <o:LockedField>false</o:LockedField>
                </o:OLEObject>
              </w:objec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在只考虑几何发散衰减时，可按下式计算：</w:t>
            </w:r>
          </w:p>
          <w:p>
            <w:pPr>
              <w:spacing w:line="360" w:lineRule="auto"/>
              <w:ind w:firstLine="440" w:firstLineChars="200"/>
              <w:jc w:val="center"/>
              <w:rPr>
                <w:rFonts w:hint="default" w:ascii="Times New Roman" w:hAnsi="Times New Roman" w:cs="Times New Roman"/>
                <w:sz w:val="24"/>
              </w:rPr>
            </w:pPr>
            <m:oMathPara>
              <m:oMath>
                <m:sSub>
                  <m:sSubPr>
                    <m:ctrlPr>
                      <w:rPr>
                        <w:rFonts w:hint="default" w:ascii="Cambria Math" w:hAnsi="Cambria Math" w:eastAsia="宋体" w:cs="Times New Roman"/>
                      </w:rPr>
                    </m:ctrlPr>
                  </m:sSubPr>
                  <m:e>
                    <m:r>
                      <m:rPr/>
                      <w:rPr>
                        <w:rFonts w:hint="default" w:ascii="Cambria Math" w:hAnsi="Cambria Math" w:eastAsia="宋体" w:cs="Times New Roman"/>
                      </w:rPr>
                      <m:t>L</m:t>
                    </m:r>
                    <m:ctrlPr>
                      <w:rPr>
                        <w:rFonts w:hint="default" w:ascii="Cambria Math" w:hAnsi="Cambria Math" w:eastAsia="宋体" w:cs="Times New Roman"/>
                      </w:rPr>
                    </m:ctrlPr>
                  </m:e>
                  <m:sub>
                    <m:r>
                      <m:rPr/>
                      <w:rPr>
                        <w:rFonts w:hint="default" w:ascii="Cambria Math" w:hAnsi="Cambria Math" w:eastAsia="宋体" w:cs="Times New Roman"/>
                      </w:rPr>
                      <m:t>A</m:t>
                    </m:r>
                    <m:ctrlPr>
                      <w:rPr>
                        <w:rFonts w:hint="default" w:ascii="Cambria Math" w:hAnsi="Cambria Math" w:eastAsia="宋体" w:cs="Times New Roman"/>
                      </w:rPr>
                    </m:ctrlPr>
                  </m:sub>
                </m:sSub>
                <m:d>
                  <m:dPr>
                    <m:ctrlPr>
                      <w:rPr>
                        <w:rFonts w:hint="default" w:ascii="Cambria Math" w:hAnsi="Cambria Math" w:eastAsia="宋体" w:cs="Times New Roman"/>
                        <w:i/>
                      </w:rPr>
                    </m:ctrlPr>
                  </m:dPr>
                  <m:e>
                    <m:r>
                      <m:rPr/>
                      <w:rPr>
                        <w:rFonts w:hint="default" w:ascii="Cambria Math" w:hAnsi="Cambria Math" w:eastAsia="宋体" w:cs="Times New Roman"/>
                      </w:rPr>
                      <m:t>r</m:t>
                    </m:r>
                    <m:ctrlPr>
                      <w:rPr>
                        <w:rFonts w:hint="default" w:ascii="Cambria Math" w:hAnsi="Cambria Math" w:eastAsia="宋体" w:cs="Times New Roman"/>
                        <w:i/>
                      </w:rPr>
                    </m:ctrlPr>
                  </m:e>
                </m:d>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L</m:t>
                    </m:r>
                    <m:ctrlPr>
                      <w:rPr>
                        <w:rFonts w:hint="default" w:ascii="Cambria Math" w:hAnsi="Cambria Math" w:eastAsia="宋体" w:cs="Times New Roman"/>
                        <w:i/>
                      </w:rPr>
                    </m:ctrlPr>
                  </m:e>
                  <m:sub>
                    <m:r>
                      <m:rPr/>
                      <w:rPr>
                        <w:rFonts w:hint="default" w:ascii="Cambria Math" w:hAnsi="Cambria Math" w:eastAsia="宋体" w:cs="Times New Roman"/>
                      </w:rPr>
                      <m:t>A</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r</m:t>
                    </m:r>
                    <m:ctrlPr>
                      <w:rPr>
                        <w:rFonts w:hint="default" w:ascii="Cambria Math" w:hAnsi="Cambria Math" w:eastAsia="宋体" w:cs="Times New Roman"/>
                        <w:i/>
                      </w:rPr>
                    </m:ctrlPr>
                  </m:e>
                  <m:sub>
                    <m:r>
                      <m:rPr/>
                      <w:rPr>
                        <w:rFonts w:hint="default" w:ascii="Cambria Math" w:hAnsi="Cambria Math" w:eastAsia="宋体" w:cs="Times New Roman"/>
                      </w:rPr>
                      <m:t>0</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A</m:t>
                    </m:r>
                    <m:ctrlPr>
                      <w:rPr>
                        <w:rFonts w:hint="default" w:ascii="Cambria Math" w:hAnsi="Cambria Math" w:eastAsia="宋体" w:cs="Times New Roman"/>
                        <w:i/>
                      </w:rPr>
                    </m:ctrlPr>
                  </m:e>
                  <m:sub>
                    <m:r>
                      <m:rPr/>
                      <w:rPr>
                        <w:rFonts w:hint="default" w:ascii="Cambria Math" w:hAnsi="Cambria Math" w:eastAsia="宋体" w:cs="Times New Roman"/>
                      </w:rPr>
                      <m:t>div</m:t>
                    </m:r>
                    <m:ctrlPr>
                      <w:rPr>
                        <w:rFonts w:hint="default" w:ascii="Cambria Math" w:hAnsi="Cambria Math" w:eastAsia="宋体" w:cs="Times New Roman"/>
                        <w:i/>
                      </w:rPr>
                    </m:ctrlPr>
                  </m:sub>
                </m:sSub>
              </m:oMath>
            </m:oMathPara>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⑤点声源的几何发散衰减</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无指向性点声源几何发散衰减的基本公示是：</w:t>
            </w:r>
          </w:p>
          <w:p>
            <w:pPr>
              <w:spacing w:line="360" w:lineRule="auto"/>
              <w:ind w:firstLine="440" w:firstLineChars="200"/>
              <w:jc w:val="center"/>
              <w:rPr>
                <w:rFonts w:hint="default" w:ascii="Times New Roman" w:hAnsi="Times New Roman" w:cs="Times New Roman"/>
                <w:sz w:val="24"/>
              </w:rPr>
            </w:pPr>
            <m:oMathPara>
              <m:oMath>
                <m:sSub>
                  <m:sSubPr>
                    <m:ctrlPr>
                      <w:rPr>
                        <w:rFonts w:hint="default" w:ascii="Cambria Math" w:hAnsi="Cambria Math" w:eastAsia="宋体" w:cs="Times New Roman"/>
                      </w:rPr>
                    </m:ctrlPr>
                  </m:sSubPr>
                  <m:e>
                    <m:r>
                      <m:rPr/>
                      <w:rPr>
                        <w:rFonts w:hint="default" w:ascii="Cambria Math" w:hAnsi="Cambria Math" w:eastAsia="宋体" w:cs="Times New Roman"/>
                      </w:rPr>
                      <m:t>L</m:t>
                    </m:r>
                    <m:ctrlPr>
                      <w:rPr>
                        <w:rFonts w:hint="default" w:ascii="Cambria Math" w:hAnsi="Cambria Math" w:eastAsia="宋体" w:cs="Times New Roman"/>
                      </w:rPr>
                    </m:ctrlPr>
                  </m:e>
                  <m:sub>
                    <m:r>
                      <m:rPr/>
                      <w:rPr>
                        <w:rFonts w:hint="default" w:ascii="Cambria Math" w:hAnsi="Cambria Math" w:eastAsia="宋体" w:cs="Times New Roman"/>
                      </w:rPr>
                      <m:t>p</m:t>
                    </m:r>
                    <m:ctrlPr>
                      <w:rPr>
                        <w:rFonts w:hint="default" w:ascii="Cambria Math" w:hAnsi="Cambria Math" w:eastAsia="宋体" w:cs="Times New Roman"/>
                      </w:rPr>
                    </m:ctrlPr>
                  </m:sub>
                </m:sSub>
                <m:d>
                  <m:dPr>
                    <m:ctrlPr>
                      <w:rPr>
                        <w:rFonts w:hint="default" w:ascii="Cambria Math" w:hAnsi="Cambria Math" w:eastAsia="宋体" w:cs="Times New Roman"/>
                        <w:i/>
                      </w:rPr>
                    </m:ctrlPr>
                  </m:dPr>
                  <m:e>
                    <m:r>
                      <m:rPr/>
                      <w:rPr>
                        <w:rFonts w:hint="default" w:ascii="Cambria Math" w:hAnsi="Cambria Math" w:eastAsia="宋体" w:cs="Times New Roman"/>
                      </w:rPr>
                      <m:t>r</m:t>
                    </m:r>
                    <m:ctrlPr>
                      <w:rPr>
                        <w:rFonts w:hint="default" w:ascii="Cambria Math" w:hAnsi="Cambria Math" w:eastAsia="宋体" w:cs="Times New Roman"/>
                        <w:i/>
                      </w:rPr>
                    </m:ctrlPr>
                  </m:e>
                </m:d>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L</m:t>
                    </m:r>
                    <m:ctrlPr>
                      <w:rPr>
                        <w:rFonts w:hint="default" w:ascii="Cambria Math" w:hAnsi="Cambria Math" w:eastAsia="宋体" w:cs="Times New Roman"/>
                        <w:i/>
                      </w:rPr>
                    </m:ctrlPr>
                  </m:e>
                  <m:sub>
                    <m:r>
                      <m:rPr/>
                      <w:rPr>
                        <w:rFonts w:hint="default" w:ascii="Cambria Math" w:hAnsi="Cambria Math" w:eastAsia="宋体" w:cs="Times New Roman"/>
                      </w:rPr>
                      <m:t>p</m:t>
                    </m:r>
                    <m:ctrlPr>
                      <w:rPr>
                        <w:rFonts w:hint="default" w:ascii="Cambria Math" w:hAnsi="Cambria Math" w:eastAsia="宋体" w:cs="Times New Roman"/>
                        <w:i/>
                      </w:rPr>
                    </m:ctrlPr>
                  </m:sub>
                </m:sSub>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r</m:t>
                    </m:r>
                    <m:ctrlPr>
                      <w:rPr>
                        <w:rFonts w:hint="default" w:ascii="Cambria Math" w:hAnsi="Cambria Math" w:eastAsia="宋体" w:cs="Times New Roman"/>
                        <w:i/>
                      </w:rPr>
                    </m:ctrlPr>
                  </m:e>
                  <m:sub>
                    <m:r>
                      <m:rPr/>
                      <w:rPr>
                        <w:rFonts w:hint="default" w:ascii="Cambria Math" w:hAnsi="Cambria Math" w:eastAsia="宋体" w:cs="Times New Roman"/>
                      </w:rPr>
                      <m:t>0</m:t>
                    </m:r>
                    <m:ctrlPr>
                      <w:rPr>
                        <w:rFonts w:hint="default" w:ascii="Cambria Math" w:hAnsi="Cambria Math" w:eastAsia="宋体" w:cs="Times New Roman"/>
                        <w:i/>
                      </w:rPr>
                    </m:ctrlPr>
                  </m:sub>
                </m:sSub>
                <m:r>
                  <m:rPr/>
                  <w:rPr>
                    <w:rFonts w:hint="default" w:ascii="Cambria Math" w:hAnsi="Cambria Math" w:eastAsia="宋体" w:cs="Times New Roman"/>
                  </w:rPr>
                  <m:t>)−20</m:t>
                </m:r>
                <m:r>
                  <m:rPr>
                    <m:sty m:val="p"/>
                  </m:rPr>
                  <w:rPr>
                    <w:rFonts w:hint="default" w:ascii="Cambria Math" w:hAnsi="Cambria Math" w:eastAsia="宋体" w:cs="Times New Roman"/>
                  </w:rPr>
                  <m:t>lg⁡</m:t>
                </m:r>
                <m:r>
                  <m:rPr/>
                  <w:rPr>
                    <w:rFonts w:hint="default" w:ascii="Cambria Math" w:hAnsi="Cambria Math" w:eastAsia="宋体" w:cs="Times New Roman"/>
                  </w:rPr>
                  <m:t>(</m:t>
                </m:r>
                <m:f>
                  <m:fPr>
                    <m:ctrlPr>
                      <w:rPr>
                        <w:rFonts w:hint="default" w:ascii="Cambria Math" w:hAnsi="Cambria Math" w:eastAsia="宋体" w:cs="Times New Roman"/>
                        <w:i/>
                      </w:rPr>
                    </m:ctrlPr>
                  </m:fPr>
                  <m:num>
                    <m:r>
                      <m:rPr/>
                      <w:rPr>
                        <w:rFonts w:hint="default" w:ascii="Cambria Math" w:hAnsi="Cambria Math" w:eastAsia="宋体" w:cs="Times New Roman"/>
                      </w:rPr>
                      <m:t>r</m:t>
                    </m:r>
                    <m:ctrlPr>
                      <w:rPr>
                        <w:rFonts w:hint="default" w:ascii="Cambria Math" w:hAnsi="Cambria Math" w:eastAsia="宋体" w:cs="Times New Roman"/>
                        <w:i/>
                      </w:rPr>
                    </m:ctrlPr>
                  </m:num>
                  <m:den>
                    <m:sSub>
                      <m:sSubPr>
                        <m:ctrlPr>
                          <w:rPr>
                            <w:rFonts w:hint="default" w:ascii="Cambria Math" w:hAnsi="Cambria Math" w:eastAsia="宋体" w:cs="Times New Roman"/>
                            <w:i/>
                          </w:rPr>
                        </m:ctrlPr>
                      </m:sSubPr>
                      <m:e>
                        <m:r>
                          <m:rPr/>
                          <w:rPr>
                            <w:rFonts w:hint="default" w:ascii="Cambria Math" w:hAnsi="Cambria Math" w:eastAsia="宋体" w:cs="Times New Roman"/>
                          </w:rPr>
                          <m:t>r</m:t>
                        </m:r>
                        <m:ctrlPr>
                          <w:rPr>
                            <w:rFonts w:hint="default" w:ascii="Cambria Math" w:hAnsi="Cambria Math" w:eastAsia="宋体" w:cs="Times New Roman"/>
                            <w:i/>
                          </w:rPr>
                        </m:ctrlPr>
                      </m:e>
                      <m:sub>
                        <m:r>
                          <m:rPr/>
                          <w:rPr>
                            <w:rFonts w:hint="default" w:ascii="Cambria Math" w:hAnsi="Cambria Math" w:eastAsia="宋体" w:cs="Times New Roman"/>
                          </w:rPr>
                          <m:t>0</m:t>
                        </m:r>
                        <m:ctrlPr>
                          <w:rPr>
                            <w:rFonts w:hint="default" w:ascii="Cambria Math" w:hAnsi="Cambria Math" w:eastAsia="宋体" w:cs="Times New Roman"/>
                            <w:i/>
                          </w:rPr>
                        </m:ctrlPr>
                      </m:sub>
                    </m:sSub>
                    <m:ctrlPr>
                      <w:rPr>
                        <w:rFonts w:hint="default" w:ascii="Cambria Math" w:hAnsi="Cambria Math" w:eastAsia="宋体" w:cs="Times New Roman"/>
                        <w:i/>
                      </w:rPr>
                    </m:ctrlPr>
                  </m:den>
                </m:f>
                <m:r>
                  <m:rPr/>
                  <w:rPr>
                    <w:rFonts w:hint="default" w:ascii="Cambria Math" w:hAnsi="Cambria Math" w:eastAsia="宋体" w:cs="Times New Roman"/>
                  </w:rPr>
                  <m:t>)</m:t>
                </m:r>
              </m:oMath>
            </m:oMathPara>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处于半自由声场的声源，则预测点处的A声级由下式计算：</w:t>
            </w:r>
          </w:p>
          <w:p>
            <w:pPr>
              <w:spacing w:line="360" w:lineRule="auto"/>
              <w:ind w:firstLine="440" w:firstLineChars="200"/>
              <w:jc w:val="center"/>
              <w:rPr>
                <w:rFonts w:hint="default" w:ascii="Times New Roman" w:hAnsi="Times New Roman" w:cs="Times New Roman"/>
                <w:sz w:val="24"/>
              </w:rPr>
            </w:pPr>
            <m:oMathPara>
              <m:oMath>
                <m:sSub>
                  <m:sSubPr>
                    <m:ctrlPr>
                      <w:rPr>
                        <w:rFonts w:hint="default" w:ascii="Cambria Math" w:hAnsi="Cambria Math" w:eastAsia="宋体" w:cs="Times New Roman"/>
                      </w:rPr>
                    </m:ctrlPr>
                  </m:sSubPr>
                  <m:e>
                    <m:r>
                      <m:rPr/>
                      <w:rPr>
                        <w:rFonts w:hint="default" w:ascii="Cambria Math" w:hAnsi="Cambria Math" w:eastAsia="宋体" w:cs="Times New Roman"/>
                      </w:rPr>
                      <m:t>L</m:t>
                    </m:r>
                    <m:ctrlPr>
                      <w:rPr>
                        <w:rFonts w:hint="default" w:ascii="Cambria Math" w:hAnsi="Cambria Math" w:eastAsia="宋体" w:cs="Times New Roman"/>
                      </w:rPr>
                    </m:ctrlPr>
                  </m:e>
                  <m:sub>
                    <m:r>
                      <m:rPr/>
                      <w:rPr>
                        <w:rFonts w:hint="default" w:ascii="Cambria Math" w:hAnsi="Cambria Math" w:eastAsia="宋体" w:cs="Times New Roman"/>
                      </w:rPr>
                      <m:t>A</m:t>
                    </m:r>
                    <m:ctrlPr>
                      <w:rPr>
                        <w:rFonts w:hint="default" w:ascii="Cambria Math" w:hAnsi="Cambria Math" w:eastAsia="宋体" w:cs="Times New Roman"/>
                      </w:rPr>
                    </m:ctrlPr>
                  </m:sub>
                </m:sSub>
                <m:d>
                  <m:dPr>
                    <m:ctrlPr>
                      <w:rPr>
                        <w:rFonts w:hint="default" w:ascii="Cambria Math" w:hAnsi="Cambria Math" w:eastAsia="宋体" w:cs="Times New Roman"/>
                        <w:i/>
                      </w:rPr>
                    </m:ctrlPr>
                  </m:dPr>
                  <m:e>
                    <m:r>
                      <m:rPr/>
                      <w:rPr>
                        <w:rFonts w:hint="default" w:ascii="Cambria Math" w:hAnsi="Cambria Math" w:eastAsia="宋体" w:cs="Times New Roman"/>
                      </w:rPr>
                      <m:t>r</m:t>
                    </m:r>
                    <m:ctrlPr>
                      <w:rPr>
                        <w:rFonts w:hint="default" w:ascii="Cambria Math" w:hAnsi="Cambria Math" w:eastAsia="宋体" w:cs="Times New Roman"/>
                        <w:i/>
                      </w:rPr>
                    </m:ctrlPr>
                  </m:e>
                </m:d>
                <m:r>
                  <m:rPr/>
                  <w:rPr>
                    <w:rFonts w:hint="default" w:ascii="Cambria Math" w:hAnsi="Cambria Math" w:eastAsia="宋体" w:cs="Times New Roman"/>
                  </w:rPr>
                  <m:t>=</m:t>
                </m:r>
                <m:sSub>
                  <m:sSubPr>
                    <m:ctrlPr>
                      <w:rPr>
                        <w:rFonts w:hint="default" w:ascii="Cambria Math" w:hAnsi="Cambria Math" w:eastAsia="宋体" w:cs="Times New Roman"/>
                        <w:i/>
                      </w:rPr>
                    </m:ctrlPr>
                  </m:sSubPr>
                  <m:e>
                    <m:r>
                      <m:rPr/>
                      <w:rPr>
                        <w:rFonts w:hint="default" w:ascii="Cambria Math" w:hAnsi="Cambria Math" w:eastAsia="宋体" w:cs="Times New Roman"/>
                      </w:rPr>
                      <m:t>L</m:t>
                    </m:r>
                    <m:ctrlPr>
                      <w:rPr>
                        <w:rFonts w:hint="default" w:ascii="Cambria Math" w:hAnsi="Cambria Math" w:eastAsia="宋体" w:cs="Times New Roman"/>
                        <w:i/>
                      </w:rPr>
                    </m:ctrlPr>
                  </m:e>
                  <m:sub>
                    <m:r>
                      <m:rPr/>
                      <w:rPr>
                        <w:rFonts w:hint="default" w:ascii="Cambria Math" w:hAnsi="Cambria Math" w:eastAsia="宋体" w:cs="Times New Roman"/>
                      </w:rPr>
                      <m:t>Aw</m:t>
                    </m:r>
                    <m:ctrlPr>
                      <w:rPr>
                        <w:rFonts w:hint="default" w:ascii="Cambria Math" w:hAnsi="Cambria Math" w:eastAsia="宋体" w:cs="Times New Roman"/>
                        <w:i/>
                      </w:rPr>
                    </m:ctrlPr>
                  </m:sub>
                </m:sSub>
                <m:r>
                  <m:rPr/>
                  <w:rPr>
                    <w:rFonts w:hint="default" w:ascii="Cambria Math" w:hAnsi="Cambria Math" w:eastAsia="宋体" w:cs="Times New Roman"/>
                  </w:rPr>
                  <m:t>−20lgr−8</m:t>
                </m:r>
              </m:oMath>
            </m:oMathPara>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（3）预测结果</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本次评价预测本项目建成后正常生产时全厂各噪声源各噪声源对东、南、西、北厂界的叠加贡献值，预测结果详见表4.2-1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before="120" w:beforeLines="50" w:after="0"/>
              <w:jc w:val="center"/>
              <w:textAlignment w:val="auto"/>
              <w:outlineLvl w:val="4"/>
              <w:rPr>
                <w:rFonts w:hint="default" w:ascii="Times New Roman" w:hAnsi="Times New Roman" w:eastAsia="宋体" w:cs="Times New Roman"/>
                <w:b/>
                <w:bCs/>
                <w:sz w:val="24"/>
                <w:szCs w:val="24"/>
              </w:rPr>
            </w:pPr>
            <w:bookmarkStart w:id="3" w:name="_Ref98428987"/>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STYLEREF 2 \s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4.3</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rPr>
              <w:noBreakHyphen/>
            </w:r>
            <w:bookmarkEnd w:id="3"/>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8</w:t>
            </w:r>
            <w:r>
              <w:rPr>
                <w:rFonts w:hint="default" w:ascii="Times New Roman" w:hAnsi="Times New Roman" w:eastAsia="宋体" w:cs="Times New Roman"/>
                <w:b/>
                <w:bCs/>
                <w:sz w:val="24"/>
                <w:szCs w:val="24"/>
              </w:rPr>
              <w:t xml:space="preserve">  厂界噪声预测结果           单位：dB(A)</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1793"/>
              <w:gridCol w:w="1797"/>
              <w:gridCol w:w="1796"/>
              <w:gridCol w:w="17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vMerge w:val="restart"/>
                  <w:tcBorders>
                    <w:top w:val="single" w:color="auto" w:sz="4" w:space="0"/>
                    <w:left w:val="nil"/>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预测点</w:t>
                  </w:r>
                </w:p>
              </w:tc>
              <w:tc>
                <w:tcPr>
                  <w:tcW w:w="1962" w:type="pct"/>
                  <w:gridSpan w:val="2"/>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预测值</w:t>
                  </w:r>
                </w:p>
              </w:tc>
              <w:tc>
                <w:tcPr>
                  <w:tcW w:w="982" w:type="pct"/>
                  <w:vMerge w:val="restar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标准值</w:t>
                  </w:r>
                </w:p>
              </w:tc>
              <w:tc>
                <w:tcPr>
                  <w:tcW w:w="974" w:type="pct"/>
                  <w:vMerge w:val="restart"/>
                  <w:tcBorders>
                    <w:top w:val="single" w:color="auto" w:sz="4" w:space="0"/>
                    <w:left w:val="single" w:color="auto" w:sz="4" w:space="0"/>
                    <w:bottom w:val="single" w:color="auto" w:sz="4" w:space="0"/>
                    <w:right w:val="nil"/>
                  </w:tcBorders>
                  <w:vAlign w:val="center"/>
                </w:tcPr>
                <w:p>
                  <w:pPr>
                    <w:pStyle w:val="90"/>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vMerge w:val="continue"/>
                  <w:tcBorders>
                    <w:top w:val="single" w:color="auto" w:sz="4" w:space="0"/>
                    <w:left w:val="nil"/>
                    <w:bottom w:val="single" w:color="auto" w:sz="4" w:space="0"/>
                    <w:right w:val="single" w:color="auto" w:sz="4" w:space="0"/>
                  </w:tcBorders>
                  <w:vAlign w:val="center"/>
                </w:tcPr>
                <w:p>
                  <w:pPr>
                    <w:pStyle w:val="90"/>
                    <w:rPr>
                      <w:rFonts w:hint="default" w:ascii="Times New Roman" w:hAnsi="Times New Roman" w:cs="Times New Roman"/>
                    </w:rPr>
                  </w:pPr>
                </w:p>
              </w:tc>
              <w:tc>
                <w:tcPr>
                  <w:tcW w:w="980"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昼间</w:t>
                  </w:r>
                </w:p>
              </w:tc>
              <w:tc>
                <w:tcPr>
                  <w:tcW w:w="982"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夜间</w:t>
                  </w:r>
                </w:p>
              </w:tc>
              <w:tc>
                <w:tcPr>
                  <w:tcW w:w="982" w:type="pct"/>
                  <w:vMerge w:val="continue"/>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p>
              </w:tc>
              <w:tc>
                <w:tcPr>
                  <w:tcW w:w="974" w:type="pct"/>
                  <w:vMerge w:val="continue"/>
                  <w:tcBorders>
                    <w:top w:val="single" w:color="auto" w:sz="4" w:space="0"/>
                    <w:left w:val="single" w:color="auto" w:sz="4" w:space="0"/>
                    <w:bottom w:val="single" w:color="auto" w:sz="4" w:space="0"/>
                    <w:right w:val="nil"/>
                  </w:tcBorders>
                  <w:vAlign w:val="center"/>
                </w:tcPr>
                <w:p>
                  <w:pPr>
                    <w:pStyle w:val="90"/>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tcBorders>
                    <w:top w:val="single" w:color="auto" w:sz="4" w:space="0"/>
                    <w:left w:val="nil"/>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东北厂界</w:t>
                  </w:r>
                </w:p>
              </w:tc>
              <w:tc>
                <w:tcPr>
                  <w:tcW w:w="980"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59</w:t>
                  </w:r>
                </w:p>
              </w:tc>
              <w:tc>
                <w:tcPr>
                  <w:tcW w:w="982"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44</w:t>
                  </w:r>
                </w:p>
              </w:tc>
              <w:tc>
                <w:tcPr>
                  <w:tcW w:w="982" w:type="pct"/>
                  <w:vMerge w:val="restar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昼间65</w:t>
                  </w:r>
                </w:p>
                <w:p>
                  <w:pPr>
                    <w:pStyle w:val="90"/>
                    <w:rPr>
                      <w:rFonts w:hint="default" w:ascii="Times New Roman" w:hAnsi="Times New Roman" w:cs="Times New Roman"/>
                    </w:rPr>
                  </w:pPr>
                  <w:r>
                    <w:rPr>
                      <w:rFonts w:hint="default" w:ascii="Times New Roman" w:hAnsi="Times New Roman" w:cs="Times New Roman"/>
                    </w:rPr>
                    <w:t>夜间55</w:t>
                  </w:r>
                </w:p>
              </w:tc>
              <w:tc>
                <w:tcPr>
                  <w:tcW w:w="974" w:type="pct"/>
                  <w:tcBorders>
                    <w:top w:val="single" w:color="auto" w:sz="4" w:space="0"/>
                    <w:left w:val="single" w:color="auto" w:sz="4" w:space="0"/>
                    <w:bottom w:val="single" w:color="auto" w:sz="4" w:space="0"/>
                    <w:right w:val="nil"/>
                  </w:tcBorders>
                  <w:vAlign w:val="center"/>
                </w:tcPr>
                <w:p>
                  <w:pPr>
                    <w:pStyle w:val="9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tcBorders>
                    <w:top w:val="single" w:color="auto" w:sz="4" w:space="0"/>
                    <w:left w:val="nil"/>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东南厂界</w:t>
                  </w:r>
                </w:p>
              </w:tc>
              <w:tc>
                <w:tcPr>
                  <w:tcW w:w="980"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46</w:t>
                  </w:r>
                </w:p>
              </w:tc>
              <w:tc>
                <w:tcPr>
                  <w:tcW w:w="982"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41</w:t>
                  </w:r>
                </w:p>
              </w:tc>
              <w:tc>
                <w:tcPr>
                  <w:tcW w:w="982" w:type="pct"/>
                  <w:vMerge w:val="continue"/>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p>
              </w:tc>
              <w:tc>
                <w:tcPr>
                  <w:tcW w:w="974" w:type="pct"/>
                  <w:tcBorders>
                    <w:top w:val="single" w:color="auto" w:sz="4" w:space="0"/>
                    <w:left w:val="single" w:color="auto" w:sz="4" w:space="0"/>
                    <w:bottom w:val="single" w:color="auto" w:sz="4" w:space="0"/>
                    <w:right w:val="nil"/>
                  </w:tcBorders>
                  <w:vAlign w:val="center"/>
                </w:tcPr>
                <w:p>
                  <w:pPr>
                    <w:pStyle w:val="9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tcBorders>
                    <w:top w:val="single" w:color="auto" w:sz="4" w:space="0"/>
                    <w:left w:val="nil"/>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西南厂界</w:t>
                  </w:r>
                </w:p>
              </w:tc>
              <w:tc>
                <w:tcPr>
                  <w:tcW w:w="980"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48</w:t>
                  </w:r>
                </w:p>
              </w:tc>
              <w:tc>
                <w:tcPr>
                  <w:tcW w:w="982"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41</w:t>
                  </w:r>
                </w:p>
              </w:tc>
              <w:tc>
                <w:tcPr>
                  <w:tcW w:w="982" w:type="pct"/>
                  <w:vMerge w:val="continue"/>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p>
              </w:tc>
              <w:tc>
                <w:tcPr>
                  <w:tcW w:w="974" w:type="pct"/>
                  <w:tcBorders>
                    <w:top w:val="single" w:color="auto" w:sz="4" w:space="0"/>
                    <w:left w:val="single" w:color="auto" w:sz="4" w:space="0"/>
                    <w:bottom w:val="single" w:color="auto" w:sz="4" w:space="0"/>
                    <w:right w:val="nil"/>
                  </w:tcBorders>
                  <w:vAlign w:val="center"/>
                </w:tcPr>
                <w:p>
                  <w:pPr>
                    <w:pStyle w:val="9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pct"/>
                  <w:tcBorders>
                    <w:top w:val="single" w:color="auto" w:sz="4" w:space="0"/>
                    <w:left w:val="nil"/>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西北厂界</w:t>
                  </w:r>
                </w:p>
              </w:tc>
              <w:tc>
                <w:tcPr>
                  <w:tcW w:w="980"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 xml:space="preserve">59 </w:t>
                  </w:r>
                </w:p>
              </w:tc>
              <w:tc>
                <w:tcPr>
                  <w:tcW w:w="982" w:type="pct"/>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r>
                    <w:rPr>
                      <w:rFonts w:hint="default" w:ascii="Times New Roman" w:hAnsi="Times New Roman" w:cs="Times New Roman"/>
                    </w:rPr>
                    <w:t>44</w:t>
                  </w:r>
                </w:p>
              </w:tc>
              <w:tc>
                <w:tcPr>
                  <w:tcW w:w="982" w:type="pct"/>
                  <w:vMerge w:val="continue"/>
                  <w:tcBorders>
                    <w:top w:val="single" w:color="auto" w:sz="4" w:space="0"/>
                    <w:left w:val="single" w:color="auto" w:sz="4" w:space="0"/>
                    <w:bottom w:val="single" w:color="auto" w:sz="4" w:space="0"/>
                    <w:right w:val="single" w:color="auto" w:sz="4" w:space="0"/>
                  </w:tcBorders>
                  <w:vAlign w:val="center"/>
                </w:tcPr>
                <w:p>
                  <w:pPr>
                    <w:pStyle w:val="90"/>
                    <w:rPr>
                      <w:rFonts w:hint="default" w:ascii="Times New Roman" w:hAnsi="Times New Roman" w:cs="Times New Roman"/>
                    </w:rPr>
                  </w:pPr>
                </w:p>
              </w:tc>
              <w:tc>
                <w:tcPr>
                  <w:tcW w:w="974" w:type="pct"/>
                  <w:tcBorders>
                    <w:top w:val="single" w:color="auto" w:sz="4" w:space="0"/>
                    <w:left w:val="single" w:color="auto" w:sz="4" w:space="0"/>
                    <w:bottom w:val="single" w:color="auto" w:sz="4" w:space="0"/>
                    <w:right w:val="nil"/>
                  </w:tcBorders>
                  <w:vAlign w:val="center"/>
                </w:tcPr>
                <w:p>
                  <w:pPr>
                    <w:pStyle w:val="90"/>
                    <w:rPr>
                      <w:rFonts w:hint="default" w:ascii="Times New Roman" w:hAnsi="Times New Roman" w:cs="Times New Roman"/>
                    </w:rPr>
                  </w:pPr>
                  <w:r>
                    <w:rPr>
                      <w:rFonts w:hint="default" w:ascii="Times New Roman" w:hAnsi="Times New Roman" w:cs="Times New Roman"/>
                    </w:rPr>
                    <w:t>达标</w:t>
                  </w:r>
                </w:p>
              </w:tc>
            </w:tr>
          </w:tbl>
          <w:p>
            <w:pPr>
              <w:pStyle w:val="98"/>
              <w:spacing w:before="120"/>
              <w:jc w:val="center"/>
              <w:rPr>
                <w:rFonts w:hint="default" w:ascii="Times New Roman" w:hAnsi="Times New Roman" w:eastAsia="宋体" w:cs="Times New Roman"/>
                <w:b/>
                <w:bCs/>
                <w:color w:val="auto"/>
                <w:sz w:val="24"/>
                <w:szCs w:val="24"/>
                <w:lang w:val="en-US" w:eastAsia="zh-CN" w:bidi="ar-SA"/>
              </w:rPr>
            </w:pPr>
            <w:bookmarkStart w:id="4" w:name="_Ref98428990"/>
            <w:r>
              <w:rPr>
                <w:rFonts w:hint="default" w:ascii="Times New Roman" w:hAnsi="Times New Roman" w:cs="Times New Roman"/>
                <w:color w:val="auto"/>
                <w:lang w:val="en-US" w:eastAsia="zh-CN"/>
              </w:rPr>
              <w:t xml:space="preserve">              </w:t>
            </w:r>
            <w:r>
              <w:rPr>
                <w:rFonts w:hint="default" w:ascii="Times New Roman" w:hAnsi="Times New Roman" w:eastAsia="宋体" w:cs="Times New Roman"/>
                <w:b/>
                <w:bCs/>
                <w:color w:val="auto"/>
                <w:sz w:val="24"/>
                <w:szCs w:val="24"/>
                <w:lang w:val="en-US" w:eastAsia="zh-CN" w:bidi="ar-SA"/>
              </w:rPr>
              <w:t>表</w:t>
            </w:r>
            <w:r>
              <w:rPr>
                <w:rFonts w:hint="default" w:ascii="Times New Roman" w:hAnsi="Times New Roman" w:eastAsia="宋体" w:cs="Times New Roman"/>
                <w:b/>
                <w:bCs/>
                <w:color w:val="auto"/>
                <w:sz w:val="24"/>
                <w:szCs w:val="24"/>
                <w:lang w:val="en-US" w:eastAsia="zh-CN" w:bidi="ar-SA"/>
              </w:rPr>
              <w:fldChar w:fldCharType="begin"/>
            </w:r>
            <w:r>
              <w:rPr>
                <w:rFonts w:hint="default" w:ascii="Times New Roman" w:hAnsi="Times New Roman" w:eastAsia="宋体" w:cs="Times New Roman"/>
                <w:b/>
                <w:bCs/>
                <w:color w:val="auto"/>
                <w:sz w:val="24"/>
                <w:szCs w:val="24"/>
                <w:lang w:val="en-US" w:eastAsia="zh-CN" w:bidi="ar-SA"/>
              </w:rPr>
              <w:instrText xml:space="preserve"> STYLEREF 2 \s </w:instrText>
            </w:r>
            <w:r>
              <w:rPr>
                <w:rFonts w:hint="default" w:ascii="Times New Roman" w:hAnsi="Times New Roman" w:eastAsia="宋体" w:cs="Times New Roman"/>
                <w:b/>
                <w:bCs/>
                <w:color w:val="auto"/>
                <w:sz w:val="24"/>
                <w:szCs w:val="24"/>
                <w:lang w:val="en-US" w:eastAsia="zh-CN" w:bidi="ar-SA"/>
              </w:rPr>
              <w:fldChar w:fldCharType="separate"/>
            </w:r>
            <w:r>
              <w:rPr>
                <w:rFonts w:hint="default" w:ascii="Times New Roman" w:hAnsi="Times New Roman" w:eastAsia="宋体" w:cs="Times New Roman"/>
                <w:b/>
                <w:bCs/>
                <w:color w:val="auto"/>
                <w:sz w:val="24"/>
                <w:szCs w:val="24"/>
                <w:lang w:val="en-US" w:eastAsia="zh-CN" w:bidi="ar-SA"/>
              </w:rPr>
              <w:t>4.3</w:t>
            </w:r>
            <w:r>
              <w:rPr>
                <w:rFonts w:hint="default" w:ascii="Times New Roman" w:hAnsi="Times New Roman" w:eastAsia="宋体" w:cs="Times New Roman"/>
                <w:b/>
                <w:bCs/>
                <w:color w:val="auto"/>
                <w:sz w:val="24"/>
                <w:szCs w:val="24"/>
                <w:lang w:val="en-US" w:eastAsia="zh-CN" w:bidi="ar-SA"/>
              </w:rPr>
              <w:fldChar w:fldCharType="end"/>
            </w:r>
            <w:r>
              <w:rPr>
                <w:rFonts w:hint="default" w:ascii="Times New Roman" w:hAnsi="Times New Roman" w:eastAsia="宋体" w:cs="Times New Roman"/>
                <w:b/>
                <w:bCs/>
                <w:color w:val="auto"/>
                <w:sz w:val="24"/>
                <w:szCs w:val="24"/>
                <w:lang w:val="en-US" w:eastAsia="zh-CN" w:bidi="ar-SA"/>
              </w:rPr>
              <w:noBreakHyphen/>
            </w:r>
            <w:bookmarkEnd w:id="4"/>
            <w:r>
              <w:rPr>
                <w:rFonts w:hint="default" w:ascii="Times New Roman" w:hAnsi="Times New Roman" w:eastAsia="宋体" w:cs="Times New Roman"/>
                <w:b/>
                <w:bCs/>
                <w:color w:val="auto"/>
                <w:sz w:val="24"/>
                <w:szCs w:val="24"/>
                <w:lang w:val="en-US" w:eastAsia="zh-CN" w:bidi="ar-SA"/>
              </w:rPr>
              <w:t>19  噪声敏感点预测结果          单位：dB(A)</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66"/>
              <w:gridCol w:w="1395"/>
              <w:gridCol w:w="806"/>
              <w:gridCol w:w="808"/>
              <w:gridCol w:w="805"/>
              <w:gridCol w:w="805"/>
              <w:gridCol w:w="805"/>
              <w:gridCol w:w="805"/>
              <w:gridCol w:w="14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1" w:type="pct"/>
                  <w:vMerge w:val="restart"/>
                  <w:vAlign w:val="center"/>
                </w:tcPr>
                <w:p>
                  <w:pPr>
                    <w:pStyle w:val="90"/>
                    <w:rPr>
                      <w:rFonts w:hint="default" w:ascii="Times New Roman" w:hAnsi="Times New Roman" w:cs="Times New Roman"/>
                    </w:rPr>
                  </w:pPr>
                  <w:r>
                    <w:rPr>
                      <w:rFonts w:hint="default" w:ascii="Times New Roman" w:hAnsi="Times New Roman" w:cs="Times New Roman"/>
                    </w:rPr>
                    <w:t>预测点</w:t>
                  </w:r>
                </w:p>
              </w:tc>
              <w:tc>
                <w:tcPr>
                  <w:tcW w:w="762" w:type="pct"/>
                  <w:vMerge w:val="restart"/>
                  <w:vAlign w:val="center"/>
                </w:tcPr>
                <w:p>
                  <w:pPr>
                    <w:pStyle w:val="90"/>
                    <w:rPr>
                      <w:rFonts w:hint="default" w:ascii="Times New Roman" w:hAnsi="Times New Roman" w:cs="Times New Roman"/>
                    </w:rPr>
                  </w:pPr>
                  <w:r>
                    <w:rPr>
                      <w:rFonts w:hint="default" w:ascii="Times New Roman" w:hAnsi="Times New Roman" w:cs="Times New Roman"/>
                    </w:rPr>
                    <w:t>位置</w:t>
                  </w:r>
                </w:p>
              </w:tc>
              <w:tc>
                <w:tcPr>
                  <w:tcW w:w="881" w:type="pct"/>
                  <w:gridSpan w:val="2"/>
                  <w:vAlign w:val="center"/>
                </w:tcPr>
                <w:p>
                  <w:pPr>
                    <w:pStyle w:val="90"/>
                    <w:rPr>
                      <w:rFonts w:hint="default" w:ascii="Times New Roman" w:hAnsi="Times New Roman" w:cs="Times New Roman"/>
                    </w:rPr>
                  </w:pPr>
                  <w:r>
                    <w:rPr>
                      <w:rFonts w:hint="default" w:ascii="Times New Roman" w:hAnsi="Times New Roman" w:cs="Times New Roman"/>
                    </w:rPr>
                    <w:t>背景值</w:t>
                  </w:r>
                </w:p>
              </w:tc>
              <w:tc>
                <w:tcPr>
                  <w:tcW w:w="880" w:type="pct"/>
                  <w:gridSpan w:val="2"/>
                  <w:vAlign w:val="center"/>
                </w:tcPr>
                <w:p>
                  <w:pPr>
                    <w:pStyle w:val="90"/>
                    <w:rPr>
                      <w:rFonts w:hint="default" w:ascii="Times New Roman" w:hAnsi="Times New Roman" w:cs="Times New Roman"/>
                    </w:rPr>
                  </w:pPr>
                  <w:r>
                    <w:rPr>
                      <w:rFonts w:hint="default" w:ascii="Times New Roman" w:hAnsi="Times New Roman" w:cs="Times New Roman"/>
                    </w:rPr>
                    <w:t>预测值</w:t>
                  </w:r>
                </w:p>
              </w:tc>
              <w:tc>
                <w:tcPr>
                  <w:tcW w:w="880" w:type="pct"/>
                  <w:gridSpan w:val="2"/>
                  <w:vAlign w:val="center"/>
                </w:tcPr>
                <w:p>
                  <w:pPr>
                    <w:pStyle w:val="90"/>
                    <w:rPr>
                      <w:rFonts w:hint="default" w:ascii="Times New Roman" w:hAnsi="Times New Roman" w:cs="Times New Roman"/>
                    </w:rPr>
                  </w:pPr>
                  <w:r>
                    <w:rPr>
                      <w:rFonts w:hint="default" w:ascii="Times New Roman" w:hAnsi="Times New Roman" w:cs="Times New Roman"/>
                    </w:rPr>
                    <w:t>标准值</w:t>
                  </w:r>
                </w:p>
              </w:tc>
              <w:tc>
                <w:tcPr>
                  <w:tcW w:w="793" w:type="pct"/>
                  <w:vMerge w:val="restart"/>
                  <w:vAlign w:val="center"/>
                </w:tcPr>
                <w:p>
                  <w:pPr>
                    <w:pStyle w:val="90"/>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1" w:type="pct"/>
                  <w:vMerge w:val="continue"/>
                  <w:vAlign w:val="center"/>
                </w:tcPr>
                <w:p>
                  <w:pPr>
                    <w:pStyle w:val="90"/>
                    <w:rPr>
                      <w:rFonts w:hint="default" w:ascii="Times New Roman" w:hAnsi="Times New Roman" w:cs="Times New Roman"/>
                    </w:rPr>
                  </w:pPr>
                </w:p>
              </w:tc>
              <w:tc>
                <w:tcPr>
                  <w:tcW w:w="762" w:type="pct"/>
                  <w:vMerge w:val="continue"/>
                  <w:vAlign w:val="center"/>
                </w:tcPr>
                <w:p>
                  <w:pPr>
                    <w:pStyle w:val="90"/>
                    <w:rPr>
                      <w:rFonts w:hint="default" w:ascii="Times New Roman" w:hAnsi="Times New Roman" w:cs="Times New Roman"/>
                    </w:rPr>
                  </w:pP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昼间</w:t>
                  </w:r>
                </w:p>
              </w:tc>
              <w:tc>
                <w:tcPr>
                  <w:tcW w:w="441" w:type="pct"/>
                  <w:vAlign w:val="center"/>
                </w:tcPr>
                <w:p>
                  <w:pPr>
                    <w:pStyle w:val="90"/>
                    <w:rPr>
                      <w:rFonts w:hint="default" w:ascii="Times New Roman" w:hAnsi="Times New Roman" w:cs="Times New Roman"/>
                    </w:rPr>
                  </w:pPr>
                  <w:r>
                    <w:rPr>
                      <w:rFonts w:hint="default" w:ascii="Times New Roman" w:hAnsi="Times New Roman" w:cs="Times New Roman"/>
                    </w:rPr>
                    <w:t>夜间</w:t>
                  </w: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昼间</w:t>
                  </w: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夜间</w:t>
                  </w: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昼间</w:t>
                  </w: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夜间</w:t>
                  </w:r>
                </w:p>
              </w:tc>
              <w:tc>
                <w:tcPr>
                  <w:tcW w:w="793" w:type="pct"/>
                  <w:vMerge w:val="continue"/>
                  <w:vAlign w:val="center"/>
                </w:tcPr>
                <w:p>
                  <w:pPr>
                    <w:pStyle w:val="90"/>
                    <w:rPr>
                      <w:rFonts w:hint="default" w:ascii="Times New Roman" w:hAnsi="Times New Roman" w:cs="Times New Roma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1" w:type="pct"/>
                  <w:vAlign w:val="center"/>
                </w:tcPr>
                <w:p>
                  <w:pPr>
                    <w:pStyle w:val="90"/>
                    <w:rPr>
                      <w:rFonts w:hint="default" w:ascii="Times New Roman" w:hAnsi="Times New Roman" w:cs="Times New Roman"/>
                    </w:rPr>
                  </w:pPr>
                  <w:r>
                    <w:rPr>
                      <w:rFonts w:hint="default" w:ascii="Times New Roman" w:hAnsi="Times New Roman" w:cs="Times New Roman"/>
                    </w:rPr>
                    <w:t>2#散户居民</w:t>
                  </w:r>
                </w:p>
              </w:tc>
              <w:tc>
                <w:tcPr>
                  <w:tcW w:w="762" w:type="pct"/>
                  <w:vAlign w:val="center"/>
                </w:tcPr>
                <w:p>
                  <w:pPr>
                    <w:pStyle w:val="90"/>
                    <w:rPr>
                      <w:rFonts w:hint="default" w:ascii="Times New Roman" w:hAnsi="Times New Roman" w:cs="Times New Roman"/>
                    </w:rPr>
                  </w:pPr>
                  <w:r>
                    <w:rPr>
                      <w:rFonts w:hint="default" w:ascii="Times New Roman" w:hAnsi="Times New Roman" w:cs="Times New Roman"/>
                    </w:rPr>
                    <w:t>E，50m</w:t>
                  </w: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53</w:t>
                  </w:r>
                </w:p>
              </w:tc>
              <w:tc>
                <w:tcPr>
                  <w:tcW w:w="441" w:type="pct"/>
                  <w:vAlign w:val="center"/>
                </w:tcPr>
                <w:p>
                  <w:pPr>
                    <w:pStyle w:val="90"/>
                    <w:rPr>
                      <w:rFonts w:hint="default" w:ascii="Times New Roman" w:hAnsi="Times New Roman" w:cs="Times New Roman"/>
                    </w:rPr>
                  </w:pPr>
                  <w:r>
                    <w:rPr>
                      <w:rFonts w:hint="default" w:ascii="Times New Roman" w:hAnsi="Times New Roman" w:cs="Times New Roman"/>
                    </w:rPr>
                    <w:t>47</w:t>
                  </w: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60</w:t>
                  </w: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49</w:t>
                  </w: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65</w:t>
                  </w:r>
                </w:p>
              </w:tc>
              <w:tc>
                <w:tcPr>
                  <w:tcW w:w="440" w:type="pct"/>
                  <w:vAlign w:val="center"/>
                </w:tcPr>
                <w:p>
                  <w:pPr>
                    <w:pStyle w:val="90"/>
                    <w:rPr>
                      <w:rFonts w:hint="default" w:ascii="Times New Roman" w:hAnsi="Times New Roman" w:cs="Times New Roman"/>
                    </w:rPr>
                  </w:pPr>
                  <w:r>
                    <w:rPr>
                      <w:rFonts w:hint="default" w:ascii="Times New Roman" w:hAnsi="Times New Roman" w:cs="Times New Roman"/>
                    </w:rPr>
                    <w:t>55</w:t>
                  </w:r>
                </w:p>
              </w:tc>
              <w:tc>
                <w:tcPr>
                  <w:tcW w:w="793" w:type="pct"/>
                  <w:vAlign w:val="center"/>
                </w:tcPr>
                <w:p>
                  <w:pPr>
                    <w:pStyle w:val="90"/>
                    <w:rPr>
                      <w:rFonts w:hint="default" w:ascii="Times New Roman" w:hAnsi="Times New Roman" w:cs="Times New Roman"/>
                    </w:rPr>
                  </w:pPr>
                  <w:r>
                    <w:rPr>
                      <w:rFonts w:hint="default" w:ascii="Times New Roman" w:hAnsi="Times New Roman" w:cs="Times New Roman"/>
                    </w:rPr>
                    <w:t>达标</w:t>
                  </w:r>
                </w:p>
              </w:tc>
            </w:tr>
          </w:tbl>
          <w:p>
            <w:pPr>
              <w:spacing w:after="0" w:line="420" w:lineRule="exact"/>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4.2.3.3</w:t>
            </w:r>
            <w:r>
              <w:rPr>
                <w:rFonts w:hint="default" w:ascii="Times New Roman" w:hAnsi="Times New Roman" w:eastAsia="宋体" w:cs="Times New Roman"/>
                <w:b/>
                <w:bCs/>
                <w:sz w:val="24"/>
                <w:szCs w:val="24"/>
              </w:rPr>
              <w:t>噪声监测要求</w:t>
            </w:r>
          </w:p>
          <w:p>
            <w:pPr>
              <w:spacing w:after="0" w:line="420" w:lineRule="exact"/>
              <w:ind w:firstLine="480" w:firstLineChars="200"/>
              <w:rPr>
                <w:rFonts w:hint="default" w:ascii="Times New Roman" w:hAnsi="Times New Roman" w:eastAsia="Times New Roman" w:cs="Times New Roman"/>
                <w:sz w:val="24"/>
                <w:szCs w:val="24"/>
              </w:rPr>
            </w:pPr>
            <w:r>
              <w:rPr>
                <w:rFonts w:hint="default" w:ascii="Times New Roman" w:hAnsi="Times New Roman" w:eastAsia="宋体" w:cs="Times New Roman"/>
                <w:sz w:val="24"/>
                <w:szCs w:val="24"/>
              </w:rPr>
              <w:t>本项目不属于噪声重点排污单位，噪声监测依据HJ819-2017《排污单位自行监测技术指南  总则》中非重点排污单位最低监测频次予以监测，见表4.2-</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w:t>
            </w:r>
          </w:p>
          <w:p>
            <w:pPr>
              <w:spacing w:after="0" w:line="420" w:lineRule="exact"/>
              <w:jc w:val="center"/>
              <w:rPr>
                <w:rFonts w:hint="default" w:ascii="Times New Roman" w:hAnsi="Times New Roman" w:eastAsia="Times New Roman" w:cs="Times New Roman"/>
                <w:b/>
                <w:kern w:val="2"/>
                <w:sz w:val="24"/>
                <w:szCs w:val="24"/>
              </w:rPr>
            </w:pPr>
            <w:r>
              <w:rPr>
                <w:rFonts w:hint="default" w:ascii="Times New Roman" w:hAnsi="Times New Roman" w:eastAsia="宋体" w:cs="Times New Roman"/>
                <w:b/>
                <w:kern w:val="2"/>
                <w:sz w:val="24"/>
                <w:szCs w:val="24"/>
              </w:rPr>
              <w:t>表4.2-</w:t>
            </w:r>
            <w:r>
              <w:rPr>
                <w:rFonts w:hint="default" w:ascii="Times New Roman" w:hAnsi="Times New Roman" w:eastAsia="宋体" w:cs="Times New Roman"/>
                <w:b/>
                <w:kern w:val="2"/>
                <w:sz w:val="24"/>
                <w:szCs w:val="24"/>
                <w:lang w:val="en-US" w:eastAsia="zh-CN"/>
              </w:rPr>
              <w:t>20</w:t>
            </w:r>
            <w:r>
              <w:rPr>
                <w:rFonts w:hint="default" w:ascii="Times New Roman" w:hAnsi="Times New Roman" w:eastAsia="Times New Roman" w:cs="Times New Roman"/>
                <w:b/>
                <w:kern w:val="2"/>
                <w:sz w:val="24"/>
                <w:szCs w:val="24"/>
              </w:rPr>
              <w:t xml:space="preserve"> </w:t>
            </w:r>
            <w:r>
              <w:rPr>
                <w:rFonts w:hint="default" w:ascii="Times New Roman" w:hAnsi="Times New Roman" w:eastAsia="宋体" w:cs="Times New Roman"/>
                <w:b/>
                <w:kern w:val="2"/>
                <w:sz w:val="24"/>
                <w:szCs w:val="24"/>
              </w:rPr>
              <w:t>噪声监测要求</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2485"/>
              <w:gridCol w:w="1530"/>
              <w:gridCol w:w="1469"/>
              <w:gridCol w:w="366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485" w:type="dxa"/>
                  <w:tcBorders>
                    <w:top w:val="single" w:color="auto" w:sz="4" w:space="0"/>
                    <w:left w:val="nil"/>
                    <w:bottom w:val="single" w:color="auto" w:sz="6" w:space="0"/>
                    <w:right w:val="single" w:color="auto" w:sz="6" w:space="0"/>
                    <w:tl2br w:val="nil"/>
                    <w:tr2bl w:val="nil"/>
                  </w:tcBorders>
                  <w:vAlign w:val="center"/>
                </w:tcPr>
                <w:p>
                  <w:pPr>
                    <w:topLinePunct/>
                    <w:spacing w:after="0"/>
                    <w:jc w:val="center"/>
                    <w:rPr>
                      <w:rFonts w:hint="default" w:ascii="Times New Roman" w:hAnsi="Times New Roman" w:eastAsia="Times New Roman" w:cs="Times New Roman"/>
                      <w:kern w:val="2"/>
                      <w:sz w:val="21"/>
                      <w:szCs w:val="21"/>
                    </w:rPr>
                  </w:pPr>
                  <w:r>
                    <w:rPr>
                      <w:rFonts w:hint="default" w:ascii="Times New Roman" w:hAnsi="Times New Roman" w:eastAsia="宋体" w:cs="Times New Roman"/>
                      <w:kern w:val="2"/>
                      <w:sz w:val="21"/>
                      <w:szCs w:val="21"/>
                    </w:rPr>
                    <w:t>监测点位</w:t>
                  </w:r>
                </w:p>
              </w:tc>
              <w:tc>
                <w:tcPr>
                  <w:tcW w:w="1530" w:type="dxa"/>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jc w:val="center"/>
                    <w:rPr>
                      <w:rFonts w:hint="default" w:ascii="Times New Roman" w:hAnsi="Times New Roman" w:eastAsia="Times New Roman" w:cs="Times New Roman"/>
                      <w:kern w:val="2"/>
                      <w:sz w:val="21"/>
                      <w:szCs w:val="21"/>
                    </w:rPr>
                  </w:pPr>
                  <w:r>
                    <w:rPr>
                      <w:rFonts w:hint="default" w:ascii="Times New Roman" w:hAnsi="Times New Roman" w:eastAsia="宋体" w:cs="Times New Roman"/>
                      <w:kern w:val="2"/>
                      <w:sz w:val="21"/>
                      <w:szCs w:val="21"/>
                    </w:rPr>
                    <w:t>监测指标</w:t>
                  </w:r>
                </w:p>
              </w:tc>
              <w:tc>
                <w:tcPr>
                  <w:tcW w:w="1469" w:type="dxa"/>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jc w:val="center"/>
                    <w:rPr>
                      <w:rFonts w:hint="default" w:ascii="Times New Roman" w:hAnsi="Times New Roman" w:eastAsia="Times New Roman" w:cs="Times New Roman"/>
                      <w:kern w:val="2"/>
                      <w:sz w:val="21"/>
                      <w:szCs w:val="21"/>
                    </w:rPr>
                  </w:pPr>
                  <w:r>
                    <w:rPr>
                      <w:rFonts w:hint="default" w:ascii="Times New Roman" w:hAnsi="Times New Roman" w:eastAsia="宋体" w:cs="Times New Roman"/>
                      <w:kern w:val="2"/>
                      <w:sz w:val="21"/>
                      <w:szCs w:val="21"/>
                    </w:rPr>
                    <w:t>监测频次</w:t>
                  </w:r>
                </w:p>
              </w:tc>
              <w:tc>
                <w:tcPr>
                  <w:tcW w:w="3661" w:type="dxa"/>
                  <w:tcBorders>
                    <w:top w:val="single" w:color="auto" w:sz="4" w:space="0"/>
                    <w:left w:val="single" w:color="auto" w:sz="6" w:space="0"/>
                    <w:bottom w:val="single" w:color="auto" w:sz="6" w:space="0"/>
                    <w:right w:val="nil"/>
                    <w:tl2br w:val="nil"/>
                    <w:tr2bl w:val="nil"/>
                  </w:tcBorders>
                  <w:vAlign w:val="center"/>
                </w:tcPr>
                <w:p>
                  <w:pPr>
                    <w:topLinePunct/>
                    <w:spacing w:after="0"/>
                    <w:jc w:val="center"/>
                    <w:rPr>
                      <w:rFonts w:hint="default" w:ascii="Times New Roman" w:hAnsi="Times New Roman" w:eastAsia="Times New Roman" w:cs="Times New Roman"/>
                      <w:kern w:val="2"/>
                      <w:sz w:val="21"/>
                      <w:szCs w:val="21"/>
                    </w:rPr>
                  </w:pPr>
                  <w:r>
                    <w:rPr>
                      <w:rFonts w:hint="default" w:ascii="Times New Roman" w:hAnsi="Times New Roman" w:eastAsia="宋体" w:cs="Times New Roman"/>
                      <w:kern w:val="2"/>
                      <w:sz w:val="21"/>
                      <w:szCs w:val="21"/>
                    </w:rPr>
                    <w:t>执行标准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485" w:type="dxa"/>
                  <w:tcBorders>
                    <w:top w:val="single" w:color="auto" w:sz="6" w:space="0"/>
                    <w:left w:val="nil"/>
                    <w:bottom w:val="single" w:color="auto" w:sz="6" w:space="0"/>
                    <w:right w:val="single" w:color="auto" w:sz="6" w:space="0"/>
                    <w:tl2br w:val="nil"/>
                    <w:tr2bl w:val="nil"/>
                  </w:tcBorders>
                  <w:vAlign w:val="center"/>
                </w:tcPr>
                <w:p>
                  <w:pPr>
                    <w:topLinePunct/>
                    <w:spacing w:after="0"/>
                    <w:jc w:val="center"/>
                    <w:rPr>
                      <w:rFonts w:hint="default" w:ascii="Times New Roman" w:hAnsi="Times New Roman" w:eastAsia="Times New Roman" w:cs="Times New Roman"/>
                      <w:kern w:val="2"/>
                      <w:sz w:val="21"/>
                      <w:szCs w:val="21"/>
                    </w:rPr>
                  </w:pPr>
                  <w:r>
                    <w:rPr>
                      <w:rFonts w:hint="default" w:ascii="Times New Roman" w:hAnsi="Times New Roman" w:eastAsia="宋体" w:cs="Times New Roman"/>
                      <w:kern w:val="2"/>
                      <w:sz w:val="21"/>
                      <w:szCs w:val="21"/>
                    </w:rPr>
                    <w:t>东侧、南侧、西侧、北侧厂界外1m处</w:t>
                  </w:r>
                </w:p>
              </w:tc>
              <w:tc>
                <w:tcPr>
                  <w:tcW w:w="1530"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jc w:val="center"/>
                    <w:rPr>
                      <w:rFonts w:hint="default" w:ascii="Times New Roman" w:hAnsi="Times New Roman" w:eastAsia="Times New Roman" w:cs="Times New Roman"/>
                      <w:kern w:val="2"/>
                      <w:sz w:val="21"/>
                      <w:szCs w:val="21"/>
                    </w:rPr>
                  </w:pPr>
                  <w:r>
                    <w:rPr>
                      <w:rFonts w:hint="default" w:ascii="Times New Roman" w:hAnsi="Times New Roman" w:eastAsia="宋体" w:cs="Times New Roman"/>
                      <w:kern w:val="2"/>
                      <w:sz w:val="21"/>
                      <w:szCs w:val="21"/>
                    </w:rPr>
                    <w:t>厂界噪声</w:t>
                  </w:r>
                </w:p>
              </w:tc>
              <w:tc>
                <w:tcPr>
                  <w:tcW w:w="1469"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jc w:val="center"/>
                    <w:rPr>
                      <w:rFonts w:hint="default" w:ascii="Times New Roman" w:hAnsi="Times New Roman" w:eastAsia="Times New Roman" w:cs="Times New Roman"/>
                      <w:kern w:val="2"/>
                      <w:sz w:val="21"/>
                      <w:szCs w:val="21"/>
                    </w:rPr>
                  </w:pPr>
                  <w:r>
                    <w:rPr>
                      <w:rFonts w:hint="default" w:ascii="Times New Roman" w:hAnsi="Times New Roman" w:eastAsia="Times New Roman" w:cs="Times New Roman"/>
                      <w:kern w:val="2"/>
                      <w:sz w:val="21"/>
                      <w:szCs w:val="21"/>
                    </w:rPr>
                    <w:t>1</w:t>
                  </w:r>
                  <w:r>
                    <w:rPr>
                      <w:rFonts w:hint="default" w:ascii="Times New Roman" w:hAnsi="Times New Roman" w:eastAsia="宋体" w:cs="Times New Roman"/>
                      <w:kern w:val="2"/>
                      <w:sz w:val="21"/>
                      <w:szCs w:val="21"/>
                    </w:rPr>
                    <w:t>次/季度</w:t>
                  </w:r>
                </w:p>
              </w:tc>
              <w:tc>
                <w:tcPr>
                  <w:tcW w:w="3661" w:type="dxa"/>
                  <w:tcBorders>
                    <w:top w:val="single" w:color="auto" w:sz="6" w:space="0"/>
                    <w:left w:val="single" w:color="auto" w:sz="6" w:space="0"/>
                    <w:bottom w:val="single" w:color="auto" w:sz="6" w:space="0"/>
                    <w:right w:val="nil"/>
                    <w:tl2br w:val="nil"/>
                    <w:tr2bl w:val="nil"/>
                  </w:tcBorders>
                  <w:vAlign w:val="center"/>
                </w:tcPr>
                <w:p>
                  <w:pPr>
                    <w:topLinePunct/>
                    <w:spacing w:after="0"/>
                    <w:rPr>
                      <w:rFonts w:hint="default" w:ascii="Times New Roman" w:hAnsi="Times New Roman" w:eastAsia="Times New Roman" w:cs="Times New Roman"/>
                      <w:kern w:val="2"/>
                      <w:sz w:val="21"/>
                      <w:szCs w:val="21"/>
                    </w:rPr>
                  </w:pPr>
                  <w:r>
                    <w:rPr>
                      <w:rFonts w:hint="default" w:ascii="Times New Roman" w:hAnsi="Times New Roman" w:eastAsia="Times New Roman" w:cs="Times New Roman"/>
                      <w:kern w:val="2"/>
                      <w:sz w:val="21"/>
                      <w:szCs w:val="21"/>
                    </w:rPr>
                    <w:t>GB12348-2008</w:t>
                  </w:r>
                  <w:r>
                    <w:rPr>
                      <w:rFonts w:hint="default" w:ascii="Times New Roman" w:hAnsi="Times New Roman" w:eastAsia="宋体" w:cs="Times New Roman"/>
                      <w:kern w:val="2"/>
                      <w:sz w:val="21"/>
                      <w:szCs w:val="21"/>
                    </w:rPr>
                    <w:t>《工业企业厂界环境噪声排放标准》表1中3类标准</w:t>
                  </w:r>
                </w:p>
              </w:tc>
            </w:tr>
          </w:tbl>
          <w:p>
            <w:pPr>
              <w:spacing w:after="0" w:line="420" w:lineRule="exact"/>
              <w:rPr>
                <w:rFonts w:hint="default" w:ascii="Times New Roman" w:hAnsi="Times New Roman" w:eastAsia="宋体" w:cs="Times New Roman"/>
                <w:kern w:val="2"/>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680" w:hRule="atLeast"/>
          <w:jc w:val="center"/>
        </w:trPr>
        <w:tc>
          <w:tcPr>
            <w:tcW w:w="9260" w:type="dxa"/>
          </w:tcPr>
          <w:p>
            <w:pPr>
              <w:spacing w:after="0" w:line="420" w:lineRule="exact"/>
              <w:rPr>
                <w:rFonts w:hint="default" w:ascii="Times New Roman" w:hAnsi="Times New Roman" w:eastAsia="宋体" w:cs="Times New Roman"/>
                <w:kern w:val="2"/>
                <w:sz w:val="24"/>
                <w:szCs w:val="24"/>
              </w:rPr>
            </w:pPr>
          </w:p>
        </w:tc>
      </w:tr>
    </w:tbl>
    <w:p>
      <w:pPr>
        <w:spacing w:after="0" w:line="420" w:lineRule="exact"/>
        <w:ind w:firstLine="480" w:firstLineChars="200"/>
        <w:rPr>
          <w:rFonts w:hint="default" w:ascii="Times New Roman" w:hAnsi="Times New Roman" w:eastAsia="宋体" w:cs="Times New Roman"/>
          <w:bCs/>
          <w:kern w:val="24"/>
          <w:sz w:val="24"/>
          <w:szCs w:val="24"/>
          <w:lang w:bidi="ar"/>
        </w:rPr>
        <w:sectPr>
          <w:pgSz w:w="11906" w:h="16838"/>
          <w:pgMar w:top="1417" w:right="1417" w:bottom="1417" w:left="1417" w:header="1134" w:footer="1021" w:gutter="0"/>
          <w:cols w:space="708" w:num="1"/>
          <w:docGrid w:linePitch="360" w:charSpace="0"/>
        </w:sectPr>
      </w:pPr>
    </w:p>
    <w:p>
      <w:pPr>
        <w:spacing w:after="0" w:line="420" w:lineRule="exact"/>
        <w:jc w:val="center"/>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 4.2-</w:t>
      </w:r>
      <w:r>
        <w:rPr>
          <w:rFonts w:hint="default" w:ascii="Times New Roman" w:hAnsi="Times New Roman" w:eastAsia="宋体" w:cs="Times New Roman"/>
          <w:b/>
          <w:color w:val="auto"/>
          <w:kern w:val="2"/>
          <w:sz w:val="24"/>
          <w:szCs w:val="24"/>
          <w:lang w:val="en-US" w:eastAsia="zh-CN"/>
        </w:rPr>
        <w:t>21</w:t>
      </w:r>
      <w:r>
        <w:rPr>
          <w:rFonts w:hint="default" w:ascii="Times New Roman" w:hAnsi="Times New Roman" w:eastAsia="宋体" w:cs="Times New Roman"/>
          <w:b/>
          <w:color w:val="auto"/>
          <w:kern w:val="2"/>
          <w:sz w:val="24"/>
          <w:szCs w:val="24"/>
        </w:rPr>
        <w:t xml:space="preserve">  本项目噪声源强调查清单（室内声源）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796"/>
        <w:gridCol w:w="570"/>
        <w:gridCol w:w="728"/>
        <w:gridCol w:w="608"/>
        <w:gridCol w:w="605"/>
        <w:gridCol w:w="527"/>
        <w:gridCol w:w="500"/>
        <w:gridCol w:w="489"/>
        <w:gridCol w:w="471"/>
        <w:gridCol w:w="542"/>
        <w:gridCol w:w="528"/>
        <w:gridCol w:w="585"/>
        <w:gridCol w:w="598"/>
        <w:gridCol w:w="642"/>
        <w:gridCol w:w="613"/>
        <w:gridCol w:w="471"/>
        <w:gridCol w:w="556"/>
        <w:gridCol w:w="499"/>
        <w:gridCol w:w="500"/>
        <w:gridCol w:w="570"/>
        <w:gridCol w:w="528"/>
        <w:gridCol w:w="567"/>
        <w:gridCol w:w="542"/>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62"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序号</w:t>
            </w:r>
          </w:p>
        </w:tc>
        <w:tc>
          <w:tcPr>
            <w:tcW w:w="761"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声源名称</w:t>
            </w:r>
          </w:p>
        </w:tc>
        <w:tc>
          <w:tcPr>
            <w:tcW w:w="545"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数量/台</w:t>
            </w:r>
          </w:p>
        </w:tc>
        <w:tc>
          <w:tcPr>
            <w:tcW w:w="696"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声源源强dB(A)</w:t>
            </w:r>
          </w:p>
        </w:tc>
        <w:tc>
          <w:tcPr>
            <w:tcW w:w="581"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声源控制措施</w:t>
            </w:r>
          </w:p>
        </w:tc>
        <w:tc>
          <w:tcPr>
            <w:tcW w:w="1560" w:type="dxa"/>
            <w:gridSpan w:val="3"/>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空间相对位置/m</w:t>
            </w:r>
          </w:p>
        </w:tc>
        <w:tc>
          <w:tcPr>
            <w:tcW w:w="1940" w:type="dxa"/>
            <w:gridSpan w:val="4"/>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距室内边界距离/m</w:t>
            </w:r>
          </w:p>
        </w:tc>
        <w:tc>
          <w:tcPr>
            <w:tcW w:w="2331" w:type="dxa"/>
            <w:gridSpan w:val="4"/>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室内边界声级/ dB(A)</w:t>
            </w:r>
          </w:p>
        </w:tc>
        <w:tc>
          <w:tcPr>
            <w:tcW w:w="1937" w:type="dxa"/>
            <w:gridSpan w:val="4"/>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建筑物插入损失/ dB(A)</w:t>
            </w:r>
          </w:p>
        </w:tc>
        <w:tc>
          <w:tcPr>
            <w:tcW w:w="2110" w:type="dxa"/>
            <w:gridSpan w:val="4"/>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建筑物外噪声声压级/dB(A)</w:t>
            </w:r>
          </w:p>
        </w:tc>
        <w:tc>
          <w:tcPr>
            <w:tcW w:w="771"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62"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76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45"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696"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8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X</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Y</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Z</w:t>
            </w:r>
          </w:p>
        </w:tc>
        <w:tc>
          <w:tcPr>
            <w:tcW w:w="46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东</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南</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西</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北</w:t>
            </w:r>
          </w:p>
        </w:tc>
        <w:tc>
          <w:tcPr>
            <w:tcW w:w="55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东</w:t>
            </w:r>
          </w:p>
        </w:tc>
        <w:tc>
          <w:tcPr>
            <w:tcW w:w="57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南</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西</w:t>
            </w:r>
          </w:p>
        </w:tc>
        <w:tc>
          <w:tcPr>
            <w:tcW w:w="58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北</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东</w:t>
            </w:r>
          </w:p>
        </w:tc>
        <w:tc>
          <w:tcPr>
            <w:tcW w:w="53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南</w:t>
            </w:r>
          </w:p>
        </w:tc>
        <w:tc>
          <w:tcPr>
            <w:tcW w:w="47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西</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北</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东</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南</w:t>
            </w:r>
          </w:p>
        </w:tc>
        <w:tc>
          <w:tcPr>
            <w:tcW w:w="54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西</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北</w:t>
            </w:r>
          </w:p>
        </w:tc>
        <w:tc>
          <w:tcPr>
            <w:tcW w:w="77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6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76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捏炼机</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w:t>
            </w:r>
          </w:p>
        </w:tc>
        <w:tc>
          <w:tcPr>
            <w:tcW w:w="69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75</w:t>
            </w:r>
          </w:p>
        </w:tc>
        <w:tc>
          <w:tcPr>
            <w:tcW w:w="581"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基础减振、建筑隔声</w:t>
            </w:r>
          </w:p>
        </w:tc>
        <w:tc>
          <w:tcPr>
            <w:tcW w:w="5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5.8</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56</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46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13</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49</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32</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13</w:t>
            </w:r>
          </w:p>
        </w:tc>
        <w:tc>
          <w:tcPr>
            <w:tcW w:w="55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64.5 </w:t>
            </w:r>
          </w:p>
        </w:tc>
        <w:tc>
          <w:tcPr>
            <w:tcW w:w="57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64.4 </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64.4 </w:t>
            </w:r>
          </w:p>
        </w:tc>
        <w:tc>
          <w:tcPr>
            <w:tcW w:w="58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64.5 </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3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49.5 </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49.4 </w:t>
            </w:r>
          </w:p>
        </w:tc>
        <w:tc>
          <w:tcPr>
            <w:tcW w:w="54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49.4 </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49.5 </w:t>
            </w:r>
          </w:p>
        </w:tc>
        <w:tc>
          <w:tcPr>
            <w:tcW w:w="77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w:t>
            </w:r>
          </w:p>
        </w:tc>
        <w:tc>
          <w:tcPr>
            <w:tcW w:w="76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开炼机</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w:t>
            </w:r>
          </w:p>
        </w:tc>
        <w:tc>
          <w:tcPr>
            <w:tcW w:w="69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75</w:t>
            </w:r>
          </w:p>
        </w:tc>
        <w:tc>
          <w:tcPr>
            <w:tcW w:w="58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11</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49</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46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14</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35</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45</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5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68.4 </w:t>
            </w:r>
          </w:p>
        </w:tc>
        <w:tc>
          <w:tcPr>
            <w:tcW w:w="57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68.3 </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68.3 </w:t>
            </w:r>
          </w:p>
        </w:tc>
        <w:tc>
          <w:tcPr>
            <w:tcW w:w="58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68.4 </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3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53.4 </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53.3 </w:t>
            </w:r>
          </w:p>
        </w:tc>
        <w:tc>
          <w:tcPr>
            <w:tcW w:w="54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53.3 </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53.4 </w:t>
            </w:r>
          </w:p>
        </w:tc>
        <w:tc>
          <w:tcPr>
            <w:tcW w:w="77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w:t>
            </w:r>
          </w:p>
        </w:tc>
        <w:tc>
          <w:tcPr>
            <w:tcW w:w="76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注射成型机</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24</w:t>
            </w:r>
          </w:p>
        </w:tc>
        <w:tc>
          <w:tcPr>
            <w:tcW w:w="69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75</w:t>
            </w:r>
          </w:p>
        </w:tc>
        <w:tc>
          <w:tcPr>
            <w:tcW w:w="58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-15.5</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17</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46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29</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28</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38</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53</w:t>
            </w:r>
          </w:p>
        </w:tc>
        <w:tc>
          <w:tcPr>
            <w:tcW w:w="55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71.8 </w:t>
            </w:r>
          </w:p>
        </w:tc>
        <w:tc>
          <w:tcPr>
            <w:tcW w:w="57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71.8 </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71.8 </w:t>
            </w:r>
          </w:p>
        </w:tc>
        <w:tc>
          <w:tcPr>
            <w:tcW w:w="58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71.8 </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3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56.8 </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56.8 </w:t>
            </w:r>
          </w:p>
        </w:tc>
        <w:tc>
          <w:tcPr>
            <w:tcW w:w="54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56.8 </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56.8 </w:t>
            </w:r>
          </w:p>
        </w:tc>
        <w:tc>
          <w:tcPr>
            <w:tcW w:w="77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w:t>
            </w:r>
          </w:p>
        </w:tc>
        <w:tc>
          <w:tcPr>
            <w:tcW w:w="76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平板成型机</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26</w:t>
            </w:r>
          </w:p>
        </w:tc>
        <w:tc>
          <w:tcPr>
            <w:tcW w:w="69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75</w:t>
            </w:r>
          </w:p>
        </w:tc>
        <w:tc>
          <w:tcPr>
            <w:tcW w:w="58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-15.5</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17</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8.7</w:t>
            </w:r>
          </w:p>
        </w:tc>
        <w:tc>
          <w:tcPr>
            <w:tcW w:w="46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29</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28</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38</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53</w:t>
            </w:r>
          </w:p>
        </w:tc>
        <w:tc>
          <w:tcPr>
            <w:tcW w:w="55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72.2 </w:t>
            </w:r>
          </w:p>
        </w:tc>
        <w:tc>
          <w:tcPr>
            <w:tcW w:w="57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72.2 </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72.2 </w:t>
            </w:r>
          </w:p>
        </w:tc>
        <w:tc>
          <w:tcPr>
            <w:tcW w:w="58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72.2 </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3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57.2 </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57.2 </w:t>
            </w:r>
          </w:p>
        </w:tc>
        <w:tc>
          <w:tcPr>
            <w:tcW w:w="54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57.2 </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57.2 </w:t>
            </w:r>
          </w:p>
        </w:tc>
        <w:tc>
          <w:tcPr>
            <w:tcW w:w="77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w:t>
            </w:r>
          </w:p>
        </w:tc>
        <w:tc>
          <w:tcPr>
            <w:tcW w:w="76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注塑机</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14</w:t>
            </w:r>
          </w:p>
        </w:tc>
        <w:tc>
          <w:tcPr>
            <w:tcW w:w="69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75</w:t>
            </w:r>
          </w:p>
        </w:tc>
        <w:tc>
          <w:tcPr>
            <w:tcW w:w="58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40.6</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5.2</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46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27</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48</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23</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22</w:t>
            </w:r>
          </w:p>
        </w:tc>
        <w:tc>
          <w:tcPr>
            <w:tcW w:w="55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69.8 </w:t>
            </w:r>
          </w:p>
        </w:tc>
        <w:tc>
          <w:tcPr>
            <w:tcW w:w="57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69.8 </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69.9 </w:t>
            </w:r>
          </w:p>
        </w:tc>
        <w:tc>
          <w:tcPr>
            <w:tcW w:w="58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69.9 </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3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54.8 </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54.8 </w:t>
            </w:r>
          </w:p>
        </w:tc>
        <w:tc>
          <w:tcPr>
            <w:tcW w:w="54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54.9 </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54.9 </w:t>
            </w:r>
          </w:p>
        </w:tc>
        <w:tc>
          <w:tcPr>
            <w:tcW w:w="77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6</w:t>
            </w:r>
          </w:p>
        </w:tc>
        <w:tc>
          <w:tcPr>
            <w:tcW w:w="76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粉料机</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6</w:t>
            </w:r>
          </w:p>
        </w:tc>
        <w:tc>
          <w:tcPr>
            <w:tcW w:w="69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75</w:t>
            </w:r>
          </w:p>
        </w:tc>
        <w:tc>
          <w:tcPr>
            <w:tcW w:w="58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50</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46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27</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48</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23</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22</w:t>
            </w:r>
          </w:p>
        </w:tc>
        <w:tc>
          <w:tcPr>
            <w:tcW w:w="55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66.2 </w:t>
            </w:r>
          </w:p>
        </w:tc>
        <w:tc>
          <w:tcPr>
            <w:tcW w:w="57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66.1 </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66.2 </w:t>
            </w:r>
          </w:p>
        </w:tc>
        <w:tc>
          <w:tcPr>
            <w:tcW w:w="58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66.2 </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3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51.2 </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51.1 </w:t>
            </w:r>
          </w:p>
        </w:tc>
        <w:tc>
          <w:tcPr>
            <w:tcW w:w="54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51.2 </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 xml:space="preserve">51.2 </w:t>
            </w:r>
          </w:p>
        </w:tc>
        <w:tc>
          <w:tcPr>
            <w:tcW w:w="77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w:t>
            </w:r>
          </w:p>
        </w:tc>
        <w:tc>
          <w:tcPr>
            <w:tcW w:w="76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空压机</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69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80</w:t>
            </w:r>
          </w:p>
        </w:tc>
        <w:tc>
          <w:tcPr>
            <w:tcW w:w="58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-1.3</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4.4</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46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38</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70</w:t>
            </w:r>
          </w:p>
        </w:tc>
        <w:tc>
          <w:tcPr>
            <w:tcW w:w="55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79.4</w:t>
            </w:r>
          </w:p>
        </w:tc>
        <w:tc>
          <w:tcPr>
            <w:tcW w:w="57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79.4</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79.4</w:t>
            </w:r>
          </w:p>
        </w:tc>
        <w:tc>
          <w:tcPr>
            <w:tcW w:w="58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79.4</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w:t>
            </w:r>
          </w:p>
        </w:tc>
        <w:tc>
          <w:tcPr>
            <w:tcW w:w="53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w:t>
            </w:r>
          </w:p>
        </w:tc>
        <w:tc>
          <w:tcPr>
            <w:tcW w:w="47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59.4</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59.4</w:t>
            </w:r>
          </w:p>
        </w:tc>
        <w:tc>
          <w:tcPr>
            <w:tcW w:w="54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59.4</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59.4</w:t>
            </w:r>
          </w:p>
        </w:tc>
        <w:tc>
          <w:tcPr>
            <w:tcW w:w="77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8</w:t>
            </w:r>
          </w:p>
        </w:tc>
        <w:tc>
          <w:tcPr>
            <w:tcW w:w="76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空压机</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69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80</w:t>
            </w:r>
          </w:p>
        </w:tc>
        <w:tc>
          <w:tcPr>
            <w:tcW w:w="58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24</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0</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46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50</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65</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w:t>
            </w:r>
          </w:p>
        </w:tc>
        <w:tc>
          <w:tcPr>
            <w:tcW w:w="55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79.4</w:t>
            </w:r>
          </w:p>
        </w:tc>
        <w:tc>
          <w:tcPr>
            <w:tcW w:w="57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79.4</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79.4</w:t>
            </w:r>
          </w:p>
        </w:tc>
        <w:tc>
          <w:tcPr>
            <w:tcW w:w="58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79.4</w:t>
            </w:r>
          </w:p>
        </w:tc>
        <w:tc>
          <w:tcPr>
            <w:tcW w:w="450"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w:t>
            </w:r>
          </w:p>
        </w:tc>
        <w:tc>
          <w:tcPr>
            <w:tcW w:w="53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w:t>
            </w:r>
          </w:p>
        </w:tc>
        <w:tc>
          <w:tcPr>
            <w:tcW w:w="477"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w:t>
            </w:r>
          </w:p>
        </w:tc>
        <w:tc>
          <w:tcPr>
            <w:tcW w:w="47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w:t>
            </w:r>
          </w:p>
        </w:tc>
        <w:tc>
          <w:tcPr>
            <w:tcW w:w="5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59.4</w:t>
            </w:r>
          </w:p>
        </w:tc>
        <w:tc>
          <w:tcPr>
            <w:tcW w:w="50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59.4</w:t>
            </w:r>
          </w:p>
        </w:tc>
        <w:tc>
          <w:tcPr>
            <w:tcW w:w="542"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59.4</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59.4</w:t>
            </w:r>
          </w:p>
        </w:tc>
        <w:tc>
          <w:tcPr>
            <w:tcW w:w="77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3594" w:type="dxa"/>
            <w:gridSpan w:val="25"/>
            <w:shd w:val="clear" w:color="auto" w:fill="auto"/>
            <w:vAlign w:val="center"/>
          </w:tcPr>
          <w:p>
            <w:pPr>
              <w:spacing w:after="0" w:line="420" w:lineRule="exact"/>
              <w:ind w:firstLine="320" w:firstLineChars="200"/>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color w:val="auto"/>
                <w:kern w:val="2"/>
                <w:sz w:val="16"/>
                <w:szCs w:val="16"/>
              </w:rPr>
              <w:t>备注：本次声源调查的相对坐标系原点（0，0，0）设置于本项目中心点</w:t>
            </w:r>
          </w:p>
          <w:p>
            <w:pPr>
              <w:topLinePunct/>
              <w:spacing w:after="0"/>
              <w:jc w:val="center"/>
              <w:rPr>
                <w:rFonts w:hint="default" w:ascii="Times New Roman" w:hAnsi="Times New Roman" w:eastAsia="宋体" w:cs="Times New Roman"/>
                <w:color w:val="auto"/>
                <w:kern w:val="2"/>
                <w:sz w:val="16"/>
                <w:szCs w:val="16"/>
              </w:rPr>
            </w:pPr>
          </w:p>
        </w:tc>
      </w:tr>
    </w:tbl>
    <w:p>
      <w:pPr>
        <w:spacing w:after="0" w:line="420" w:lineRule="exact"/>
        <w:jc w:val="center"/>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 4.2-</w:t>
      </w:r>
      <w:r>
        <w:rPr>
          <w:rFonts w:hint="default" w:ascii="Times New Roman" w:hAnsi="Times New Roman" w:eastAsia="宋体" w:cs="Times New Roman"/>
          <w:b/>
          <w:color w:val="auto"/>
          <w:kern w:val="2"/>
          <w:sz w:val="24"/>
          <w:szCs w:val="24"/>
          <w:lang w:val="en-US" w:eastAsia="zh-CN"/>
        </w:rPr>
        <w:t>22</w:t>
      </w:r>
      <w:r>
        <w:rPr>
          <w:rFonts w:hint="default" w:ascii="Times New Roman" w:hAnsi="Times New Roman" w:eastAsia="宋体" w:cs="Times New Roman"/>
          <w:b/>
          <w:color w:val="auto"/>
          <w:kern w:val="2"/>
          <w:sz w:val="24"/>
          <w:szCs w:val="24"/>
        </w:rPr>
        <w:t xml:space="preserve">  本项目噪声源强调查清单（室外声源）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349"/>
        <w:gridCol w:w="1340"/>
        <w:gridCol w:w="1037"/>
        <w:gridCol w:w="794"/>
        <w:gridCol w:w="871"/>
        <w:gridCol w:w="1067"/>
        <w:gridCol w:w="880"/>
        <w:gridCol w:w="974"/>
        <w:gridCol w:w="799"/>
        <w:gridCol w:w="866"/>
        <w:gridCol w:w="821"/>
        <w:gridCol w:w="723"/>
        <w:gridCol w:w="1061"/>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4"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序号</w:t>
            </w:r>
          </w:p>
        </w:tc>
        <w:tc>
          <w:tcPr>
            <w:tcW w:w="851"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声源名称</w:t>
            </w:r>
          </w:p>
        </w:tc>
        <w:tc>
          <w:tcPr>
            <w:tcW w:w="845"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声源源强dB(A)</w:t>
            </w:r>
          </w:p>
        </w:tc>
        <w:tc>
          <w:tcPr>
            <w:tcW w:w="654"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声源控制措施</w:t>
            </w:r>
          </w:p>
        </w:tc>
        <w:tc>
          <w:tcPr>
            <w:tcW w:w="1723" w:type="dxa"/>
            <w:gridSpan w:val="3"/>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空间相对位置/m</w:t>
            </w:r>
          </w:p>
        </w:tc>
        <w:tc>
          <w:tcPr>
            <w:tcW w:w="2219" w:type="dxa"/>
            <w:gridSpan w:val="4"/>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距厂界边界距离/m</w:t>
            </w:r>
          </w:p>
        </w:tc>
        <w:tc>
          <w:tcPr>
            <w:tcW w:w="2282" w:type="dxa"/>
            <w:gridSpan w:val="4"/>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厂界边界声级/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94"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bookmarkStart w:id="5" w:name="OLE_LINK1" w:colFirst="11" w:colLast="14"/>
          </w:p>
        </w:tc>
        <w:tc>
          <w:tcPr>
            <w:tcW w:w="851"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845"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654"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0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X</w:t>
            </w:r>
          </w:p>
        </w:tc>
        <w:tc>
          <w:tcPr>
            <w:tcW w:w="54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Y</w:t>
            </w:r>
          </w:p>
        </w:tc>
        <w:tc>
          <w:tcPr>
            <w:tcW w:w="673"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Z</w:t>
            </w:r>
          </w:p>
        </w:tc>
        <w:tc>
          <w:tcPr>
            <w:tcW w:w="55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东</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南</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西</w:t>
            </w:r>
          </w:p>
        </w:tc>
        <w:tc>
          <w:tcPr>
            <w:tcW w:w="54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北</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东</w:t>
            </w:r>
          </w:p>
        </w:tc>
        <w:tc>
          <w:tcPr>
            <w:tcW w:w="45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南</w:t>
            </w:r>
          </w:p>
        </w:tc>
        <w:tc>
          <w:tcPr>
            <w:tcW w:w="66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西</w:t>
            </w:r>
          </w:p>
        </w:tc>
        <w:tc>
          <w:tcPr>
            <w:tcW w:w="63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9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85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风机1</w:t>
            </w:r>
          </w:p>
        </w:tc>
        <w:tc>
          <w:tcPr>
            <w:tcW w:w="8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80</w:t>
            </w:r>
          </w:p>
        </w:tc>
        <w:tc>
          <w:tcPr>
            <w:tcW w:w="654" w:type="dxa"/>
            <w:vMerge w:val="restart"/>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基础减振</w:t>
            </w:r>
          </w:p>
        </w:tc>
        <w:tc>
          <w:tcPr>
            <w:tcW w:w="50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41</w:t>
            </w:r>
          </w:p>
        </w:tc>
        <w:tc>
          <w:tcPr>
            <w:tcW w:w="54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25</w:t>
            </w:r>
          </w:p>
        </w:tc>
        <w:tc>
          <w:tcPr>
            <w:tcW w:w="673"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14.3</w:t>
            </w:r>
          </w:p>
        </w:tc>
        <w:tc>
          <w:tcPr>
            <w:tcW w:w="55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28.4</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90.5</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129.7</w:t>
            </w:r>
          </w:p>
        </w:tc>
        <w:tc>
          <w:tcPr>
            <w:tcW w:w="54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29</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51</w:t>
            </w:r>
          </w:p>
        </w:tc>
        <w:tc>
          <w:tcPr>
            <w:tcW w:w="45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41</w:t>
            </w:r>
          </w:p>
        </w:tc>
        <w:tc>
          <w:tcPr>
            <w:tcW w:w="66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38</w:t>
            </w:r>
          </w:p>
        </w:tc>
        <w:tc>
          <w:tcPr>
            <w:tcW w:w="63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w:t>
            </w:r>
          </w:p>
        </w:tc>
        <w:tc>
          <w:tcPr>
            <w:tcW w:w="85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风机2</w:t>
            </w:r>
          </w:p>
        </w:tc>
        <w:tc>
          <w:tcPr>
            <w:tcW w:w="8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75</w:t>
            </w:r>
          </w:p>
        </w:tc>
        <w:tc>
          <w:tcPr>
            <w:tcW w:w="654"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0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17</w:t>
            </w:r>
          </w:p>
        </w:tc>
        <w:tc>
          <w:tcPr>
            <w:tcW w:w="54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59.5</w:t>
            </w:r>
          </w:p>
        </w:tc>
        <w:tc>
          <w:tcPr>
            <w:tcW w:w="673"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20.9</w:t>
            </w:r>
          </w:p>
        </w:tc>
        <w:tc>
          <w:tcPr>
            <w:tcW w:w="55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18</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146.9</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67.9</w:t>
            </w:r>
          </w:p>
        </w:tc>
        <w:tc>
          <w:tcPr>
            <w:tcW w:w="54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19</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50</w:t>
            </w:r>
          </w:p>
        </w:tc>
        <w:tc>
          <w:tcPr>
            <w:tcW w:w="45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32</w:t>
            </w:r>
          </w:p>
        </w:tc>
        <w:tc>
          <w:tcPr>
            <w:tcW w:w="66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39</w:t>
            </w:r>
          </w:p>
        </w:tc>
        <w:tc>
          <w:tcPr>
            <w:tcW w:w="63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w:t>
            </w:r>
          </w:p>
        </w:tc>
        <w:tc>
          <w:tcPr>
            <w:tcW w:w="85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风机3</w:t>
            </w:r>
          </w:p>
        </w:tc>
        <w:tc>
          <w:tcPr>
            <w:tcW w:w="8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80</w:t>
            </w:r>
          </w:p>
        </w:tc>
        <w:tc>
          <w:tcPr>
            <w:tcW w:w="654"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0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14.5</w:t>
            </w:r>
          </w:p>
        </w:tc>
        <w:tc>
          <w:tcPr>
            <w:tcW w:w="54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62</w:t>
            </w:r>
          </w:p>
        </w:tc>
        <w:tc>
          <w:tcPr>
            <w:tcW w:w="673"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20.9</w:t>
            </w:r>
          </w:p>
        </w:tc>
        <w:tc>
          <w:tcPr>
            <w:tcW w:w="55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18</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150</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61</w:t>
            </w:r>
          </w:p>
        </w:tc>
        <w:tc>
          <w:tcPr>
            <w:tcW w:w="54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18.5</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55</w:t>
            </w:r>
          </w:p>
        </w:tc>
        <w:tc>
          <w:tcPr>
            <w:tcW w:w="45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36</w:t>
            </w:r>
          </w:p>
        </w:tc>
        <w:tc>
          <w:tcPr>
            <w:tcW w:w="66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44</w:t>
            </w:r>
          </w:p>
        </w:tc>
        <w:tc>
          <w:tcPr>
            <w:tcW w:w="63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w:t>
            </w:r>
          </w:p>
        </w:tc>
        <w:tc>
          <w:tcPr>
            <w:tcW w:w="85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风机4</w:t>
            </w:r>
          </w:p>
        </w:tc>
        <w:tc>
          <w:tcPr>
            <w:tcW w:w="8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80</w:t>
            </w:r>
          </w:p>
        </w:tc>
        <w:tc>
          <w:tcPr>
            <w:tcW w:w="654"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0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12</w:t>
            </w:r>
          </w:p>
        </w:tc>
        <w:tc>
          <w:tcPr>
            <w:tcW w:w="54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11</w:t>
            </w:r>
          </w:p>
        </w:tc>
        <w:tc>
          <w:tcPr>
            <w:tcW w:w="673"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20.9</w:t>
            </w:r>
          </w:p>
        </w:tc>
        <w:tc>
          <w:tcPr>
            <w:tcW w:w="55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70.4</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101</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104</w:t>
            </w:r>
          </w:p>
        </w:tc>
        <w:tc>
          <w:tcPr>
            <w:tcW w:w="54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73</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43</w:t>
            </w:r>
          </w:p>
        </w:tc>
        <w:tc>
          <w:tcPr>
            <w:tcW w:w="45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40</w:t>
            </w:r>
          </w:p>
        </w:tc>
        <w:tc>
          <w:tcPr>
            <w:tcW w:w="66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40</w:t>
            </w:r>
          </w:p>
        </w:tc>
        <w:tc>
          <w:tcPr>
            <w:tcW w:w="63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lang w:val="en-US" w:eastAsia="zh-CN"/>
              </w:rPr>
            </w:pPr>
            <w:r>
              <w:rPr>
                <w:rFonts w:hint="default" w:ascii="Times New Roman" w:hAnsi="Times New Roman" w:eastAsia="宋体" w:cs="Times New Roman"/>
                <w:color w:val="auto"/>
                <w:kern w:val="2"/>
                <w:sz w:val="16"/>
                <w:szCs w:val="16"/>
                <w:lang w:val="en-US" w:eastAsia="zh-CN"/>
              </w:rPr>
              <w:t>5</w:t>
            </w:r>
          </w:p>
        </w:tc>
        <w:tc>
          <w:tcPr>
            <w:tcW w:w="85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lang w:eastAsia="zh-CN"/>
              </w:rPr>
            </w:pPr>
            <w:r>
              <w:rPr>
                <w:rFonts w:hint="default" w:ascii="Times New Roman" w:hAnsi="Times New Roman" w:eastAsia="宋体" w:cs="Times New Roman"/>
                <w:color w:val="auto"/>
                <w:kern w:val="2"/>
                <w:sz w:val="16"/>
                <w:szCs w:val="16"/>
              </w:rPr>
              <w:t>风机</w:t>
            </w:r>
            <w:r>
              <w:rPr>
                <w:rFonts w:hint="default" w:ascii="Times New Roman" w:hAnsi="Times New Roman" w:eastAsia="宋体" w:cs="Times New Roman"/>
                <w:color w:val="auto"/>
                <w:kern w:val="2"/>
                <w:sz w:val="16"/>
                <w:szCs w:val="16"/>
                <w:lang w:val="en-US" w:eastAsia="zh-CN"/>
              </w:rPr>
              <w:t>5</w:t>
            </w:r>
          </w:p>
        </w:tc>
        <w:tc>
          <w:tcPr>
            <w:tcW w:w="8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80</w:t>
            </w:r>
          </w:p>
        </w:tc>
        <w:tc>
          <w:tcPr>
            <w:tcW w:w="654"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0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14</w:t>
            </w:r>
          </w:p>
        </w:tc>
        <w:tc>
          <w:tcPr>
            <w:tcW w:w="54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lang w:val="en-US" w:eastAsia="zh-CN"/>
              </w:rPr>
            </w:pPr>
            <w:r>
              <w:rPr>
                <w:rFonts w:hint="default" w:ascii="Times New Roman" w:hAnsi="Times New Roman" w:eastAsia="宋体" w:cs="Times New Roman"/>
                <w:color w:val="auto"/>
                <w:kern w:val="2"/>
                <w:sz w:val="16"/>
                <w:szCs w:val="16"/>
              </w:rPr>
              <w:t>6</w:t>
            </w:r>
            <w:r>
              <w:rPr>
                <w:rFonts w:hint="default" w:ascii="Times New Roman" w:hAnsi="Times New Roman" w:eastAsia="宋体" w:cs="Times New Roman"/>
                <w:color w:val="auto"/>
                <w:kern w:val="2"/>
                <w:sz w:val="16"/>
                <w:szCs w:val="16"/>
                <w:lang w:val="en-US" w:eastAsia="zh-CN"/>
              </w:rPr>
              <w:t>4</w:t>
            </w:r>
          </w:p>
        </w:tc>
        <w:tc>
          <w:tcPr>
            <w:tcW w:w="673"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20.9</w:t>
            </w:r>
          </w:p>
        </w:tc>
        <w:tc>
          <w:tcPr>
            <w:tcW w:w="55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lang w:val="en-US" w:eastAsia="zh-CN"/>
              </w:rPr>
            </w:pPr>
            <w:r>
              <w:rPr>
                <w:rFonts w:hint="default" w:ascii="Times New Roman" w:hAnsi="Times New Roman" w:eastAsia="宋体" w:cs="Times New Roman"/>
                <w:color w:val="auto"/>
                <w:kern w:val="2"/>
                <w:sz w:val="16"/>
                <w:szCs w:val="16"/>
              </w:rPr>
              <w:t>18</w:t>
            </w:r>
            <w:r>
              <w:rPr>
                <w:rFonts w:hint="default" w:ascii="Times New Roman" w:hAnsi="Times New Roman" w:eastAsia="宋体" w:cs="Times New Roman"/>
                <w:color w:val="auto"/>
                <w:kern w:val="2"/>
                <w:sz w:val="16"/>
                <w:szCs w:val="16"/>
                <w:lang w:val="en-US" w:eastAsia="zh-CN"/>
              </w:rPr>
              <w:t>.4</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14</w:t>
            </w:r>
            <w:r>
              <w:rPr>
                <w:rFonts w:hint="default" w:ascii="Times New Roman" w:hAnsi="Times New Roman" w:eastAsia="宋体" w:cs="Times New Roman"/>
                <w:color w:val="auto"/>
                <w:kern w:val="2"/>
                <w:sz w:val="16"/>
                <w:szCs w:val="16"/>
                <w:lang w:val="en-US" w:eastAsia="zh-CN"/>
              </w:rPr>
              <w:t>7</w:t>
            </w:r>
            <w:r>
              <w:rPr>
                <w:rFonts w:hint="default" w:ascii="Times New Roman" w:hAnsi="Times New Roman" w:eastAsia="宋体" w:cs="Times New Roman"/>
                <w:color w:val="auto"/>
                <w:kern w:val="2"/>
                <w:sz w:val="16"/>
                <w:szCs w:val="16"/>
              </w:rPr>
              <w:t>.9</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lang w:eastAsia="zh-CN"/>
              </w:rPr>
            </w:pPr>
            <w:r>
              <w:rPr>
                <w:rFonts w:hint="default" w:ascii="Times New Roman" w:hAnsi="Times New Roman" w:eastAsia="宋体" w:cs="Times New Roman"/>
                <w:color w:val="auto"/>
                <w:kern w:val="2"/>
                <w:sz w:val="16"/>
                <w:szCs w:val="16"/>
              </w:rPr>
              <w:t>67.</w:t>
            </w:r>
            <w:r>
              <w:rPr>
                <w:rFonts w:hint="default" w:ascii="Times New Roman" w:hAnsi="Times New Roman" w:eastAsia="宋体" w:cs="Times New Roman"/>
                <w:color w:val="auto"/>
                <w:kern w:val="2"/>
                <w:sz w:val="16"/>
                <w:szCs w:val="16"/>
                <w:lang w:val="en-US" w:eastAsia="zh-CN"/>
              </w:rPr>
              <w:t>5</w:t>
            </w:r>
          </w:p>
        </w:tc>
        <w:tc>
          <w:tcPr>
            <w:tcW w:w="54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lang w:eastAsia="zh-CN"/>
              </w:rPr>
            </w:pPr>
            <w:r>
              <w:rPr>
                <w:rFonts w:hint="default" w:ascii="Times New Roman" w:hAnsi="Times New Roman" w:eastAsia="宋体" w:cs="Times New Roman"/>
                <w:color w:val="auto"/>
                <w:kern w:val="2"/>
                <w:sz w:val="16"/>
                <w:szCs w:val="16"/>
              </w:rPr>
              <w:t>1</w:t>
            </w:r>
            <w:r>
              <w:rPr>
                <w:rFonts w:hint="default" w:ascii="Times New Roman" w:hAnsi="Times New Roman" w:eastAsia="宋体" w:cs="Times New Roman"/>
                <w:color w:val="auto"/>
                <w:kern w:val="2"/>
                <w:sz w:val="16"/>
                <w:szCs w:val="16"/>
                <w:lang w:val="en-US" w:eastAsia="zh-CN"/>
              </w:rPr>
              <w:t>8</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50</w:t>
            </w:r>
          </w:p>
        </w:tc>
        <w:tc>
          <w:tcPr>
            <w:tcW w:w="45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32</w:t>
            </w:r>
          </w:p>
        </w:tc>
        <w:tc>
          <w:tcPr>
            <w:tcW w:w="66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39</w:t>
            </w:r>
          </w:p>
        </w:tc>
        <w:tc>
          <w:tcPr>
            <w:tcW w:w="63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w:t>
            </w:r>
          </w:p>
        </w:tc>
        <w:tc>
          <w:tcPr>
            <w:tcW w:w="85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冷却塔1</w:t>
            </w:r>
          </w:p>
        </w:tc>
        <w:tc>
          <w:tcPr>
            <w:tcW w:w="8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75</w:t>
            </w:r>
          </w:p>
        </w:tc>
        <w:tc>
          <w:tcPr>
            <w:tcW w:w="654"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0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33.7</w:t>
            </w:r>
          </w:p>
        </w:tc>
        <w:tc>
          <w:tcPr>
            <w:tcW w:w="54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42.5</w:t>
            </w:r>
          </w:p>
        </w:tc>
        <w:tc>
          <w:tcPr>
            <w:tcW w:w="673"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55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17</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112.5</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105</w:t>
            </w:r>
          </w:p>
        </w:tc>
        <w:tc>
          <w:tcPr>
            <w:tcW w:w="54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18</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51</w:t>
            </w:r>
          </w:p>
        </w:tc>
        <w:tc>
          <w:tcPr>
            <w:tcW w:w="45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34</w:t>
            </w:r>
          </w:p>
        </w:tc>
        <w:tc>
          <w:tcPr>
            <w:tcW w:w="66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35</w:t>
            </w:r>
          </w:p>
        </w:tc>
        <w:tc>
          <w:tcPr>
            <w:tcW w:w="63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6</w:t>
            </w:r>
          </w:p>
        </w:tc>
        <w:tc>
          <w:tcPr>
            <w:tcW w:w="85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冷却塔2</w:t>
            </w:r>
          </w:p>
        </w:tc>
        <w:tc>
          <w:tcPr>
            <w:tcW w:w="84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75</w:t>
            </w:r>
          </w:p>
        </w:tc>
        <w:tc>
          <w:tcPr>
            <w:tcW w:w="654" w:type="dxa"/>
            <w:vMerge w:val="continue"/>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p>
        </w:tc>
        <w:tc>
          <w:tcPr>
            <w:tcW w:w="501"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43.6</w:t>
            </w:r>
          </w:p>
        </w:tc>
        <w:tc>
          <w:tcPr>
            <w:tcW w:w="54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26.7</w:t>
            </w:r>
          </w:p>
        </w:tc>
        <w:tc>
          <w:tcPr>
            <w:tcW w:w="673"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w:t>
            </w:r>
          </w:p>
        </w:tc>
        <w:tc>
          <w:tcPr>
            <w:tcW w:w="555"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24</w:t>
            </w:r>
          </w:p>
        </w:tc>
        <w:tc>
          <w:tcPr>
            <w:tcW w:w="61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93</w:t>
            </w:r>
          </w:p>
        </w:tc>
        <w:tc>
          <w:tcPr>
            <w:tcW w:w="504"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129</w:t>
            </w:r>
          </w:p>
        </w:tc>
        <w:tc>
          <w:tcPr>
            <w:tcW w:w="54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25</w:t>
            </w:r>
          </w:p>
        </w:tc>
        <w:tc>
          <w:tcPr>
            <w:tcW w:w="518"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48</w:t>
            </w:r>
          </w:p>
        </w:tc>
        <w:tc>
          <w:tcPr>
            <w:tcW w:w="456"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36</w:t>
            </w:r>
          </w:p>
        </w:tc>
        <w:tc>
          <w:tcPr>
            <w:tcW w:w="66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33</w:t>
            </w:r>
          </w:p>
        </w:tc>
        <w:tc>
          <w:tcPr>
            <w:tcW w:w="639" w:type="dxa"/>
            <w:shd w:val="clear" w:color="auto" w:fill="auto"/>
            <w:vAlign w:val="center"/>
          </w:tcPr>
          <w:p>
            <w:pPr>
              <w:topLinePunct/>
              <w:spacing w:after="0"/>
              <w:jc w:val="center"/>
              <w:rPr>
                <w:rFonts w:hint="default" w:ascii="Times New Roman" w:hAnsi="Times New Roman" w:eastAsia="宋体" w:cs="Times New Roman"/>
                <w:color w:val="auto"/>
                <w:kern w:val="2"/>
                <w:sz w:val="16"/>
                <w:szCs w:val="16"/>
              </w:rPr>
            </w:pPr>
            <w:r>
              <w:rPr>
                <w:rFonts w:hint="default" w:ascii="Times New Roman" w:hAnsi="Times New Roman" w:eastAsia="宋体" w:cs="Times New Roman"/>
                <w:color w:val="auto"/>
                <w:kern w:val="2"/>
                <w:sz w:val="16"/>
                <w:szCs w:val="16"/>
              </w:rPr>
              <w:t>47</w:t>
            </w:r>
          </w:p>
        </w:tc>
      </w:tr>
      <w:bookmarkEnd w:id="5"/>
    </w:tbl>
    <w:p>
      <w:pPr>
        <w:spacing w:after="0" w:line="420" w:lineRule="exact"/>
        <w:rPr>
          <w:rFonts w:hint="default" w:ascii="Times New Roman" w:hAnsi="Times New Roman" w:eastAsia="宋体" w:cs="Times New Roman"/>
          <w:bCs/>
          <w:color w:val="auto"/>
          <w:kern w:val="24"/>
          <w:sz w:val="24"/>
          <w:szCs w:val="24"/>
          <w:lang w:bidi="ar"/>
        </w:rPr>
      </w:pPr>
    </w:p>
    <w:p>
      <w:pPr>
        <w:spacing w:after="0" w:line="420" w:lineRule="exact"/>
        <w:ind w:firstLine="480" w:firstLineChars="200"/>
        <w:rPr>
          <w:rFonts w:hint="default" w:ascii="Times New Roman" w:hAnsi="Times New Roman" w:eastAsia="宋体" w:cs="Times New Roman"/>
          <w:bCs/>
          <w:kern w:val="24"/>
          <w:sz w:val="24"/>
          <w:szCs w:val="24"/>
          <w:lang w:bidi="ar"/>
        </w:rPr>
      </w:pPr>
    </w:p>
    <w:p>
      <w:pPr>
        <w:spacing w:after="0" w:line="420" w:lineRule="exact"/>
        <w:rPr>
          <w:rFonts w:hint="default" w:ascii="Times New Roman" w:hAnsi="Times New Roman" w:eastAsia="宋体" w:cs="Times New Roman"/>
          <w:bCs/>
          <w:kern w:val="24"/>
          <w:sz w:val="24"/>
          <w:szCs w:val="24"/>
          <w:lang w:bidi="ar"/>
        </w:rPr>
        <w:sectPr>
          <w:pgSz w:w="16838" w:h="11906" w:orient="landscape"/>
          <w:pgMar w:top="1417" w:right="1417" w:bottom="1417" w:left="1417" w:header="1134" w:footer="1021" w:gutter="0"/>
          <w:cols w:space="708" w:num="1"/>
          <w:docGrid w:linePitch="360" w:charSpace="0"/>
        </w:sectPr>
      </w:pP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9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3045" w:hRule="atLeast"/>
          <w:jc w:val="center"/>
        </w:trPr>
        <w:tc>
          <w:tcPr>
            <w:tcW w:w="9288" w:type="dxa"/>
            <w:tcBorders>
              <w:tl2br w:val="nil"/>
              <w:tr2bl w:val="nil"/>
            </w:tcBorders>
          </w:tcPr>
          <w:p>
            <w:pPr>
              <w:spacing w:after="0"/>
              <w:rPr>
                <w:rFonts w:hint="default" w:ascii="Times New Roman" w:hAnsi="Times New Roman" w:eastAsia="宋体" w:cs="Times New Roman"/>
                <w:kern w:val="2"/>
                <w:sz w:val="28"/>
                <w:szCs w:val="28"/>
                <w:u w:val="single"/>
              </w:rPr>
            </w:pPr>
            <w:r>
              <w:rPr>
                <w:rFonts w:hint="default" w:ascii="Times New Roman" w:hAnsi="Times New Roman" w:eastAsia="宋体" w:cs="Times New Roman"/>
                <w:b/>
                <w:kern w:val="2"/>
                <w:sz w:val="28"/>
                <w:szCs w:val="28"/>
              </w:rPr>
              <w:t>4.2.4固体废物</w:t>
            </w:r>
          </w:p>
          <w:p>
            <w:pPr>
              <w:pStyle w:val="4"/>
              <w:spacing w:line="440" w:lineRule="exact"/>
              <w:ind w:left="0" w:leftChars="0" w:firstLine="0" w:firstLineChars="0"/>
              <w:rPr>
                <w:rFonts w:hint="default" w:ascii="Times New Roman" w:hAnsi="Times New Roman" w:eastAsia="宋体" w:cs="Times New Roman"/>
                <w:szCs w:val="24"/>
                <w:lang w:val="en-GB"/>
              </w:rPr>
            </w:pPr>
            <w:r>
              <w:rPr>
                <w:rFonts w:hint="default" w:ascii="Times New Roman" w:hAnsi="Times New Roman" w:eastAsia="宋体" w:cs="Times New Roman"/>
                <w:szCs w:val="24"/>
                <w:lang w:val="en-GB"/>
              </w:rPr>
              <w:t>4.2.4.1固体废物产排污分析</w:t>
            </w:r>
          </w:p>
          <w:p>
            <w:pPr>
              <w:numPr>
                <w:ilvl w:val="0"/>
                <w:numId w:val="6"/>
              </w:numPr>
              <w:spacing w:after="0" w:line="44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隔热垫玻璃纤维碎屑S1-1、边角料S1-2、废离型纸S1-3、废PET膜及硅胶S1-4</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隔热垫生产过程中裁切、背胶会产生玻璃纤维碎屑S1-1、边角料S1-2、废离型纸S1-3、废PET膜及硅胶S1-4。边角料S1-2产生量为2t/a(1%</w:t>
            </w:r>
            <w:r>
              <w:rPr>
                <w:rFonts w:hint="default" w:ascii="Times New Roman" w:hAnsi="Times New Roman" w:eastAsia="宋体" w:cs="Times New Roman"/>
                <w:sz w:val="24"/>
                <w:szCs w:val="24"/>
                <w:vertAlign w:val="subscript"/>
              </w:rPr>
              <w:t>0</w:t>
            </w:r>
            <w:r>
              <w:rPr>
                <w:rFonts w:hint="default" w:ascii="Times New Roman" w:hAnsi="Times New Roman" w:eastAsia="宋体" w:cs="Times New Roman"/>
                <w:sz w:val="24"/>
                <w:szCs w:val="24"/>
              </w:rPr>
              <w:t>,2000t)回用，玻璃纤维碎屑S1-1产生量为0.5t/a(1‰,500t)、废离型纸S1-3产生量为6000张、废PET膜及硅胶S1-4产生量为0.5t/a(1‰,3t)送一般固废暂存间分类暂存，交物资回收公司综合处置。</w:t>
            </w:r>
          </w:p>
          <w:p>
            <w:pPr>
              <w:numPr>
                <w:ilvl w:val="0"/>
                <w:numId w:val="6"/>
              </w:numPr>
              <w:spacing w:after="0" w:line="44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线束生产不合格品（S2-1、S2-2）</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线束生产过程中导通检测及尺寸外观检测会产生不合格品（S2-1、S2-2），产生量为0.5t/a，经调试后作为原材料回用于生产。</w:t>
            </w:r>
          </w:p>
          <w:p>
            <w:pPr>
              <w:spacing w:after="0" w:line="44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（3）车用升降机不合格品（S3-1、S3-2、S3-3）</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线束生产过程中零件检测产生不合格品S3-1返厂，产生量为0.1t/a，导通检测及尺寸外观检测会产生不合格品（S3-2、S3-3），产生量为0.5t/a，经调试后作为原材料回用于生产。</w:t>
            </w:r>
          </w:p>
          <w:p>
            <w:pPr>
              <w:spacing w:after="0" w:line="44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（4）电器盒壳体不合格品、边角料（S4）</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人工修剪有不合格品、边角料S4产生，产生量为0.66t/a(3‰,220t)，全部粉料后回用。</w:t>
            </w:r>
          </w:p>
          <w:p>
            <w:pPr>
              <w:spacing w:after="0" w:line="42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（5）车用橡胶圈边角料S5-1、不合格品S5-2</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人工裁边修剪有边角料S5-1产生，产生量为66t/a(11%,600t)；测试和外观检查不合格S5-2，做报废处理，不合格品率控制在3%以内，产生量为18t/a（600t）；属可再生资源，送一般固废暂存间分类暂存，交物资回收公司综合处置。</w:t>
            </w:r>
          </w:p>
          <w:p>
            <w:pPr>
              <w:spacing w:after="0" w:line="42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（5）废包装材料（S1-5、S2-3、S3-4、S5-3）</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盛装固体物料、塑料颗粒、塑料薄膜等原辅料系用塑料袋、牛皮纸袋、包装箱等包装，涉及有废包装材料（S1-5、S2-3、S3-4、S5-3）产生，产生量为5.0t/a；废塑料袋、废牛皮纸袋、废包装箱属可再生资源，送一般固废暂存间分类暂存，交物资回收公司综合处置。</w:t>
            </w:r>
          </w:p>
          <w:p>
            <w:pPr>
              <w:spacing w:after="0" w:line="42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（5）废弃油桶S6</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石蜡油、润滑脂包装规格分别为180kg/桶、170kg/桶，涉及有废弃油桶S6产生，产生量为0.5t/a，系危险废物HW08、900-249-08；送危废贮存点分类暂存，交有危险废物资质单位处置。</w:t>
            </w:r>
          </w:p>
          <w:p>
            <w:pPr>
              <w:spacing w:after="0" w:line="42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（6）除尘灰S7</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袋式除尘，布袋收集的粉尘有除尘灰S7产生，产生量为1.30t/a（袋式除尘收集的），经收集后，全部回用于密炼生产。</w:t>
            </w:r>
          </w:p>
          <w:p>
            <w:pPr>
              <w:spacing w:after="0" w:line="42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（7）废布袋S8</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日常使用过程中袋式除尘采用脉冲清灰，布袋定期更换，更换有废布袋S8产生，产生量为0.02t/a，送一般固废暂存间分类暂存，交物资回收公司综合处置。</w:t>
            </w:r>
          </w:p>
          <w:p>
            <w:pPr>
              <w:spacing w:after="0" w:line="42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（8）报废模具S9</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产过程中使用模具，模具有小问题时厂内简单维修，大修委外修理，无法修理的模具，做报废处理，有报废模具S9产生，产生量为0.5t/a；报废模具属可再生资源，送一般固废暂存间分类暂存，交物资回收公司综合处置。</w:t>
            </w:r>
          </w:p>
          <w:p>
            <w:pPr>
              <w:spacing w:after="0" w:line="42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（9）废液压油S10</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设备用液压油，每2年更换一次液压油，有废液压油S10产生，产生量为0.07t/a（0.14t/次），系危险废物HW08、900-220-08；送危废贮存点分类暂存，交有危险废物资质单位处置。</w:t>
            </w:r>
          </w:p>
          <w:p>
            <w:pPr>
              <w:spacing w:after="0" w:line="420" w:lineRule="exact"/>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（10）废活性炭S11</w:t>
            </w:r>
          </w:p>
          <w:p>
            <w:pPr>
              <w:spacing w:after="0" w:line="420" w:lineRule="exact"/>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Cs/>
                <w:sz w:val="24"/>
                <w:szCs w:val="24"/>
              </w:rPr>
              <w:t>混注塑废气、炼胶废气、成型废气</w:t>
            </w:r>
            <w:r>
              <w:rPr>
                <w:rFonts w:hint="default" w:ascii="Times New Roman" w:hAnsi="Times New Roman" w:eastAsia="宋体" w:cs="Times New Roman"/>
                <w:sz w:val="24"/>
                <w:szCs w:val="24"/>
              </w:rPr>
              <w:t>均采用</w:t>
            </w:r>
            <w:r>
              <w:rPr>
                <w:rFonts w:hint="default" w:ascii="Times New Roman" w:hAnsi="Times New Roman" w:eastAsia="宋体" w:cs="Times New Roman"/>
                <w:sz w:val="24"/>
                <w:szCs w:val="24"/>
                <w:lang w:bidi="ar"/>
              </w:rPr>
              <w:t>活性炭吸附。根据工程分析可知，有非甲烷总烃</w:t>
            </w:r>
            <w:r>
              <w:rPr>
                <w:rFonts w:hint="default" w:ascii="Times New Roman" w:hAnsi="Times New Roman" w:eastAsia="宋体" w:cs="Times New Roman"/>
                <w:sz w:val="21"/>
                <w:szCs w:val="21"/>
                <w:lang w:bidi="ar"/>
              </w:rPr>
              <w:t>0.169</w:t>
            </w:r>
            <w:r>
              <w:rPr>
                <w:rFonts w:hint="default" w:ascii="Times New Roman" w:hAnsi="Times New Roman" w:eastAsia="宋体" w:cs="Times New Roman"/>
                <w:sz w:val="24"/>
                <w:szCs w:val="24"/>
                <w:lang w:bidi="ar"/>
              </w:rPr>
              <w:t>t/a被1#活性炭吸附、有非甲烷总烃</w:t>
            </w:r>
            <w:r>
              <w:rPr>
                <w:rFonts w:hint="default" w:ascii="Times New Roman" w:hAnsi="Times New Roman" w:eastAsia="宋体" w:cs="Times New Roman"/>
                <w:sz w:val="21"/>
                <w:szCs w:val="21"/>
                <w:lang w:bidi="ar"/>
              </w:rPr>
              <w:t>0.2055</w:t>
            </w:r>
            <w:r>
              <w:rPr>
                <w:rFonts w:hint="default" w:ascii="Times New Roman" w:hAnsi="Times New Roman" w:eastAsia="宋体" w:cs="Times New Roman"/>
                <w:sz w:val="24"/>
                <w:szCs w:val="24"/>
                <w:lang w:bidi="ar"/>
              </w:rPr>
              <w:t>t/a被3#活性炭吸附、有非甲烷总烃</w:t>
            </w:r>
            <w:r>
              <w:rPr>
                <w:rFonts w:hint="default" w:ascii="Times New Roman" w:hAnsi="Times New Roman" w:eastAsia="宋体" w:cs="Times New Roman"/>
                <w:sz w:val="21"/>
                <w:szCs w:val="21"/>
                <w:lang w:bidi="ar"/>
              </w:rPr>
              <w:t>0.0477</w:t>
            </w:r>
            <w:r>
              <w:rPr>
                <w:rFonts w:hint="default" w:ascii="Times New Roman" w:hAnsi="Times New Roman" w:eastAsia="宋体" w:cs="Times New Roman"/>
                <w:sz w:val="24"/>
                <w:szCs w:val="24"/>
                <w:lang w:bidi="ar"/>
              </w:rPr>
              <w:t>t/a被4#活性炭吸附，活性炭吸附饱和后，有废活性炭S11产生。活性炭吸附饱和率</w:t>
            </w:r>
            <w:r>
              <w:rPr>
                <w:rFonts w:hint="default" w:ascii="Times New Roman" w:hAnsi="Times New Roman" w:eastAsia="宋体" w:cs="Times New Roman"/>
                <w:kern w:val="2"/>
                <w:sz w:val="24"/>
                <w:szCs w:val="24"/>
                <w:lang w:bidi="ar"/>
              </w:rPr>
              <w:t>参照《简明通风设计手册》，活性炭吸附能力按1t活性炭吸附约250kg左右有机废气。</w:t>
            </w:r>
            <w:r>
              <w:rPr>
                <w:rFonts w:hint="default" w:ascii="Times New Roman" w:hAnsi="Times New Roman" w:eastAsia="宋体" w:cs="Times New Roman"/>
                <w:sz w:val="24"/>
                <w:szCs w:val="24"/>
                <w:lang w:bidi="ar"/>
              </w:rPr>
              <w:t>各废气处理设施活性炭需吸附量、更换频次、废活性炭产生量</w:t>
            </w:r>
            <w:r>
              <w:rPr>
                <w:rFonts w:hint="default" w:ascii="Times New Roman" w:hAnsi="Times New Roman" w:cs="Times New Roman" w:eastAsiaTheme="minorEastAsia"/>
                <w:sz w:val="24"/>
                <w:szCs w:val="24"/>
              </w:rPr>
              <w:t>见表4.2-</w:t>
            </w:r>
            <w:r>
              <w:rPr>
                <w:rFonts w:hint="default"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rPr>
              <w:t>。</w:t>
            </w:r>
          </w:p>
          <w:p>
            <w:pPr>
              <w:spacing w:after="0" w:line="420" w:lineRule="exact"/>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表4.2-</w:t>
            </w:r>
            <w:r>
              <w:rPr>
                <w:rFonts w:hint="default" w:ascii="Times New Roman" w:hAnsi="Times New Roman" w:cs="Times New Roman" w:eastAsiaTheme="minorEastAsia"/>
                <w:b/>
                <w:color w:val="auto"/>
                <w:sz w:val="24"/>
                <w:szCs w:val="24"/>
                <w:lang w:val="en-US" w:eastAsia="zh-CN"/>
              </w:rPr>
              <w:t>23</w:t>
            </w:r>
            <w:r>
              <w:rPr>
                <w:rFonts w:hint="default" w:ascii="Times New Roman" w:hAnsi="Times New Roman" w:cs="Times New Roman" w:eastAsiaTheme="minorEastAsia"/>
                <w:b/>
                <w:color w:val="auto"/>
                <w:sz w:val="24"/>
                <w:szCs w:val="24"/>
              </w:rPr>
              <w:t xml:space="preserve">  各废气处理设施活性炭需吸附量、更换频次及废活性炭产生量</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455"/>
              <w:gridCol w:w="1712"/>
              <w:gridCol w:w="1097"/>
              <w:gridCol w:w="1264"/>
              <w:gridCol w:w="1104"/>
              <w:gridCol w:w="1239"/>
              <w:gridCol w:w="120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455"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w:t>
                  </w:r>
                </w:p>
              </w:tc>
              <w:tc>
                <w:tcPr>
                  <w:tcW w:w="1712"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废气治理设施</w:t>
                  </w:r>
                </w:p>
              </w:tc>
              <w:tc>
                <w:tcPr>
                  <w:tcW w:w="1097"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需被吸附量（t/a）</w:t>
                  </w:r>
                </w:p>
              </w:tc>
              <w:tc>
                <w:tcPr>
                  <w:tcW w:w="1264"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活性炭填充量（t/次）</w:t>
                  </w:r>
                </w:p>
              </w:tc>
              <w:tc>
                <w:tcPr>
                  <w:tcW w:w="1104"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kern w:val="2"/>
                      <w:sz w:val="21"/>
                      <w:szCs w:val="21"/>
                      <w:lang w:bidi="ar"/>
                    </w:rPr>
                    <w:t>活性炭吸附饱和率</w:t>
                  </w:r>
                </w:p>
              </w:tc>
              <w:tc>
                <w:tcPr>
                  <w:tcW w:w="1239"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更换频次</w:t>
                  </w:r>
                </w:p>
              </w:tc>
              <w:tc>
                <w:tcPr>
                  <w:tcW w:w="1201"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废活性炭产生量（t/a）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455"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注塑废气G2-1</w:t>
                  </w:r>
                </w:p>
              </w:tc>
              <w:tc>
                <w:tcPr>
                  <w:tcW w:w="1712"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两级活性炭吸附</w:t>
                  </w:r>
                </w:p>
              </w:tc>
              <w:tc>
                <w:tcPr>
                  <w:tcW w:w="1097"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bidi="ar"/>
                    </w:rPr>
                    <w:t>0.169</w:t>
                  </w:r>
                </w:p>
              </w:tc>
              <w:tc>
                <w:tcPr>
                  <w:tcW w:w="1264"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bidi="ar"/>
                    </w:rPr>
                    <w:t>0.169</w:t>
                  </w:r>
                </w:p>
              </w:tc>
              <w:tc>
                <w:tcPr>
                  <w:tcW w:w="1104"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kern w:val="2"/>
                      <w:sz w:val="21"/>
                      <w:szCs w:val="21"/>
                      <w:lang w:bidi="ar"/>
                    </w:rPr>
                    <w:t>25%</w:t>
                  </w:r>
                </w:p>
              </w:tc>
              <w:tc>
                <w:tcPr>
                  <w:tcW w:w="1239"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1次/三个月</w:t>
                  </w:r>
                </w:p>
              </w:tc>
              <w:tc>
                <w:tcPr>
                  <w:tcW w:w="1201"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0.845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455"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炼胶废气G3-3+G3-4</w:t>
                  </w:r>
                </w:p>
              </w:tc>
              <w:tc>
                <w:tcPr>
                  <w:tcW w:w="1712"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bidi="ar"/>
                    </w:rPr>
                    <w:t>袋式除尘+两级活性炭吸附</w:t>
                  </w:r>
                </w:p>
              </w:tc>
              <w:tc>
                <w:tcPr>
                  <w:tcW w:w="1097"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bidi="ar"/>
                    </w:rPr>
                    <w:t>0.2055</w:t>
                  </w:r>
                </w:p>
              </w:tc>
              <w:tc>
                <w:tcPr>
                  <w:tcW w:w="1264"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bidi="ar"/>
                    </w:rPr>
                    <w:t>0.2055</w:t>
                  </w:r>
                </w:p>
              </w:tc>
              <w:tc>
                <w:tcPr>
                  <w:tcW w:w="1104"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kern w:val="2"/>
                      <w:sz w:val="21"/>
                      <w:szCs w:val="21"/>
                      <w:lang w:bidi="ar"/>
                    </w:rPr>
                    <w:t>25%</w:t>
                  </w:r>
                </w:p>
              </w:tc>
              <w:tc>
                <w:tcPr>
                  <w:tcW w:w="1239"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1次/三个月</w:t>
                  </w:r>
                </w:p>
              </w:tc>
              <w:tc>
                <w:tcPr>
                  <w:tcW w:w="1201"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1.0275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455"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成型废气G3-5+G3-6</w:t>
                  </w:r>
                </w:p>
              </w:tc>
              <w:tc>
                <w:tcPr>
                  <w:tcW w:w="1712"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bidi="ar"/>
                    </w:rPr>
                    <w:t>两级活性炭吸附</w:t>
                  </w:r>
                </w:p>
              </w:tc>
              <w:tc>
                <w:tcPr>
                  <w:tcW w:w="1097" w:type="dxa"/>
                  <w:vAlign w:val="center"/>
                </w:tcPr>
                <w:p>
                  <w:pPr>
                    <w:topLinePunct/>
                    <w:spacing w:after="0"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0.0477</w:t>
                  </w:r>
                </w:p>
              </w:tc>
              <w:tc>
                <w:tcPr>
                  <w:tcW w:w="1264"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bidi="ar"/>
                    </w:rPr>
                    <w:t>0.0477</w:t>
                  </w:r>
                </w:p>
              </w:tc>
              <w:tc>
                <w:tcPr>
                  <w:tcW w:w="1104"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kern w:val="2"/>
                      <w:sz w:val="21"/>
                      <w:szCs w:val="21"/>
                      <w:lang w:bidi="ar"/>
                    </w:rPr>
                    <w:t>25%</w:t>
                  </w:r>
                </w:p>
              </w:tc>
              <w:tc>
                <w:tcPr>
                  <w:tcW w:w="1239"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1次/三个月</w:t>
                  </w:r>
                </w:p>
              </w:tc>
              <w:tc>
                <w:tcPr>
                  <w:tcW w:w="1201"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0.2385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871" w:type="dxa"/>
                  <w:gridSpan w:val="6"/>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rPr>
                    <w:t>小计</w:t>
                  </w:r>
                </w:p>
              </w:tc>
              <w:tc>
                <w:tcPr>
                  <w:tcW w:w="1201" w:type="dxa"/>
                  <w:vAlign w:val="center"/>
                </w:tcPr>
                <w:p>
                  <w:pPr>
                    <w:topLinePunct/>
                    <w:spacing w:after="0"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2.111</w:t>
                  </w:r>
                </w:p>
              </w:tc>
            </w:tr>
          </w:tbl>
          <w:p>
            <w:pPr>
              <w:spacing w:after="0" w:line="420" w:lineRule="exact"/>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eastAsia="宋体" w:cs="Times New Roman"/>
                <w:color w:val="auto"/>
                <w:sz w:val="24"/>
                <w:szCs w:val="24"/>
                <w:lang w:bidi="ar"/>
              </w:rPr>
              <w:t>废活性炭</w:t>
            </w:r>
            <w:r>
              <w:rPr>
                <w:rFonts w:hint="default" w:ascii="Times New Roman" w:hAnsi="Times New Roman" w:cs="Times New Roman" w:eastAsiaTheme="minorEastAsia"/>
                <w:color w:val="auto"/>
                <w:sz w:val="24"/>
                <w:szCs w:val="24"/>
              </w:rPr>
              <w:t>S11</w:t>
            </w:r>
            <w:r>
              <w:rPr>
                <w:rFonts w:hint="default" w:ascii="Times New Roman" w:hAnsi="Times New Roman" w:eastAsia="宋体" w:cs="Times New Roman"/>
                <w:color w:val="auto"/>
                <w:kern w:val="2"/>
                <w:sz w:val="24"/>
                <w:szCs w:val="24"/>
                <w:lang w:bidi="ar"/>
              </w:rPr>
              <w:t>系危险废物HW49、900-039-49；送危废贮存点</w:t>
            </w:r>
            <w:r>
              <w:rPr>
                <w:rFonts w:hint="default" w:ascii="Times New Roman" w:hAnsi="Times New Roman" w:cs="Times New Roman" w:eastAsiaTheme="minorEastAsia"/>
                <w:color w:val="auto"/>
                <w:sz w:val="24"/>
                <w:szCs w:val="24"/>
              </w:rPr>
              <w:t>分类暂存，交</w:t>
            </w:r>
            <w:r>
              <w:rPr>
                <w:rFonts w:hint="default" w:ascii="Times New Roman" w:hAnsi="Times New Roman" w:eastAsia="宋体" w:cs="Times New Roman"/>
                <w:color w:val="auto"/>
                <w:kern w:val="2"/>
                <w:sz w:val="24"/>
                <w:szCs w:val="24"/>
                <w:lang w:bidi="ar"/>
              </w:rPr>
              <w:t>有危险废物资质单位处置。</w:t>
            </w:r>
          </w:p>
          <w:p>
            <w:pPr>
              <w:spacing w:after="0" w:line="420" w:lineRule="exact"/>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（12）含油棉纱手套S12</w:t>
            </w:r>
          </w:p>
          <w:p>
            <w:pPr>
              <w:spacing w:after="0" w:line="420" w:lineRule="exact"/>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设备维保时有含油棉纱手套产生，产生量0.01t/a，系危险废物HW49、900-041-49，送危废贮存点分类暂存，交</w:t>
            </w:r>
            <w:r>
              <w:rPr>
                <w:rFonts w:hint="default" w:ascii="Times New Roman" w:hAnsi="Times New Roman" w:eastAsia="宋体" w:cs="Times New Roman"/>
                <w:kern w:val="2"/>
                <w:sz w:val="24"/>
                <w:szCs w:val="24"/>
                <w:lang w:bidi="ar"/>
              </w:rPr>
              <w:t>有危险废物资质单位处置</w:t>
            </w:r>
            <w:r>
              <w:rPr>
                <w:rFonts w:hint="default" w:ascii="Times New Roman" w:hAnsi="Times New Roman" w:cs="Times New Roman" w:eastAsiaTheme="minorEastAsia"/>
                <w:sz w:val="24"/>
                <w:szCs w:val="24"/>
              </w:rPr>
              <w:t>。</w:t>
            </w:r>
          </w:p>
          <w:p>
            <w:pPr>
              <w:spacing w:after="0" w:line="420" w:lineRule="exact"/>
              <w:ind w:firstLine="480" w:firstLineChars="200"/>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highlight w:val="none"/>
                <w:lang w:eastAsia="zh-CN"/>
              </w:rPr>
              <w:t>根据《国家危险废物名录（</w:t>
            </w:r>
            <w:r>
              <w:rPr>
                <w:rFonts w:hint="eastAsia" w:ascii="Times New Roman" w:hAnsi="Times New Roman" w:cs="Times New Roman" w:eastAsiaTheme="minorEastAsia"/>
                <w:sz w:val="24"/>
                <w:szCs w:val="24"/>
                <w:highlight w:val="none"/>
                <w:lang w:val="en-US" w:eastAsia="zh-CN"/>
              </w:rPr>
              <w:t>2021年版</w:t>
            </w:r>
            <w:r>
              <w:rPr>
                <w:rFonts w:hint="eastAsia" w:ascii="Times New Roman" w:hAnsi="Times New Roman" w:cs="Times New Roman" w:eastAsiaTheme="minorEastAsia"/>
                <w:sz w:val="24"/>
                <w:szCs w:val="24"/>
                <w:highlight w:val="none"/>
                <w:lang w:eastAsia="zh-CN"/>
              </w:rPr>
              <w:t>）》“危险废物豁免管理清单”，</w:t>
            </w:r>
            <w:r>
              <w:rPr>
                <w:rFonts w:hint="default" w:ascii="Times New Roman" w:hAnsi="Times New Roman" w:cs="Times New Roman" w:eastAsiaTheme="minorEastAsia"/>
                <w:sz w:val="24"/>
                <w:szCs w:val="24"/>
                <w:highlight w:val="none"/>
              </w:rPr>
              <w:t>900-041-49</w:t>
            </w:r>
            <w:r>
              <w:rPr>
                <w:rFonts w:hint="eastAsia" w:ascii="Times New Roman" w:hAnsi="Times New Roman" w:cs="Times New Roman" w:eastAsiaTheme="minorEastAsia"/>
                <w:sz w:val="24"/>
                <w:szCs w:val="24"/>
                <w:highlight w:val="none"/>
                <w:lang w:eastAsia="zh-CN"/>
              </w:rPr>
              <w:t>、废弃的含油抹布、劳保用品，满足豁免条件“未分类收集”，全过程不按危险废物管理。</w:t>
            </w:r>
          </w:p>
          <w:p>
            <w:pPr>
              <w:spacing w:after="0" w:line="420" w:lineRule="exact"/>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（13）生活垃圾S13</w:t>
            </w:r>
          </w:p>
          <w:p>
            <w:pPr>
              <w:spacing w:after="0" w:line="420" w:lineRule="exact"/>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本项目劳动定员300人，年工作300d，人均生活垃圾产生量按0.5kg/d计，生活垃圾产生量150kg/d（45t/a），依托公司厂区内生活垃圾收集点暂存，交由环卫部门处置。</w:t>
            </w:r>
          </w:p>
          <w:p>
            <w:pPr>
              <w:spacing w:after="0" w:line="42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本项目固体废物产生量估算及去向见表4.2-2</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和表4.2-2</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spacing w:after="0" w:line="420" w:lineRule="exact"/>
              <w:ind w:firstLine="240" w:firstLineChars="1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表4.2-</w:t>
            </w:r>
            <w:r>
              <w:rPr>
                <w:rFonts w:hint="default" w:ascii="Times New Roman" w:hAnsi="Times New Roman" w:eastAsia="宋体" w:cs="Times New Roman"/>
                <w:b/>
                <w:bCs/>
                <w:sz w:val="24"/>
                <w:szCs w:val="24"/>
                <w:lang w:val="en-US" w:eastAsia="zh-CN"/>
              </w:rPr>
              <w:t>24</w:t>
            </w:r>
            <w:r>
              <w:rPr>
                <w:rFonts w:hint="default" w:ascii="Times New Roman" w:hAnsi="Times New Roman" w:eastAsia="宋体" w:cs="Times New Roman"/>
                <w:b/>
                <w:bCs/>
                <w:sz w:val="24"/>
                <w:szCs w:val="24"/>
              </w:rPr>
              <w:t xml:space="preserve">  本项目固体废物产生量估算及去向表    单位：t/a</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36"/>
              <w:gridCol w:w="1141"/>
              <w:gridCol w:w="1052"/>
              <w:gridCol w:w="1363"/>
              <w:gridCol w:w="1063"/>
              <w:gridCol w:w="863"/>
              <w:gridCol w:w="1021"/>
              <w:gridCol w:w="837"/>
              <w:gridCol w:w="99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vMerge w:val="restart"/>
                  <w:tcBorders>
                    <w:top w:val="single" w:color="auto" w:sz="4"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工序/</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生产线</w:t>
                  </w:r>
                </w:p>
              </w:tc>
              <w:tc>
                <w:tcPr>
                  <w:tcW w:w="1141" w:type="dxa"/>
                  <w:vMerge w:val="restart"/>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装置/</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来源</w:t>
                  </w:r>
                </w:p>
              </w:tc>
              <w:tc>
                <w:tcPr>
                  <w:tcW w:w="1052" w:type="dxa"/>
                  <w:vMerge w:val="restart"/>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固废名称</w:t>
                  </w:r>
                </w:p>
              </w:tc>
              <w:tc>
                <w:tcPr>
                  <w:tcW w:w="1363" w:type="dxa"/>
                  <w:vMerge w:val="restart"/>
                  <w:tcBorders>
                    <w:top w:val="single" w:color="auto" w:sz="4" w:space="0"/>
                    <w:left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固体废物类别及代码</w:t>
                  </w:r>
                </w:p>
              </w:tc>
              <w:tc>
                <w:tcPr>
                  <w:tcW w:w="1063" w:type="dxa"/>
                  <w:vMerge w:val="restart"/>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属性</w:t>
                  </w:r>
                </w:p>
              </w:tc>
              <w:tc>
                <w:tcPr>
                  <w:tcW w:w="863" w:type="dxa"/>
                  <w:vMerge w:val="restart"/>
                  <w:tcBorders>
                    <w:top w:val="single" w:color="auto" w:sz="4" w:space="0"/>
                    <w:left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w:t>
                  </w:r>
                </w:p>
              </w:tc>
              <w:tc>
                <w:tcPr>
                  <w:tcW w:w="1858" w:type="dxa"/>
                  <w:gridSpan w:val="2"/>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处置措施</w:t>
                  </w:r>
                </w:p>
              </w:tc>
              <w:tc>
                <w:tcPr>
                  <w:tcW w:w="996" w:type="dxa"/>
                  <w:vMerge w:val="restart"/>
                  <w:tcBorders>
                    <w:top w:val="single" w:color="auto" w:sz="4"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最终</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去向</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vMerge w:val="continue"/>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p>
              </w:tc>
              <w:tc>
                <w:tcPr>
                  <w:tcW w:w="1141" w:type="dxa"/>
                  <w:vMerge w:val="continue"/>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1052" w:type="dxa"/>
                  <w:vMerge w:val="continue"/>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1363" w:type="dxa"/>
                  <w:vMerge w:val="continue"/>
                  <w:tcBorders>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1063" w:type="dxa"/>
                  <w:vMerge w:val="continue"/>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863" w:type="dxa"/>
                  <w:vMerge w:val="continue"/>
                  <w:tcBorders>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工艺</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处置量</w:t>
                  </w:r>
                </w:p>
              </w:tc>
              <w:tc>
                <w:tcPr>
                  <w:tcW w:w="996" w:type="dxa"/>
                  <w:vMerge w:val="continue"/>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vMerge w:val="restart"/>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全厂</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原辅材料</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存放区</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废包装材料（S1-5、S2-3、S3-4、S5-3）</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900-003-S17</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900-005-S17</w:t>
                  </w:r>
                </w:p>
                <w:p>
                  <w:pPr>
                    <w:topLinePunct/>
                    <w:spacing w:after="0" w:line="300" w:lineRule="exact"/>
                    <w:jc w:val="center"/>
                    <w:rPr>
                      <w:rFonts w:hint="default" w:ascii="Times New Roman" w:hAnsi="Times New Roman" w:eastAsia="宋体" w:cs="Times New Roman"/>
                      <w:sz w:val="21"/>
                      <w:szCs w:val="21"/>
                    </w:rPr>
                  </w:pP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物资回收公司</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736" w:type="dxa"/>
                  <w:vMerge w:val="continue"/>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原辅材料</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存放区</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废弃油桶S6</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HW08、900-249-08</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危废资质单位</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vMerge w:val="restart"/>
                  <w:tcBorders>
                    <w:top w:val="single" w:color="auto" w:sz="6" w:space="0"/>
                    <w:left w:val="nil"/>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隔热垫生产线</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裁切</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玻璃纤维碎屑S1-1</w:t>
                  </w:r>
                </w:p>
              </w:tc>
              <w:tc>
                <w:tcPr>
                  <w:tcW w:w="1363" w:type="dxa"/>
                  <w:vMerge w:val="restart"/>
                  <w:tcBorders>
                    <w:top w:val="single" w:color="auto" w:sz="6" w:space="0"/>
                    <w:left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900-004-S17</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物资回收公司</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vMerge w:val="continue"/>
                  <w:tcBorders>
                    <w:left w:val="nil"/>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裁切</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边角料S1-2</w:t>
                  </w:r>
                </w:p>
              </w:tc>
              <w:tc>
                <w:tcPr>
                  <w:tcW w:w="1363" w:type="dxa"/>
                  <w:vMerge w:val="continue"/>
                  <w:tcBorders>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回用于</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vMerge w:val="continue"/>
                  <w:tcBorders>
                    <w:left w:val="nil"/>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背胶</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废离型纸S1-3</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900-005-S17</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736" w:type="dxa"/>
                  <w:vMerge w:val="continue"/>
                  <w:tcBorders>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裁切</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废PET膜及硅胶S1-4</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900-003-S17</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900-006-S17</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tcBorders>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线束生产升降机生产</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导通/尺寸外观检测</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不合格品</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900-099-S17</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回用于</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19" w:hRule="atLeast"/>
                <w:jc w:val="center"/>
              </w:trPr>
              <w:tc>
                <w:tcPr>
                  <w:tcW w:w="736" w:type="dxa"/>
                  <w:vMerge w:val="restart"/>
                  <w:tcBorders>
                    <w:left w:val="nil"/>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升降机生产线</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零件检测</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不合格品</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900-099-S17</w:t>
                  </w:r>
                </w:p>
                <w:p>
                  <w:pPr>
                    <w:topLinePunct/>
                    <w:spacing w:after="0" w:line="300" w:lineRule="exact"/>
                    <w:jc w:val="center"/>
                    <w:rPr>
                      <w:rFonts w:hint="default" w:ascii="Times New Roman" w:hAnsi="Times New Roman" w:eastAsia="宋体" w:cs="Times New Roman"/>
                      <w:sz w:val="21"/>
                      <w:szCs w:val="21"/>
                    </w:rPr>
                  </w:pP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返厂</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供货商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19" w:hRule="atLeast"/>
                <w:jc w:val="center"/>
              </w:trPr>
              <w:tc>
                <w:tcPr>
                  <w:tcW w:w="736" w:type="dxa"/>
                  <w:vMerge w:val="continue"/>
                  <w:tcBorders>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导通/尺寸外观检测</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kern w:val="2"/>
                      <w:sz w:val="21"/>
                      <w:szCs w:val="21"/>
                      <w:lang w:bidi="ar"/>
                    </w:rPr>
                  </w:pP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900-099-S17</w:t>
                  </w:r>
                </w:p>
                <w:p>
                  <w:pPr>
                    <w:topLinePunct/>
                    <w:spacing w:after="0" w:line="300" w:lineRule="exact"/>
                    <w:jc w:val="center"/>
                    <w:rPr>
                      <w:rFonts w:hint="default" w:ascii="Times New Roman" w:hAnsi="Times New Roman" w:eastAsia="宋体" w:cs="Times New Roman"/>
                      <w:sz w:val="21"/>
                      <w:szCs w:val="21"/>
                    </w:rPr>
                  </w:pP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回用于</w:t>
                  </w:r>
                </w:p>
                <w:p>
                  <w:pPr>
                    <w:topLinePunct/>
                    <w:spacing w:after="0" w:line="300" w:lineRule="exact"/>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sz w:val="21"/>
                      <w:szCs w:val="21"/>
                    </w:rPr>
                    <w:t>生产</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736" w:type="dxa"/>
                  <w:tcBorders>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电器盒壳体生产线</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裁边修剪</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边角料、不合格品S4</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900-003-S17</w:t>
                  </w:r>
                </w:p>
                <w:p>
                  <w:pPr>
                    <w:topLinePunct/>
                    <w:spacing w:after="0" w:line="300" w:lineRule="exact"/>
                    <w:jc w:val="center"/>
                    <w:rPr>
                      <w:rFonts w:hint="default" w:ascii="Times New Roman" w:hAnsi="Times New Roman" w:eastAsia="宋体" w:cs="Times New Roman"/>
                      <w:sz w:val="21"/>
                      <w:szCs w:val="21"/>
                    </w:rPr>
                  </w:pP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0.66</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回用于</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0.66</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vMerge w:val="restart"/>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车用橡胶圈生产线</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裁边修剪</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边角料S5-1</w:t>
                  </w:r>
                </w:p>
              </w:tc>
              <w:tc>
                <w:tcPr>
                  <w:tcW w:w="1363" w:type="dxa"/>
                  <w:vMerge w:val="restart"/>
                  <w:tcBorders>
                    <w:top w:val="single" w:color="auto" w:sz="6" w:space="0"/>
                    <w:left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900-006-S17</w:t>
                  </w:r>
                </w:p>
                <w:p>
                  <w:pPr>
                    <w:topLinePunct/>
                    <w:spacing w:after="0" w:line="300" w:lineRule="exact"/>
                    <w:jc w:val="center"/>
                    <w:rPr>
                      <w:rFonts w:hint="default" w:ascii="Times New Roman" w:hAnsi="Times New Roman" w:eastAsia="宋体" w:cs="Times New Roman"/>
                      <w:sz w:val="21"/>
                      <w:szCs w:val="21"/>
                    </w:rPr>
                  </w:pP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物资回收公司</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vMerge w:val="continue"/>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外观检查</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不合格品S5-2</w:t>
                  </w:r>
                </w:p>
              </w:tc>
              <w:tc>
                <w:tcPr>
                  <w:tcW w:w="1363" w:type="dxa"/>
                  <w:vMerge w:val="continue"/>
                  <w:tcBorders>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物资回收公司</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50" w:hRule="atLeast"/>
                <w:jc w:val="center"/>
              </w:trPr>
              <w:tc>
                <w:tcPr>
                  <w:tcW w:w="736" w:type="dxa"/>
                  <w:vMerge w:val="restart"/>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废气治理设备</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袋式除尘</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除尘灰S7</w:t>
                  </w:r>
                </w:p>
              </w:tc>
              <w:tc>
                <w:tcPr>
                  <w:tcW w:w="1363" w:type="dxa"/>
                  <w:vMerge w:val="restart"/>
                  <w:tcBorders>
                    <w:top w:val="single" w:color="auto" w:sz="6" w:space="0"/>
                    <w:left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900-009-S59</w:t>
                  </w:r>
                </w:p>
                <w:p>
                  <w:pPr>
                    <w:topLinePunct/>
                    <w:spacing w:after="0" w:line="300" w:lineRule="exact"/>
                    <w:jc w:val="center"/>
                    <w:rPr>
                      <w:rFonts w:hint="default" w:ascii="Times New Roman" w:hAnsi="Times New Roman" w:eastAsia="宋体" w:cs="Times New Roman"/>
                      <w:sz w:val="21"/>
                      <w:szCs w:val="21"/>
                    </w:rPr>
                  </w:pP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回用于</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736" w:type="dxa"/>
                  <w:vMerge w:val="continue"/>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更换布袋</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废布袋S8</w:t>
                  </w:r>
                </w:p>
              </w:tc>
              <w:tc>
                <w:tcPr>
                  <w:tcW w:w="1363" w:type="dxa"/>
                  <w:vMerge w:val="continue"/>
                  <w:tcBorders>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物资回收公司</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生产线</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设备用</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模具</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报废模具S9</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900-099-S59</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一般工业固废</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委外综合处置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物资回收公司</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设备维保</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液压设备</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废液压油S10</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HW08、900-220-08</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0.07</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0.07</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危废资质单位</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废气治理设备</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更换</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活性炭</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废活性炭S11</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HW49、900-039-49</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cs="Times New Roman" w:eastAsiaTheme="minorEastAsia"/>
                      <w:sz w:val="21"/>
                      <w:szCs w:val="21"/>
                    </w:rPr>
                    <w:t>2.111</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cs="Times New Roman" w:eastAsiaTheme="minorEastAsia"/>
                      <w:sz w:val="21"/>
                      <w:szCs w:val="21"/>
                    </w:rPr>
                    <w:t>2.111</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危废资质单位</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736" w:type="dxa"/>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模具维修设备维保</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模具维修设备维保</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含油棉纱手套S12</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HW49、900-041-49</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委外处置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危废资质单位</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6" w:type="dxa"/>
                  <w:tcBorders>
                    <w:top w:val="single" w:color="auto" w:sz="6" w:space="0"/>
                    <w:left w:val="nil"/>
                    <w:bottom w:val="single" w:color="auto" w:sz="6" w:space="0"/>
                    <w:right w:val="single" w:color="auto" w:sz="6" w:space="0"/>
                    <w:tl2br w:val="nil"/>
                    <w:tr2bl w:val="nil"/>
                  </w:tcBorders>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全厂</w:t>
                  </w:r>
                </w:p>
              </w:tc>
              <w:tc>
                <w:tcPr>
                  <w:tcW w:w="114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全厂</w:t>
                  </w:r>
                </w:p>
              </w:tc>
              <w:tc>
                <w:tcPr>
                  <w:tcW w:w="1052"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生活垃圾S13</w:t>
                  </w:r>
                </w:p>
              </w:tc>
              <w:tc>
                <w:tcPr>
                  <w:tcW w:w="13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900-002-S61</w:t>
                  </w:r>
                </w:p>
              </w:tc>
              <w:tc>
                <w:tcPr>
                  <w:tcW w:w="10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863"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1021"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环卫处置</w:t>
                  </w:r>
                </w:p>
              </w:tc>
              <w:tc>
                <w:tcPr>
                  <w:tcW w:w="83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996"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环卫</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部门</w:t>
                  </w:r>
                </w:p>
              </w:tc>
            </w:tr>
          </w:tbl>
          <w:p>
            <w:pPr>
              <w:spacing w:after="0" w:line="420" w:lineRule="exact"/>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本项目固废排放信息，见表4.2-2</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spacing w:after="0" w:line="420" w:lineRule="exact"/>
              <w:ind w:firstLine="240" w:firstLineChars="1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表4.2-2</w:t>
            </w: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 xml:space="preserve">  本项目危险废物产生情况汇总表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66"/>
              <w:gridCol w:w="793"/>
              <w:gridCol w:w="1169"/>
              <w:gridCol w:w="721"/>
              <w:gridCol w:w="723"/>
              <w:gridCol w:w="578"/>
              <w:gridCol w:w="867"/>
              <w:gridCol w:w="867"/>
              <w:gridCol w:w="578"/>
              <w:gridCol w:w="578"/>
              <w:gridCol w:w="9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266"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危险废物名称及编号</w:t>
                  </w:r>
                </w:p>
              </w:tc>
              <w:tc>
                <w:tcPr>
                  <w:tcW w:w="793"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危险废物类别</w:t>
                  </w:r>
                </w:p>
              </w:tc>
              <w:tc>
                <w:tcPr>
                  <w:tcW w:w="1169"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危险废物代码</w:t>
                  </w:r>
                </w:p>
              </w:tc>
              <w:tc>
                <w:tcPr>
                  <w:tcW w:w="721"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产生量（吨/年）</w:t>
                  </w:r>
                </w:p>
              </w:tc>
              <w:tc>
                <w:tcPr>
                  <w:tcW w:w="723"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产生工序及装置</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形态</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主要成分</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有害成分</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产废周期</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特性</w:t>
                  </w:r>
                </w:p>
              </w:tc>
              <w:tc>
                <w:tcPr>
                  <w:tcW w:w="912"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266"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废液压油</w:t>
                  </w:r>
                </w:p>
              </w:tc>
              <w:tc>
                <w:tcPr>
                  <w:tcW w:w="793"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HW08</w:t>
                  </w:r>
                </w:p>
              </w:tc>
              <w:tc>
                <w:tcPr>
                  <w:tcW w:w="1169"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900-220-08</w:t>
                  </w:r>
                </w:p>
              </w:tc>
              <w:tc>
                <w:tcPr>
                  <w:tcW w:w="721"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0.07</w:t>
                  </w:r>
                </w:p>
              </w:tc>
              <w:tc>
                <w:tcPr>
                  <w:tcW w:w="723" w:type="dxa"/>
                  <w:vMerge w:val="restart"/>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生产、维修</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液体</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每月</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w:t>
                  </w:r>
                </w:p>
              </w:tc>
              <w:tc>
                <w:tcPr>
                  <w:tcW w:w="912" w:type="dxa"/>
                  <w:vMerge w:val="restart"/>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暂存于危险废物暂存点，交由有资质单位处置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1266"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废油桶</w:t>
                  </w:r>
                </w:p>
              </w:tc>
              <w:tc>
                <w:tcPr>
                  <w:tcW w:w="793"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HW08</w:t>
                  </w:r>
                </w:p>
              </w:tc>
              <w:tc>
                <w:tcPr>
                  <w:tcW w:w="1169"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900-249-08</w:t>
                  </w:r>
                </w:p>
              </w:tc>
              <w:tc>
                <w:tcPr>
                  <w:tcW w:w="721"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723" w:type="dxa"/>
                  <w:vMerge w:val="continue"/>
                  <w:vAlign w:val="center"/>
                </w:tcPr>
                <w:p>
                  <w:pPr>
                    <w:topLinePunct/>
                    <w:spacing w:after="0" w:line="300" w:lineRule="exact"/>
                    <w:jc w:val="center"/>
                    <w:rPr>
                      <w:rFonts w:hint="default" w:ascii="Times New Roman" w:hAnsi="Times New Roman" w:eastAsia="宋体" w:cs="Times New Roman"/>
                      <w:sz w:val="21"/>
                      <w:szCs w:val="21"/>
                    </w:rPr>
                  </w:pP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每月</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w:t>
                  </w:r>
                </w:p>
              </w:tc>
              <w:tc>
                <w:tcPr>
                  <w:tcW w:w="912" w:type="dxa"/>
                  <w:vMerge w:val="continue"/>
                  <w:vAlign w:val="center"/>
                </w:tcPr>
                <w:p>
                  <w:pPr>
                    <w:topLinePunct/>
                    <w:spacing w:after="0" w:line="300" w:lineRule="exact"/>
                    <w:jc w:val="center"/>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9" w:hRule="atLeast"/>
                <w:jc w:val="center"/>
              </w:trPr>
              <w:tc>
                <w:tcPr>
                  <w:tcW w:w="1266"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废棉纱手套</w:t>
                  </w:r>
                </w:p>
              </w:tc>
              <w:tc>
                <w:tcPr>
                  <w:tcW w:w="793"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w:t>
                  </w:r>
                </w:p>
              </w:tc>
              <w:tc>
                <w:tcPr>
                  <w:tcW w:w="1169"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900-041-49</w:t>
                  </w:r>
                </w:p>
              </w:tc>
              <w:tc>
                <w:tcPr>
                  <w:tcW w:w="721"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723"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生产、维修</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矿物油、棉</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两月</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T/In</w:t>
                  </w:r>
                </w:p>
              </w:tc>
              <w:tc>
                <w:tcPr>
                  <w:tcW w:w="912" w:type="dxa"/>
                  <w:vMerge w:val="continue"/>
                  <w:vAlign w:val="center"/>
                </w:tcPr>
                <w:p>
                  <w:pPr>
                    <w:topLinePunct/>
                    <w:spacing w:after="0" w:line="300" w:lineRule="exact"/>
                    <w:jc w:val="center"/>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 w:hRule="atLeast"/>
                <w:jc w:val="center"/>
              </w:trPr>
              <w:tc>
                <w:tcPr>
                  <w:tcW w:w="1266"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793"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w:t>
                  </w:r>
                </w:p>
              </w:tc>
              <w:tc>
                <w:tcPr>
                  <w:tcW w:w="1169"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900-039-49</w:t>
                  </w:r>
                </w:p>
              </w:tc>
              <w:tc>
                <w:tcPr>
                  <w:tcW w:w="721"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cs="Times New Roman" w:eastAsiaTheme="minorEastAsia"/>
                      <w:sz w:val="21"/>
                      <w:szCs w:val="21"/>
                    </w:rPr>
                    <w:t>2.111</w:t>
                  </w:r>
                </w:p>
              </w:tc>
              <w:tc>
                <w:tcPr>
                  <w:tcW w:w="723"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废气处理</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867"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cs="Times New Roman" w:eastAsiaTheme="minorEastAsia"/>
                      <w:bCs/>
                      <w:szCs w:val="21"/>
                    </w:rPr>
                    <w:t>三月</w:t>
                  </w:r>
                </w:p>
              </w:tc>
              <w:tc>
                <w:tcPr>
                  <w:tcW w:w="578" w:type="dxa"/>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w:t>
                  </w:r>
                </w:p>
              </w:tc>
              <w:tc>
                <w:tcPr>
                  <w:tcW w:w="912" w:type="dxa"/>
                  <w:vMerge w:val="continue"/>
                  <w:vAlign w:val="center"/>
                </w:tcPr>
                <w:p>
                  <w:pPr>
                    <w:topLinePunct/>
                    <w:spacing w:after="0" w:line="300" w:lineRule="exact"/>
                    <w:jc w:val="center"/>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 w:hRule="atLeast"/>
                <w:jc w:val="center"/>
              </w:trPr>
              <w:tc>
                <w:tcPr>
                  <w:tcW w:w="9052" w:type="dxa"/>
                  <w:gridSpan w:val="11"/>
                  <w:vAlign w:val="center"/>
                </w:tcPr>
                <w:p>
                  <w:pPr>
                    <w:topLinePunct/>
                    <w:spacing w:after="0" w:line="3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备注：T 表示毒性，I 表示易燃性，C 表示腐蚀性，In 表示感染性</w:t>
                  </w:r>
                </w:p>
              </w:tc>
            </w:tr>
          </w:tbl>
          <w:p>
            <w:pPr>
              <w:spacing w:after="0" w:line="420" w:lineRule="exact"/>
              <w:rPr>
                <w:rFonts w:hint="default" w:ascii="Times New Roman" w:hAnsi="Times New Roman" w:eastAsia="宋体" w:cs="Times New Roman"/>
                <w:b/>
                <w:kern w:val="2"/>
                <w:sz w:val="24"/>
                <w:szCs w:val="24"/>
                <w:lang w:val="en-GB"/>
              </w:rPr>
            </w:pPr>
            <w:r>
              <w:rPr>
                <w:rFonts w:hint="default" w:ascii="Times New Roman" w:hAnsi="Times New Roman" w:eastAsia="宋体" w:cs="Times New Roman"/>
                <w:b/>
                <w:kern w:val="2"/>
                <w:sz w:val="24"/>
                <w:szCs w:val="24"/>
                <w:lang w:val="en-GB"/>
              </w:rPr>
              <w:t>4.2.4.2固体废物处置、暂存措施及环境管理要求</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1、一般工业固废</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固废暂存点应符合《一般工业固体废物贮存和填埋污染控制标准》（GB18599-2020）提出的环保要求：防粉尘污染、防流失、防雨水进入；贮存应设置环境保护图形的警示、提示标志（环境保护图形标准（GB15562.2-1992)；堆场不得混入生活垃圾或危险废物。</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2、危险废物</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危废贮存点的设置必须严格按照《危险废物污染防治技术政策》和《危险废物贮存污染控制标准》（GB18597-2023）要求设置，危废转运按照《危险废物转移联单管理办法》进行，最终得到安全处置。危险废物贮存和转运过程需满足以下要求：</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①贮存设施应根据危险废物的形态、物理化学性质、包装形式和污染物迁移途径，采取必要的防风、防晒、防雨、防漏、防渗、防腐以及其他环境污染防治措施，不应露天堆放危险废物。</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②贮存设施应根据危险废物的类别、数量、形态、物理化学性质和污染防治等要求设置必要的贮存分区，避免不相容的危险废物接触、混合。</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③贮存设施或贮存分区内地面、墙面裙脚、堵截泄漏的围堰、接触危险废物的隔板和墙体等应采用坚固的材料建造，表面无裂缝。</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sz w:val="24"/>
                <w:szCs w:val="24"/>
                <w:vertAlign w:val="superscript"/>
              </w:rPr>
              <w:t>-7</w:t>
            </w:r>
            <w:r>
              <w:rPr>
                <w:rFonts w:hint="default" w:ascii="Times New Roman" w:hAnsi="Times New Roman" w:eastAsia="宋体" w:cs="Times New Roman"/>
                <w:sz w:val="24"/>
                <w:szCs w:val="24"/>
              </w:rPr>
              <w:t>cm/s），或至少2mm厚高密度聚乙烯膜等人工防渗材料（渗透系数不大于10</w:t>
            </w:r>
            <w:r>
              <w:rPr>
                <w:rFonts w:hint="default" w:ascii="Times New Roman" w:hAnsi="Times New Roman" w:eastAsia="宋体" w:cs="Times New Roman"/>
                <w:sz w:val="24"/>
                <w:szCs w:val="24"/>
                <w:vertAlign w:val="superscript"/>
              </w:rPr>
              <w:t>-10</w:t>
            </w:r>
            <w:r>
              <w:rPr>
                <w:rFonts w:hint="default" w:ascii="Times New Roman" w:hAnsi="Times New Roman" w:eastAsia="宋体" w:cs="Times New Roman"/>
                <w:sz w:val="24"/>
                <w:szCs w:val="24"/>
              </w:rPr>
              <w:t>cm/s），或其他防渗性能等效的材料。</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⑤同一贮存设施宜采用相同的防渗、防腐工艺（包括防渗、防腐结构或材料），防渗、防腐材料应覆盖所有可能与废物及其渗滤液、渗漏液等接触的构筑物表面；采用不同防渗、防腐工艺应分别建设贮存分区。</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⑥内部转运应当使用防渗漏、防遗撒的专用运送工具。转运尽量选择人少的时间转运，转运过程中正确装卸，避免遗撒。转运工作人员做好个人保护措施。</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⑦做好危废转移记录及相关电子转移联单，制定环保管理制度。</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3、生活垃圾</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生活垃圾由垃圾桶分类收集后交由环卫部门处理。</w:t>
            </w:r>
          </w:p>
          <w:p>
            <w:pPr>
              <w:spacing w:after="0"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采取以上措施合理处置后固体废物不会对周边环境造成较大影响。</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本项目危险废物贮存场所（设施）基本情况表见表4.2-2</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p>
          <w:p>
            <w:pPr>
              <w:spacing w:after="0" w:line="420" w:lineRule="exact"/>
              <w:jc w:val="center"/>
              <w:rPr>
                <w:rFonts w:hint="default" w:ascii="Times New Roman" w:hAnsi="Times New Roman" w:eastAsia="宋体" w:cs="Times New Roman"/>
                <w:b/>
                <w:sz w:val="24"/>
                <w:szCs w:val="24"/>
              </w:rPr>
            </w:pPr>
            <w:r>
              <w:rPr>
                <w:rFonts w:hint="default" w:ascii="Times New Roman" w:hAnsi="Times New Roman" w:cs="Times New Roman" w:eastAsiaTheme="minorEastAsia"/>
                <w:b/>
                <w:sz w:val="24"/>
                <w:szCs w:val="24"/>
              </w:rPr>
              <w:t>表4.2-2</w:t>
            </w:r>
            <w:r>
              <w:rPr>
                <w:rFonts w:hint="default" w:ascii="Times New Roman" w:hAnsi="Times New Roman" w:cs="Times New Roman" w:eastAsiaTheme="minorEastAsia"/>
                <w:b/>
                <w:sz w:val="24"/>
                <w:szCs w:val="24"/>
                <w:lang w:val="en-US" w:eastAsia="zh-CN"/>
              </w:rPr>
              <w:t>6</w:t>
            </w:r>
            <w:r>
              <w:rPr>
                <w:rFonts w:hint="default" w:ascii="Times New Roman" w:hAnsi="Times New Roman" w:cs="Times New Roman" w:eastAsiaTheme="minorEastAsia"/>
                <w:b/>
                <w:sz w:val="24"/>
                <w:szCs w:val="24"/>
              </w:rPr>
              <w:t xml:space="preserve">  </w:t>
            </w:r>
            <w:r>
              <w:rPr>
                <w:rFonts w:hint="default" w:ascii="Times New Roman" w:hAnsi="Times New Roman" w:eastAsia="宋体" w:cs="Times New Roman"/>
                <w:b/>
                <w:kern w:val="2"/>
                <w:sz w:val="24"/>
                <w:szCs w:val="24"/>
                <w:lang w:bidi="ar"/>
              </w:rPr>
              <w:t>新建危废贮存点基本情况</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947"/>
              <w:gridCol w:w="1178"/>
              <w:gridCol w:w="1062"/>
              <w:gridCol w:w="1244"/>
              <w:gridCol w:w="881"/>
              <w:gridCol w:w="748"/>
              <w:gridCol w:w="1145"/>
              <w:gridCol w:w="1108"/>
              <w:gridCol w:w="75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0" w:type="auto"/>
                  <w:tcMar>
                    <w:top w:w="0" w:type="dxa"/>
                    <w:left w:w="0" w:type="dxa"/>
                    <w:bottom w:w="0" w:type="dxa"/>
                    <w:right w:w="0" w:type="dxa"/>
                  </w:tcMar>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贮存场所名称</w:t>
                  </w:r>
                </w:p>
              </w:tc>
              <w:tc>
                <w:tcPr>
                  <w:tcW w:w="117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危险废物名称</w:t>
                  </w:r>
                </w:p>
              </w:tc>
              <w:tc>
                <w:tcPr>
                  <w:tcW w:w="1062"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危险废物类别</w:t>
                  </w:r>
                </w:p>
              </w:tc>
              <w:tc>
                <w:tcPr>
                  <w:tcW w:w="1244"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危险废物</w:t>
                  </w:r>
                </w:p>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代码</w:t>
                  </w:r>
                </w:p>
              </w:tc>
              <w:tc>
                <w:tcPr>
                  <w:tcW w:w="881"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位置</w:t>
                  </w:r>
                </w:p>
              </w:tc>
              <w:tc>
                <w:tcPr>
                  <w:tcW w:w="74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占地面积</w:t>
                  </w:r>
                </w:p>
              </w:tc>
              <w:tc>
                <w:tcPr>
                  <w:tcW w:w="1145"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贮存方式</w:t>
                  </w:r>
                </w:p>
              </w:tc>
              <w:tc>
                <w:tcPr>
                  <w:tcW w:w="110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贮存能力</w:t>
                  </w:r>
                </w:p>
              </w:tc>
              <w:tc>
                <w:tcPr>
                  <w:tcW w:w="75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贮存周期</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47" w:type="dxa"/>
                  <w:vMerge w:val="restart"/>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危废</w:t>
                  </w:r>
                </w:p>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暂存间</w:t>
                  </w:r>
                </w:p>
              </w:tc>
              <w:tc>
                <w:tcPr>
                  <w:tcW w:w="117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废弃油桶</w:t>
                  </w:r>
                </w:p>
              </w:tc>
              <w:tc>
                <w:tcPr>
                  <w:tcW w:w="1062"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HW08</w:t>
                  </w:r>
                </w:p>
              </w:tc>
              <w:tc>
                <w:tcPr>
                  <w:tcW w:w="1244"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900-249-08</w:t>
                  </w:r>
                </w:p>
              </w:tc>
              <w:tc>
                <w:tcPr>
                  <w:tcW w:w="881" w:type="dxa"/>
                  <w:vMerge w:val="restart"/>
                  <w:vAlign w:val="center"/>
                </w:tcPr>
                <w:p>
                  <w:pPr>
                    <w:topLinePunct/>
                    <w:spacing w:after="0" w:line="300" w:lineRule="exact"/>
                    <w:jc w:val="center"/>
                    <w:rPr>
                      <w:rFonts w:hint="default" w:ascii="Times New Roman" w:hAnsi="Times New Roman" w:cs="Times New Roman" w:eastAsiaTheme="minorEastAsia"/>
                      <w:sz w:val="21"/>
                      <w:szCs w:val="21"/>
                    </w:rPr>
                  </w:pPr>
                </w:p>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厂房</w:t>
                  </w:r>
                </w:p>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北侧</w:t>
                  </w:r>
                </w:p>
              </w:tc>
              <w:tc>
                <w:tcPr>
                  <w:tcW w:w="748" w:type="dxa"/>
                  <w:vMerge w:val="restart"/>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1145"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直接存放</w:t>
                  </w:r>
                </w:p>
              </w:tc>
              <w:tc>
                <w:tcPr>
                  <w:tcW w:w="110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5个</w:t>
                  </w:r>
                </w:p>
              </w:tc>
              <w:tc>
                <w:tcPr>
                  <w:tcW w:w="75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47" w:type="dxa"/>
                  <w:vMerge w:val="continue"/>
                  <w:vAlign w:val="center"/>
                </w:tcPr>
                <w:p>
                  <w:pPr>
                    <w:topLinePunct/>
                    <w:spacing w:after="0" w:line="300" w:lineRule="exact"/>
                    <w:jc w:val="center"/>
                    <w:rPr>
                      <w:rFonts w:hint="default" w:ascii="Times New Roman" w:hAnsi="Times New Roman" w:cs="Times New Roman" w:eastAsiaTheme="minorEastAsia"/>
                      <w:sz w:val="21"/>
                      <w:szCs w:val="21"/>
                    </w:rPr>
                  </w:pPr>
                </w:p>
              </w:tc>
              <w:tc>
                <w:tcPr>
                  <w:tcW w:w="117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废液压油</w:t>
                  </w:r>
                </w:p>
              </w:tc>
              <w:tc>
                <w:tcPr>
                  <w:tcW w:w="1062"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HW08</w:t>
                  </w:r>
                </w:p>
              </w:tc>
              <w:tc>
                <w:tcPr>
                  <w:tcW w:w="1244"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900-220-08</w:t>
                  </w:r>
                </w:p>
              </w:tc>
              <w:tc>
                <w:tcPr>
                  <w:tcW w:w="881" w:type="dxa"/>
                  <w:vMerge w:val="continue"/>
                  <w:vAlign w:val="center"/>
                </w:tcPr>
                <w:p>
                  <w:pPr>
                    <w:topLinePunct/>
                    <w:spacing w:after="0" w:line="300" w:lineRule="exact"/>
                    <w:jc w:val="center"/>
                    <w:rPr>
                      <w:rFonts w:hint="default" w:ascii="Times New Roman" w:hAnsi="Times New Roman" w:cs="Times New Roman" w:eastAsiaTheme="minorEastAsia"/>
                      <w:sz w:val="21"/>
                      <w:szCs w:val="21"/>
                    </w:rPr>
                  </w:pPr>
                </w:p>
              </w:tc>
              <w:tc>
                <w:tcPr>
                  <w:tcW w:w="748" w:type="dxa"/>
                  <w:vMerge w:val="continue"/>
                  <w:vAlign w:val="center"/>
                </w:tcPr>
                <w:p>
                  <w:pPr>
                    <w:topLinePunct/>
                    <w:spacing w:after="0" w:line="300" w:lineRule="exact"/>
                    <w:jc w:val="center"/>
                    <w:rPr>
                      <w:rFonts w:hint="default" w:ascii="Times New Roman" w:hAnsi="Times New Roman" w:cs="Times New Roman" w:eastAsiaTheme="minorEastAsia"/>
                      <w:sz w:val="21"/>
                      <w:szCs w:val="21"/>
                    </w:rPr>
                  </w:pPr>
                </w:p>
              </w:tc>
              <w:tc>
                <w:tcPr>
                  <w:tcW w:w="1145"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桶装</w:t>
                  </w:r>
                </w:p>
              </w:tc>
              <w:tc>
                <w:tcPr>
                  <w:tcW w:w="110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200L/桶，1桶</w:t>
                  </w:r>
                </w:p>
              </w:tc>
              <w:tc>
                <w:tcPr>
                  <w:tcW w:w="75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47" w:type="dxa"/>
                  <w:vMerge w:val="continue"/>
                  <w:vAlign w:val="center"/>
                </w:tcPr>
                <w:p>
                  <w:pPr>
                    <w:topLinePunct/>
                    <w:spacing w:after="0" w:line="300" w:lineRule="exact"/>
                    <w:jc w:val="center"/>
                    <w:rPr>
                      <w:rFonts w:hint="default" w:ascii="Times New Roman" w:hAnsi="Times New Roman" w:cs="Times New Roman" w:eastAsiaTheme="minorEastAsia"/>
                      <w:sz w:val="21"/>
                      <w:szCs w:val="21"/>
                    </w:rPr>
                  </w:pPr>
                </w:p>
              </w:tc>
              <w:tc>
                <w:tcPr>
                  <w:tcW w:w="117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废活性炭</w:t>
                  </w:r>
                </w:p>
              </w:tc>
              <w:tc>
                <w:tcPr>
                  <w:tcW w:w="1062"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HW49</w:t>
                  </w:r>
                </w:p>
              </w:tc>
              <w:tc>
                <w:tcPr>
                  <w:tcW w:w="1244"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900-039-49</w:t>
                  </w:r>
                </w:p>
              </w:tc>
              <w:tc>
                <w:tcPr>
                  <w:tcW w:w="881" w:type="dxa"/>
                  <w:vMerge w:val="continue"/>
                  <w:vAlign w:val="center"/>
                </w:tcPr>
                <w:p>
                  <w:pPr>
                    <w:topLinePunct/>
                    <w:spacing w:after="0" w:line="300" w:lineRule="exact"/>
                    <w:jc w:val="center"/>
                    <w:rPr>
                      <w:rFonts w:hint="default" w:ascii="Times New Roman" w:hAnsi="Times New Roman" w:cs="Times New Roman" w:eastAsiaTheme="minorEastAsia"/>
                      <w:sz w:val="21"/>
                      <w:szCs w:val="21"/>
                    </w:rPr>
                  </w:pPr>
                </w:p>
              </w:tc>
              <w:tc>
                <w:tcPr>
                  <w:tcW w:w="748" w:type="dxa"/>
                  <w:vMerge w:val="continue"/>
                  <w:vAlign w:val="center"/>
                </w:tcPr>
                <w:p>
                  <w:pPr>
                    <w:topLinePunct/>
                    <w:spacing w:after="0" w:line="300" w:lineRule="exact"/>
                    <w:jc w:val="center"/>
                    <w:rPr>
                      <w:rFonts w:hint="default" w:ascii="Times New Roman" w:hAnsi="Times New Roman" w:cs="Times New Roman" w:eastAsiaTheme="minorEastAsia"/>
                      <w:sz w:val="21"/>
                      <w:szCs w:val="21"/>
                    </w:rPr>
                  </w:pPr>
                </w:p>
              </w:tc>
              <w:tc>
                <w:tcPr>
                  <w:tcW w:w="1145"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袋装</w:t>
                  </w:r>
                </w:p>
              </w:tc>
              <w:tc>
                <w:tcPr>
                  <w:tcW w:w="110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25kg/袋，14袋</w:t>
                  </w:r>
                </w:p>
              </w:tc>
              <w:tc>
                <w:tcPr>
                  <w:tcW w:w="75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47" w:type="dxa"/>
                  <w:vMerge w:val="continue"/>
                  <w:vAlign w:val="center"/>
                </w:tcPr>
                <w:p>
                  <w:pPr>
                    <w:topLinePunct/>
                    <w:spacing w:after="0" w:line="300" w:lineRule="exact"/>
                    <w:jc w:val="center"/>
                    <w:rPr>
                      <w:rFonts w:hint="default" w:ascii="Times New Roman" w:hAnsi="Times New Roman" w:cs="Times New Roman" w:eastAsiaTheme="minorEastAsia"/>
                      <w:sz w:val="21"/>
                      <w:szCs w:val="21"/>
                    </w:rPr>
                  </w:pPr>
                </w:p>
              </w:tc>
              <w:tc>
                <w:tcPr>
                  <w:tcW w:w="117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废油棉纱手套</w:t>
                  </w:r>
                </w:p>
              </w:tc>
              <w:tc>
                <w:tcPr>
                  <w:tcW w:w="1062" w:type="dxa"/>
                  <w:vAlign w:val="center"/>
                </w:tcPr>
                <w:p>
                  <w:pPr>
                    <w:topLinePunct/>
                    <w:spacing w:after="0" w:line="300" w:lineRule="exact"/>
                    <w:jc w:val="center"/>
                    <w:rPr>
                      <w:rFonts w:hint="default" w:ascii="Times New Roman" w:hAnsi="Times New Roman" w:eastAsia="宋体" w:cs="Times New Roman"/>
                      <w:kern w:val="2"/>
                      <w:sz w:val="21"/>
                      <w:szCs w:val="21"/>
                      <w:lang w:bidi="ar"/>
                    </w:rPr>
                  </w:pPr>
                  <w:r>
                    <w:rPr>
                      <w:rFonts w:hint="default" w:ascii="Times New Roman" w:hAnsi="Times New Roman" w:cs="Times New Roman" w:eastAsiaTheme="minorEastAsia"/>
                      <w:sz w:val="21"/>
                      <w:szCs w:val="21"/>
                    </w:rPr>
                    <w:t>HW49</w:t>
                  </w:r>
                </w:p>
              </w:tc>
              <w:tc>
                <w:tcPr>
                  <w:tcW w:w="1244" w:type="dxa"/>
                  <w:vAlign w:val="center"/>
                </w:tcPr>
                <w:p>
                  <w:pPr>
                    <w:topLinePunct/>
                    <w:spacing w:after="0" w:line="300" w:lineRule="exact"/>
                    <w:jc w:val="center"/>
                    <w:rPr>
                      <w:rFonts w:hint="default" w:ascii="Times New Roman" w:hAnsi="Times New Roman" w:eastAsia="宋体" w:cs="Times New Roman"/>
                      <w:kern w:val="2"/>
                      <w:sz w:val="21"/>
                      <w:szCs w:val="21"/>
                      <w:lang w:bidi="ar"/>
                    </w:rPr>
                  </w:pPr>
                  <w:r>
                    <w:rPr>
                      <w:rFonts w:hint="default" w:ascii="Times New Roman" w:hAnsi="Times New Roman" w:cs="Times New Roman" w:eastAsiaTheme="minorEastAsia"/>
                      <w:sz w:val="21"/>
                      <w:szCs w:val="21"/>
                    </w:rPr>
                    <w:t>900-041-49</w:t>
                  </w:r>
                </w:p>
              </w:tc>
              <w:tc>
                <w:tcPr>
                  <w:tcW w:w="881" w:type="dxa"/>
                  <w:vMerge w:val="continue"/>
                  <w:vAlign w:val="center"/>
                </w:tcPr>
                <w:p>
                  <w:pPr>
                    <w:topLinePunct/>
                    <w:spacing w:after="0" w:line="300" w:lineRule="exact"/>
                    <w:jc w:val="center"/>
                    <w:rPr>
                      <w:rFonts w:hint="default" w:ascii="Times New Roman" w:hAnsi="Times New Roman" w:cs="Times New Roman" w:eastAsiaTheme="minorEastAsia"/>
                      <w:sz w:val="21"/>
                      <w:szCs w:val="21"/>
                    </w:rPr>
                  </w:pPr>
                </w:p>
              </w:tc>
              <w:tc>
                <w:tcPr>
                  <w:tcW w:w="748" w:type="dxa"/>
                  <w:vMerge w:val="continue"/>
                  <w:vAlign w:val="center"/>
                </w:tcPr>
                <w:p>
                  <w:pPr>
                    <w:topLinePunct/>
                    <w:spacing w:after="0" w:line="300" w:lineRule="exact"/>
                    <w:jc w:val="center"/>
                    <w:rPr>
                      <w:rFonts w:hint="default" w:ascii="Times New Roman" w:hAnsi="Times New Roman" w:cs="Times New Roman" w:eastAsiaTheme="minorEastAsia"/>
                      <w:sz w:val="21"/>
                      <w:szCs w:val="21"/>
                    </w:rPr>
                  </w:pPr>
                </w:p>
              </w:tc>
              <w:tc>
                <w:tcPr>
                  <w:tcW w:w="1145"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袋装</w:t>
                  </w:r>
                </w:p>
              </w:tc>
              <w:tc>
                <w:tcPr>
                  <w:tcW w:w="110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25kg/袋，1袋</w:t>
                  </w:r>
                </w:p>
              </w:tc>
              <w:tc>
                <w:tcPr>
                  <w:tcW w:w="75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1年</w:t>
                  </w:r>
                </w:p>
              </w:tc>
            </w:tr>
          </w:tbl>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4.2.5环境风险</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风险评价以突发性事故导致危险物质环境急性损害防控为目标，对建设项目的环境风险进行分析、预测和评估，提出环境风险预防、控制、减缓措施，明确环境风险监控及应急建设要求，为建设项目环境风险防控提供科学依据。</w:t>
            </w:r>
          </w:p>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4.2.5.1风险调查</w:t>
            </w:r>
          </w:p>
          <w:p>
            <w:pPr>
              <w:spacing w:after="0"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根据HJ169-2018《建设项目环境风险评价技术导则》及危险物质MSDS，风险源调查项目涉及危险物质数量和分布情况、生产工艺特点，项目涉及危险物质及其危险性见表4.2-2</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w:t>
            </w:r>
          </w:p>
          <w:p>
            <w:pPr>
              <w:spacing w:after="0" w:line="420" w:lineRule="exact"/>
              <w:jc w:val="center"/>
              <w:rPr>
                <w:rFonts w:hint="default" w:ascii="Times New Roman" w:hAnsi="Times New Roman" w:eastAsia="宋体" w:cs="Times New Roman"/>
                <w:b/>
                <w:kern w:val="2"/>
                <w:sz w:val="24"/>
                <w:szCs w:val="24"/>
                <w:lang w:bidi="ar"/>
              </w:rPr>
            </w:pPr>
            <w:r>
              <w:rPr>
                <w:rFonts w:hint="default" w:ascii="Times New Roman" w:hAnsi="Times New Roman" w:eastAsia="宋体" w:cs="Times New Roman"/>
                <w:b/>
                <w:kern w:val="2"/>
                <w:sz w:val="24"/>
                <w:szCs w:val="24"/>
                <w:lang w:bidi="ar"/>
              </w:rPr>
              <w:t>表4.2-2</w:t>
            </w:r>
            <w:r>
              <w:rPr>
                <w:rFonts w:hint="default" w:ascii="Times New Roman" w:hAnsi="Times New Roman" w:eastAsia="宋体" w:cs="Times New Roman"/>
                <w:b/>
                <w:kern w:val="2"/>
                <w:sz w:val="24"/>
                <w:szCs w:val="24"/>
                <w:lang w:val="en-US" w:eastAsia="zh-CN" w:bidi="ar"/>
              </w:rPr>
              <w:t>7</w:t>
            </w:r>
            <w:r>
              <w:rPr>
                <w:rFonts w:hint="default" w:ascii="Times New Roman" w:hAnsi="Times New Roman" w:eastAsia="宋体" w:cs="Times New Roman"/>
                <w:b/>
                <w:kern w:val="2"/>
                <w:sz w:val="24"/>
                <w:szCs w:val="24"/>
                <w:lang w:bidi="ar"/>
              </w:rPr>
              <w:t xml:space="preserve">  危险物质及其危险性</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907"/>
              <w:gridCol w:w="1074"/>
              <w:gridCol w:w="3784"/>
              <w:gridCol w:w="1547"/>
              <w:gridCol w:w="176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vMerge w:val="restart"/>
                  <w:tcBorders>
                    <w:top w:val="single" w:color="auto" w:sz="4"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物质</w:t>
                  </w:r>
                </w:p>
              </w:tc>
              <w:tc>
                <w:tcPr>
                  <w:tcW w:w="1074" w:type="dxa"/>
                  <w:vMerge w:val="restart"/>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CAS号</w:t>
                  </w:r>
                </w:p>
              </w:tc>
              <w:tc>
                <w:tcPr>
                  <w:tcW w:w="3784" w:type="dxa"/>
                  <w:vMerge w:val="restart"/>
                  <w:tcBorders>
                    <w:top w:val="single" w:color="auto" w:sz="4"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理化特性</w:t>
                  </w:r>
                </w:p>
              </w:tc>
              <w:tc>
                <w:tcPr>
                  <w:tcW w:w="3307" w:type="dxa"/>
                  <w:gridSpan w:val="2"/>
                  <w:tcBorders>
                    <w:top w:val="single" w:color="auto" w:sz="4"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危险特性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vMerge w:val="continue"/>
                  <w:tcBorders>
                    <w:top w:val="single" w:color="auto" w:sz="6"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1074" w:type="dxa"/>
                  <w:vMerge w:val="continue"/>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3784" w:type="dxa"/>
                  <w:vMerge w:val="continue"/>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p>
              </w:tc>
              <w:tc>
                <w:tcPr>
                  <w:tcW w:w="154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健康危害</w:t>
                  </w:r>
                </w:p>
              </w:tc>
              <w:tc>
                <w:tcPr>
                  <w:tcW w:w="1760"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危害水生环境</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tcBorders>
                    <w:top w:val="single" w:color="auto" w:sz="6"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炭黑</w:t>
                  </w:r>
                </w:p>
              </w:tc>
              <w:tc>
                <w:tcPr>
                  <w:tcW w:w="107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1333-86-4</w:t>
                  </w:r>
                </w:p>
              </w:tc>
              <w:tc>
                <w:tcPr>
                  <w:tcW w:w="378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黑色粉末，</w:t>
                  </w:r>
                  <w:r>
                    <w:rPr>
                      <w:rFonts w:hint="default" w:ascii="Times New Roman" w:hAnsi="Times New Roman" w:eastAsia="宋体" w:cs="Times New Roman"/>
                      <w:sz w:val="21"/>
                      <w:szCs w:val="21"/>
                    </w:rPr>
                    <w:t>初沸点和沸程4200℃，不溶于水，熔点/凝固点3550℃，</w:t>
                  </w:r>
                  <w:r>
                    <w:rPr>
                      <w:rFonts w:hint="default" w:ascii="Times New Roman" w:hAnsi="Times New Roman" w:eastAsia="宋体" w:cs="Times New Roman"/>
                      <w:sz w:val="21"/>
                      <w:szCs w:val="21"/>
                      <w:lang w:val="zh-CN"/>
                    </w:rPr>
                    <w:t>相对密度1.</w:t>
                  </w:r>
                  <w:r>
                    <w:rPr>
                      <w:rFonts w:hint="default" w:ascii="Times New Roman" w:hAnsi="Times New Roman" w:eastAsia="宋体" w:cs="Times New Roman"/>
                      <w:sz w:val="21"/>
                      <w:szCs w:val="21"/>
                    </w:rPr>
                    <w:t>7~1.9（20℃），闪点500℃（闭杯）</w:t>
                  </w:r>
                </w:p>
              </w:tc>
              <w:tc>
                <w:tcPr>
                  <w:tcW w:w="154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60"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tcBorders>
                    <w:top w:val="single" w:color="auto" w:sz="6"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碳酸钙</w:t>
                  </w:r>
                </w:p>
              </w:tc>
              <w:tc>
                <w:tcPr>
                  <w:tcW w:w="107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471-34-1</w:t>
                  </w:r>
                </w:p>
              </w:tc>
              <w:tc>
                <w:tcPr>
                  <w:tcW w:w="378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白色粉末，不溶于水，熔点/凝固点825℃（分解），</w:t>
                  </w:r>
                  <w:r>
                    <w:rPr>
                      <w:rFonts w:hint="default" w:ascii="Times New Roman" w:hAnsi="Times New Roman" w:eastAsia="宋体" w:cs="Times New Roman"/>
                      <w:sz w:val="21"/>
                      <w:szCs w:val="21"/>
                      <w:lang w:val="zh-CN"/>
                    </w:rPr>
                    <w:t>相对密度</w:t>
                  </w:r>
                  <w:r>
                    <w:rPr>
                      <w:rFonts w:hint="default" w:ascii="Times New Roman" w:hAnsi="Times New Roman" w:eastAsia="宋体" w:cs="Times New Roman"/>
                      <w:sz w:val="21"/>
                      <w:szCs w:val="21"/>
                    </w:rPr>
                    <w:t>2.8</w:t>
                  </w:r>
                </w:p>
              </w:tc>
              <w:tc>
                <w:tcPr>
                  <w:tcW w:w="154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60"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tcBorders>
                    <w:top w:val="single" w:color="auto" w:sz="6"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石蜡油</w:t>
                  </w:r>
                </w:p>
              </w:tc>
              <w:tc>
                <w:tcPr>
                  <w:tcW w:w="107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8012-95-1</w:t>
                  </w:r>
                </w:p>
              </w:tc>
              <w:tc>
                <w:tcPr>
                  <w:tcW w:w="378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无色粘稠液体，初沸点和沸程260℃，不溶于水，</w:t>
                  </w:r>
                  <w:r>
                    <w:rPr>
                      <w:rFonts w:hint="default" w:ascii="Times New Roman" w:hAnsi="Times New Roman" w:eastAsia="宋体" w:cs="Times New Roman"/>
                      <w:sz w:val="21"/>
                      <w:szCs w:val="21"/>
                      <w:lang w:val="zh-CN"/>
                    </w:rPr>
                    <w:t>相对密度</w:t>
                  </w:r>
                  <w:r>
                    <w:rPr>
                      <w:rFonts w:hint="default" w:ascii="Times New Roman" w:hAnsi="Times New Roman" w:eastAsia="宋体" w:cs="Times New Roman"/>
                      <w:sz w:val="21"/>
                      <w:szCs w:val="21"/>
                    </w:rPr>
                    <w:t>0.82~0.89，闪点215℃（闭杯）</w:t>
                  </w:r>
                </w:p>
              </w:tc>
              <w:tc>
                <w:tcPr>
                  <w:tcW w:w="154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吸入危害-类别1</w:t>
                  </w:r>
                </w:p>
              </w:tc>
              <w:tc>
                <w:tcPr>
                  <w:tcW w:w="1760"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tcBorders>
                    <w:top w:val="single" w:color="auto" w:sz="6"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促进剂</w:t>
                  </w:r>
                  <w:r>
                    <w:rPr>
                      <w:rFonts w:hint="default" w:ascii="Times New Roman" w:hAnsi="Times New Roman" w:eastAsia="宋体" w:cs="Times New Roman"/>
                      <w:kern w:val="2"/>
                      <w:sz w:val="21"/>
                      <w:szCs w:val="21"/>
                      <w:lang w:bidi="ar"/>
                    </w:rPr>
                    <w:t>CZ</w:t>
                  </w:r>
                </w:p>
              </w:tc>
              <w:tc>
                <w:tcPr>
                  <w:tcW w:w="107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95-33-0</w:t>
                  </w:r>
                </w:p>
              </w:tc>
              <w:tc>
                <w:tcPr>
                  <w:tcW w:w="378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白色或淡灰色粉末，不溶于水，微溶于乙醇、汽油，溶于苯、四氯化碳、丙酮、乙酸乙酯等，相对密度(水=1)：1.27(25℃)。熔点(℃)：93-100。</w:t>
                  </w:r>
                </w:p>
              </w:tc>
              <w:tc>
                <w:tcPr>
                  <w:tcW w:w="154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皮肤致敏物类别1；LD</w:t>
                  </w:r>
                  <w:r>
                    <w:rPr>
                      <w:rFonts w:hint="default" w:ascii="Times New Roman" w:hAnsi="Times New Roman" w:eastAsia="宋体" w:cs="Times New Roman"/>
                      <w:sz w:val="21"/>
                      <w:szCs w:val="21"/>
                      <w:vertAlign w:val="subscript"/>
                    </w:rPr>
                    <w:t>50</w:t>
                  </w:r>
                  <w:r>
                    <w:rPr>
                      <w:rFonts w:hint="default" w:ascii="Times New Roman" w:hAnsi="Times New Roman" w:eastAsia="宋体" w:cs="Times New Roman"/>
                      <w:sz w:val="21"/>
                      <w:szCs w:val="21"/>
                    </w:rPr>
                    <w:t>：7000mg/kg（小鼠径口），2600mg/kg（大鼠腹腔）</w:t>
                  </w:r>
                </w:p>
              </w:tc>
              <w:tc>
                <w:tcPr>
                  <w:tcW w:w="1760"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对水生环境的危害-急性危害类别1，对水生环境的危害-长期危害类别1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tcBorders>
                    <w:top w:val="single" w:color="auto" w:sz="6"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防老剂</w:t>
                  </w:r>
                  <w:r>
                    <w:rPr>
                      <w:rFonts w:hint="default" w:ascii="Times New Roman" w:hAnsi="Times New Roman" w:eastAsia="宋体" w:cs="Times New Roman"/>
                      <w:kern w:val="2"/>
                      <w:sz w:val="21"/>
                      <w:szCs w:val="21"/>
                      <w:lang w:bidi="ar"/>
                    </w:rPr>
                    <w:t>（石蜡）</w:t>
                  </w:r>
                </w:p>
              </w:tc>
              <w:tc>
                <w:tcPr>
                  <w:tcW w:w="107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8002-74-2</w:t>
                  </w:r>
                </w:p>
              </w:tc>
              <w:tc>
                <w:tcPr>
                  <w:tcW w:w="378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白色、无味的蜡状固体</w:t>
                  </w:r>
                  <w:r>
                    <w:rPr>
                      <w:rFonts w:hint="default" w:ascii="Times New Roman" w:hAnsi="Times New Roman" w:eastAsia="宋体" w:cs="Times New Roman"/>
                      <w:sz w:val="21"/>
                      <w:szCs w:val="21"/>
                    </w:rPr>
                    <w:t>，</w:t>
                  </w:r>
                  <w:r>
                    <w:rPr>
                      <w:rFonts w:hint="default" w:ascii="Times New Roman" w:hAnsi="Times New Roman" w:eastAsia="宋体" w:cs="Times New Roman"/>
                      <w:kern w:val="2"/>
                      <w:sz w:val="21"/>
                      <w:szCs w:val="21"/>
                      <w:lang w:bidi="ar"/>
                    </w:rPr>
                    <w:t>在47</w:t>
                  </w:r>
                  <w:r>
                    <w:rPr>
                      <w:rFonts w:hint="default" w:ascii="Times New Roman" w:hAnsi="Times New Roman" w:eastAsia="宋体" w:cs="Times New Roman"/>
                      <w:sz w:val="21"/>
                      <w:szCs w:val="21"/>
                    </w:rPr>
                    <w:t>℃</w:t>
                  </w:r>
                  <w:r>
                    <w:rPr>
                      <w:rFonts w:hint="default" w:ascii="Times New Roman" w:hAnsi="Times New Roman" w:eastAsia="宋体" w:cs="Times New Roman"/>
                      <w:kern w:val="2"/>
                      <w:sz w:val="21"/>
                      <w:szCs w:val="21"/>
                      <w:lang w:bidi="ar"/>
                    </w:rPr>
                    <w:t>-64</w:t>
                  </w:r>
                  <w:r>
                    <w:rPr>
                      <w:rFonts w:hint="default" w:ascii="Times New Roman" w:hAnsi="Times New Roman" w:eastAsia="宋体" w:cs="Times New Roman"/>
                      <w:sz w:val="21"/>
                      <w:szCs w:val="21"/>
                    </w:rPr>
                    <w:t>℃</w:t>
                  </w:r>
                  <w:r>
                    <w:rPr>
                      <w:rFonts w:hint="default" w:ascii="Times New Roman" w:hAnsi="Times New Roman" w:eastAsia="宋体" w:cs="Times New Roman"/>
                      <w:kern w:val="2"/>
                      <w:sz w:val="21"/>
                      <w:szCs w:val="21"/>
                      <w:lang w:bidi="ar"/>
                    </w:rPr>
                    <w:t>熔化，密度约0.9g/cm3，溶于</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"https://baike.so.com/doc/1617446-1709950.html" \t "https://baike.so.com/doc/_blank" </w:instrText>
                  </w:r>
                  <w:r>
                    <w:rPr>
                      <w:rFonts w:hint="default" w:ascii="Times New Roman" w:hAnsi="Times New Roman" w:cs="Times New Roman"/>
                    </w:rPr>
                    <w:fldChar w:fldCharType="separate"/>
                  </w:r>
                  <w:r>
                    <w:rPr>
                      <w:rFonts w:hint="default" w:ascii="Times New Roman" w:hAnsi="Times New Roman" w:eastAsia="宋体" w:cs="Times New Roman"/>
                      <w:kern w:val="2"/>
                      <w:sz w:val="21"/>
                      <w:szCs w:val="21"/>
                      <w:lang w:bidi="ar"/>
                    </w:rPr>
                    <w:t>汽油</w:t>
                  </w:r>
                  <w:r>
                    <w:rPr>
                      <w:rFonts w:hint="default" w:ascii="Times New Roman" w:hAnsi="Times New Roman" w:eastAsia="宋体" w:cs="Times New Roman"/>
                      <w:kern w:val="2"/>
                      <w:sz w:val="21"/>
                      <w:szCs w:val="21"/>
                      <w:lang w:bidi="ar"/>
                    </w:rPr>
                    <w:fldChar w:fldCharType="end"/>
                  </w:r>
                  <w:r>
                    <w:rPr>
                      <w:rFonts w:hint="default" w:ascii="Times New Roman" w:hAnsi="Times New Roman" w:eastAsia="宋体" w:cs="Times New Roman"/>
                      <w:kern w:val="2"/>
                      <w:sz w:val="21"/>
                      <w:szCs w:val="21"/>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"https://baike.so.com/doc/3452665-3633155.html" \t "https://baike.so.com/doc/_blank" </w:instrText>
                  </w:r>
                  <w:r>
                    <w:rPr>
                      <w:rFonts w:hint="default" w:ascii="Times New Roman" w:hAnsi="Times New Roman" w:cs="Times New Roman"/>
                    </w:rPr>
                    <w:fldChar w:fldCharType="separate"/>
                  </w:r>
                  <w:r>
                    <w:rPr>
                      <w:rFonts w:hint="default" w:ascii="Times New Roman" w:hAnsi="Times New Roman" w:eastAsia="宋体" w:cs="Times New Roman"/>
                      <w:kern w:val="2"/>
                      <w:sz w:val="21"/>
                      <w:szCs w:val="21"/>
                      <w:lang w:bidi="ar"/>
                    </w:rPr>
                    <w:t>二硫化碳</w:t>
                  </w:r>
                  <w:r>
                    <w:rPr>
                      <w:rFonts w:hint="default" w:ascii="Times New Roman" w:hAnsi="Times New Roman" w:eastAsia="宋体" w:cs="Times New Roman"/>
                      <w:kern w:val="2"/>
                      <w:sz w:val="21"/>
                      <w:szCs w:val="21"/>
                      <w:lang w:bidi="ar"/>
                    </w:rPr>
                    <w:fldChar w:fldCharType="end"/>
                  </w:r>
                  <w:r>
                    <w:rPr>
                      <w:rFonts w:hint="default" w:ascii="Times New Roman" w:hAnsi="Times New Roman" w:eastAsia="宋体" w:cs="Times New Roman"/>
                      <w:kern w:val="2"/>
                      <w:sz w:val="21"/>
                      <w:szCs w:val="21"/>
                      <w:lang w:bidi="ar"/>
                    </w:rPr>
                    <w:t>、二甲苯、乙醚、</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"https://baike.so.com/doc/3194557-3366490.html" \t "https://baike.so.com/doc/_blank" </w:instrText>
                  </w:r>
                  <w:r>
                    <w:rPr>
                      <w:rFonts w:hint="default" w:ascii="Times New Roman" w:hAnsi="Times New Roman" w:cs="Times New Roman"/>
                    </w:rPr>
                    <w:fldChar w:fldCharType="separate"/>
                  </w:r>
                  <w:r>
                    <w:rPr>
                      <w:rFonts w:hint="default" w:ascii="Times New Roman" w:hAnsi="Times New Roman" w:eastAsia="宋体" w:cs="Times New Roman"/>
                      <w:kern w:val="2"/>
                      <w:sz w:val="21"/>
                      <w:szCs w:val="21"/>
                      <w:lang w:bidi="ar"/>
                    </w:rPr>
                    <w:t>苯</w:t>
                  </w:r>
                  <w:r>
                    <w:rPr>
                      <w:rFonts w:hint="default" w:ascii="Times New Roman" w:hAnsi="Times New Roman" w:eastAsia="宋体" w:cs="Times New Roman"/>
                      <w:kern w:val="2"/>
                      <w:sz w:val="21"/>
                      <w:szCs w:val="21"/>
                      <w:lang w:bidi="ar"/>
                    </w:rPr>
                    <w:fldChar w:fldCharType="end"/>
                  </w:r>
                  <w:r>
                    <w:rPr>
                      <w:rFonts w:hint="default" w:ascii="Times New Roman" w:hAnsi="Times New Roman" w:eastAsia="宋体" w:cs="Times New Roman"/>
                      <w:kern w:val="2"/>
                      <w:sz w:val="21"/>
                      <w:szCs w:val="21"/>
                      <w:lang w:bidi="ar"/>
                    </w:rPr>
                    <w:t>、氯仿、</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"https://baike.so.com/doc/131852-139263.html" \t "https://baike.so.com/doc/_blank" </w:instrText>
                  </w:r>
                  <w:r>
                    <w:rPr>
                      <w:rFonts w:hint="default" w:ascii="Times New Roman" w:hAnsi="Times New Roman" w:cs="Times New Roman"/>
                    </w:rPr>
                    <w:fldChar w:fldCharType="separate"/>
                  </w:r>
                  <w:r>
                    <w:rPr>
                      <w:rFonts w:hint="default" w:ascii="Times New Roman" w:hAnsi="Times New Roman" w:eastAsia="宋体" w:cs="Times New Roman"/>
                      <w:kern w:val="2"/>
                      <w:sz w:val="21"/>
                      <w:szCs w:val="21"/>
                      <w:lang w:bidi="ar"/>
                    </w:rPr>
                    <w:t>四氯化碳</w:t>
                  </w:r>
                  <w:r>
                    <w:rPr>
                      <w:rFonts w:hint="default" w:ascii="Times New Roman" w:hAnsi="Times New Roman" w:eastAsia="宋体" w:cs="Times New Roman"/>
                      <w:kern w:val="2"/>
                      <w:sz w:val="21"/>
                      <w:szCs w:val="21"/>
                      <w:lang w:bidi="ar"/>
                    </w:rPr>
                    <w:fldChar w:fldCharType="end"/>
                  </w:r>
                  <w:r>
                    <w:rPr>
                      <w:rFonts w:hint="default" w:ascii="Times New Roman" w:hAnsi="Times New Roman" w:eastAsia="宋体" w:cs="Times New Roman"/>
                      <w:kern w:val="2"/>
                      <w:sz w:val="21"/>
                      <w:szCs w:val="21"/>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"https://baike.so.com/doc/720848-763169.html" \t "https://baike.so.com/doc/_blank" </w:instrText>
                  </w:r>
                  <w:r>
                    <w:rPr>
                      <w:rFonts w:hint="default" w:ascii="Times New Roman" w:hAnsi="Times New Roman" w:cs="Times New Roman"/>
                    </w:rPr>
                    <w:fldChar w:fldCharType="separate"/>
                  </w:r>
                  <w:r>
                    <w:rPr>
                      <w:rFonts w:hint="default" w:ascii="Times New Roman" w:hAnsi="Times New Roman" w:eastAsia="宋体" w:cs="Times New Roman"/>
                      <w:kern w:val="2"/>
                      <w:sz w:val="21"/>
                      <w:szCs w:val="21"/>
                      <w:lang w:bidi="ar"/>
                    </w:rPr>
                    <w:t>石脑油</w:t>
                  </w:r>
                  <w:r>
                    <w:rPr>
                      <w:rFonts w:hint="default" w:ascii="Times New Roman" w:hAnsi="Times New Roman" w:eastAsia="宋体" w:cs="Times New Roman"/>
                      <w:kern w:val="2"/>
                      <w:sz w:val="21"/>
                      <w:szCs w:val="21"/>
                      <w:lang w:bidi="ar"/>
                    </w:rPr>
                    <w:fldChar w:fldCharType="end"/>
                  </w:r>
                  <w:r>
                    <w:rPr>
                      <w:rFonts w:hint="default" w:ascii="Times New Roman" w:hAnsi="Times New Roman" w:eastAsia="宋体" w:cs="Times New Roman"/>
                      <w:kern w:val="2"/>
                      <w:sz w:val="21"/>
                      <w:szCs w:val="21"/>
                      <w:lang w:bidi="ar"/>
                    </w:rPr>
                    <w:t>等一类非极性溶剂，不溶于</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"https://baike.so.com/doc/5342961-7116906.html" \t "https://baike.so.com/doc/_blank" </w:instrText>
                  </w:r>
                  <w:r>
                    <w:rPr>
                      <w:rFonts w:hint="default" w:ascii="Times New Roman" w:hAnsi="Times New Roman" w:cs="Times New Roman"/>
                    </w:rPr>
                    <w:fldChar w:fldCharType="separate"/>
                  </w:r>
                  <w:r>
                    <w:rPr>
                      <w:rFonts w:hint="default" w:ascii="Times New Roman" w:hAnsi="Times New Roman" w:eastAsia="宋体" w:cs="Times New Roman"/>
                      <w:kern w:val="2"/>
                      <w:sz w:val="21"/>
                      <w:szCs w:val="21"/>
                      <w:lang w:bidi="ar"/>
                    </w:rPr>
                    <w:t>水</w:t>
                  </w:r>
                  <w:r>
                    <w:rPr>
                      <w:rFonts w:hint="default" w:ascii="Times New Roman" w:hAnsi="Times New Roman" w:eastAsia="宋体" w:cs="Times New Roman"/>
                      <w:kern w:val="2"/>
                      <w:sz w:val="21"/>
                      <w:szCs w:val="21"/>
                      <w:lang w:bidi="ar"/>
                    </w:rPr>
                    <w:fldChar w:fldCharType="end"/>
                  </w:r>
                  <w:r>
                    <w:rPr>
                      <w:rFonts w:hint="default" w:ascii="Times New Roman" w:hAnsi="Times New Roman" w:eastAsia="宋体" w:cs="Times New Roman"/>
                      <w:kern w:val="2"/>
                      <w:sz w:val="21"/>
                      <w:szCs w:val="21"/>
                      <w:lang w:bidi="ar"/>
                    </w:rPr>
                    <w:t>和甲醇等</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"https://baike.so.com/doc/5332557-5567924.html" \t "https://baike.so.com/doc/_blank" </w:instrText>
                  </w:r>
                  <w:r>
                    <w:rPr>
                      <w:rFonts w:hint="default" w:ascii="Times New Roman" w:hAnsi="Times New Roman" w:cs="Times New Roman"/>
                    </w:rPr>
                    <w:fldChar w:fldCharType="separate"/>
                  </w:r>
                  <w:r>
                    <w:rPr>
                      <w:rFonts w:hint="default" w:ascii="Times New Roman" w:hAnsi="Times New Roman" w:eastAsia="宋体" w:cs="Times New Roman"/>
                      <w:kern w:val="2"/>
                      <w:sz w:val="21"/>
                      <w:szCs w:val="21"/>
                      <w:lang w:bidi="ar"/>
                    </w:rPr>
                    <w:t>极性溶剂</w:t>
                  </w:r>
                  <w:r>
                    <w:rPr>
                      <w:rFonts w:hint="default" w:ascii="Times New Roman" w:hAnsi="Times New Roman" w:eastAsia="宋体" w:cs="Times New Roman"/>
                      <w:kern w:val="2"/>
                      <w:sz w:val="21"/>
                      <w:szCs w:val="21"/>
                      <w:lang w:bidi="ar"/>
                    </w:rPr>
                    <w:fldChar w:fldCharType="end"/>
                  </w:r>
                  <w:r>
                    <w:rPr>
                      <w:rFonts w:hint="default" w:ascii="Times New Roman" w:hAnsi="Times New Roman" w:eastAsia="宋体" w:cs="Times New Roman"/>
                      <w:kern w:val="2"/>
                      <w:sz w:val="21"/>
                      <w:szCs w:val="21"/>
                      <w:lang w:bidi="ar"/>
                    </w:rPr>
                    <w:t>。</w:t>
                  </w:r>
                </w:p>
              </w:tc>
              <w:tc>
                <w:tcPr>
                  <w:tcW w:w="154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60"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对水生环境的危害-长期危害类别3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tcBorders>
                    <w:top w:val="single" w:color="auto" w:sz="6"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含硫</w:t>
                  </w:r>
                  <w:r>
                    <w:rPr>
                      <w:rFonts w:hint="default" w:ascii="Times New Roman" w:hAnsi="Times New Roman" w:eastAsia="宋体" w:cs="Times New Roman"/>
                      <w:sz w:val="21"/>
                      <w:szCs w:val="21"/>
                    </w:rPr>
                    <w:t>颗粒物</w:t>
                  </w:r>
                </w:p>
              </w:tc>
              <w:tc>
                <w:tcPr>
                  <w:tcW w:w="107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78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淡黄色粉末或黄色液体，初沸点和沸程445℃，不溶于水，熔点/凝固点107~120℃，</w:t>
                  </w:r>
                  <w:r>
                    <w:rPr>
                      <w:rFonts w:hint="default" w:ascii="Times New Roman" w:hAnsi="Times New Roman" w:eastAsia="宋体" w:cs="Times New Roman"/>
                      <w:sz w:val="21"/>
                      <w:szCs w:val="21"/>
                      <w:lang w:val="zh-CN"/>
                    </w:rPr>
                    <w:t>相对密度</w:t>
                  </w:r>
                  <w:r>
                    <w:rPr>
                      <w:rFonts w:hint="default" w:ascii="Times New Roman" w:hAnsi="Times New Roman" w:eastAsia="宋体" w:cs="Times New Roman"/>
                      <w:sz w:val="21"/>
                      <w:szCs w:val="21"/>
                    </w:rPr>
                    <w:t>2.1，闪点160℃（闭杯）</w:t>
                  </w:r>
                </w:p>
              </w:tc>
              <w:tc>
                <w:tcPr>
                  <w:tcW w:w="154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易燃固体类别2</w:t>
                  </w:r>
                </w:p>
              </w:tc>
              <w:tc>
                <w:tcPr>
                  <w:tcW w:w="1760"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tcBorders>
                    <w:top w:val="single" w:color="auto" w:sz="6"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废液</w:t>
                  </w:r>
                </w:p>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压油</w:t>
                  </w:r>
                </w:p>
              </w:tc>
              <w:tc>
                <w:tcPr>
                  <w:tcW w:w="107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lang w:val="zh-CN"/>
                    </w:rPr>
                  </w:pPr>
                  <w:r>
                    <w:rPr>
                      <w:rFonts w:hint="default" w:ascii="Times New Roman" w:hAnsi="Times New Roman" w:eastAsia="宋体" w:cs="Times New Roman"/>
                      <w:kern w:val="2"/>
                      <w:sz w:val="21"/>
                      <w:szCs w:val="21"/>
                      <w:lang w:bidi="ar"/>
                    </w:rPr>
                    <w:t>HW08、900-220-08</w:t>
                  </w:r>
                </w:p>
              </w:tc>
              <w:tc>
                <w:tcPr>
                  <w:tcW w:w="378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危险成分为矿物油</w:t>
                  </w:r>
                </w:p>
              </w:tc>
              <w:tc>
                <w:tcPr>
                  <w:tcW w:w="154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760"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907" w:type="dxa"/>
                  <w:tcBorders>
                    <w:top w:val="single" w:color="auto" w:sz="6" w:space="0"/>
                    <w:left w:val="nil"/>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bidi="ar"/>
                    </w:rPr>
                    <w:t>硫化剂</w:t>
                  </w:r>
                </w:p>
              </w:tc>
              <w:tc>
                <w:tcPr>
                  <w:tcW w:w="107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78-63-7</w:t>
                  </w:r>
                </w:p>
              </w:tc>
              <w:tc>
                <w:tcPr>
                  <w:tcW w:w="3784"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淡黄澄清液体，具有特征气味，熔点：1~10℃，会在沸点以下分解，闪点：68℃（在1013hPa）,蒸气压：&lt;0.01hPa（在20℃），相对密度：0.872（在20℃），活性氧含量：10.14%，有机过氧化物：&gt;92%。</w:t>
                  </w:r>
                </w:p>
              </w:tc>
              <w:tc>
                <w:tcPr>
                  <w:tcW w:w="1547" w:type="dxa"/>
                  <w:tcBorders>
                    <w:top w:val="single" w:color="auto" w:sz="6" w:space="0"/>
                    <w:left w:val="single" w:color="auto" w:sz="6" w:space="0"/>
                    <w:bottom w:val="single" w:color="auto" w:sz="6" w:space="0"/>
                    <w:right w:val="single" w:color="auto" w:sz="6" w:space="0"/>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易燃固体类别2</w:t>
                  </w:r>
                </w:p>
              </w:tc>
              <w:tc>
                <w:tcPr>
                  <w:tcW w:w="1760" w:type="dxa"/>
                  <w:tcBorders>
                    <w:top w:val="single" w:color="auto" w:sz="6" w:space="0"/>
                    <w:left w:val="single" w:color="auto" w:sz="6" w:space="0"/>
                    <w:bottom w:val="single" w:color="auto" w:sz="6" w:space="0"/>
                    <w:right w:val="nil"/>
                    <w:tl2br w:val="nil"/>
                    <w:tr2bl w:val="nil"/>
                  </w:tcBorders>
                  <w:vAlign w:val="center"/>
                </w:tcPr>
                <w:p>
                  <w:pPr>
                    <w:topLinePunct/>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spacing w:after="0" w:line="420" w:lineRule="exact"/>
              <w:rPr>
                <w:rFonts w:hint="default" w:ascii="Times New Roman" w:hAnsi="Times New Roman" w:eastAsia="宋体" w:cs="Times New Roman"/>
                <w:b/>
                <w:bCs/>
                <w:kern w:val="2"/>
                <w:sz w:val="24"/>
                <w:szCs w:val="24"/>
                <w:lang w:bidi="ar"/>
              </w:rPr>
            </w:pPr>
            <w:r>
              <w:rPr>
                <w:rFonts w:hint="default" w:ascii="Times New Roman" w:hAnsi="Times New Roman" w:eastAsia="宋体" w:cs="Times New Roman"/>
                <w:b/>
                <w:bCs/>
                <w:sz w:val="24"/>
                <w:szCs w:val="24"/>
              </w:rPr>
              <w:t>4.2.5.2风险物质临界量比值</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当只涉及一种危险物质时，计算该物质的总量与其临界量比值，即为Q；当存在多种危险物质时，按下式计算物质总量与其临界量比值Q：</w:t>
            </w:r>
          </w:p>
          <w:p>
            <w:pPr>
              <w:widowControl w:val="0"/>
              <w:spacing w:before="120" w:beforeLines="50" w:after="120" w:afterLines="50"/>
              <w:jc w:val="center"/>
              <w:rPr>
                <w:rFonts w:hint="default" w:ascii="Times New Roman" w:hAnsi="Times New Roman" w:cs="Times New Roman"/>
                <w:sz w:val="24"/>
                <w:szCs w:val="24"/>
              </w:rPr>
            </w:pPr>
            <w:r>
              <w:rPr>
                <w:rFonts w:hint="default" w:ascii="Times New Roman" w:hAnsi="Times New Roman" w:eastAsia="宋体" w:cs="Times New Roman"/>
                <w:kern w:val="2"/>
                <w:sz w:val="24"/>
                <w:szCs w:val="24"/>
                <w:lang w:bidi="ar"/>
              </w:rPr>
              <w:object>
                <v:shape id="_x0000_i1036" o:spt="75" type="#_x0000_t75" style="height:39.35pt;width:124.75pt;" o:ole="t" filled="f" o:preferrelative="t" stroked="f" coordsize="21600,21600">
                  <v:path/>
                  <v:fill on="f" focussize="0,0"/>
                  <v:stroke on="f" joinstyle="miter"/>
                  <v:imagedata r:id="rId37" o:title=""/>
                  <o:lock v:ext="edit" aspectratio="t"/>
                  <w10:wrap type="none"/>
                  <w10:anchorlock/>
                </v:shape>
                <o:OLEObject Type="Embed" ProgID="Equations" ShapeID="_x0000_i1036" DrawAspect="Content" ObjectID="_1468075736" r:id="rId36">
                  <o:LockedField>false</o:LockedField>
                </o:OLEObject>
              </w:object>
            </w:r>
          </w:p>
          <w:p>
            <w:pPr>
              <w:widowControl w:val="0"/>
              <w:spacing w:after="0" w:line="420" w:lineRule="exact"/>
              <w:jc w:val="both"/>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式中：q</w:t>
            </w:r>
            <w:r>
              <w:rPr>
                <w:rFonts w:hint="default" w:ascii="Times New Roman" w:hAnsi="Times New Roman" w:eastAsia="宋体" w:cs="Times New Roman"/>
                <w:kern w:val="2"/>
                <w:sz w:val="24"/>
                <w:szCs w:val="24"/>
                <w:vertAlign w:val="subscript"/>
                <w:lang w:bidi="ar"/>
              </w:rPr>
              <w:t>1</w:t>
            </w:r>
            <w:r>
              <w:rPr>
                <w:rFonts w:hint="default" w:ascii="Times New Roman" w:hAnsi="Times New Roman" w:eastAsia="宋体" w:cs="Times New Roman"/>
                <w:kern w:val="2"/>
                <w:sz w:val="24"/>
                <w:szCs w:val="24"/>
                <w:lang w:bidi="ar"/>
              </w:rPr>
              <w:t>，q</w:t>
            </w:r>
            <w:r>
              <w:rPr>
                <w:rFonts w:hint="default" w:ascii="Times New Roman" w:hAnsi="Times New Roman" w:eastAsia="宋体" w:cs="Times New Roman"/>
                <w:kern w:val="2"/>
                <w:sz w:val="24"/>
                <w:szCs w:val="24"/>
                <w:vertAlign w:val="subscript"/>
                <w:lang w:bidi="ar"/>
              </w:rPr>
              <w:t>2</w:t>
            </w:r>
            <w:r>
              <w:rPr>
                <w:rFonts w:hint="default" w:ascii="Times New Roman" w:hAnsi="Times New Roman" w:eastAsia="宋体" w:cs="Times New Roman"/>
                <w:kern w:val="2"/>
                <w:sz w:val="24"/>
                <w:szCs w:val="24"/>
                <w:lang w:bidi="ar"/>
              </w:rPr>
              <w:t>…q</w:t>
            </w:r>
            <w:r>
              <w:rPr>
                <w:rFonts w:hint="default" w:ascii="Times New Roman" w:hAnsi="Times New Roman" w:eastAsia="宋体" w:cs="Times New Roman"/>
                <w:kern w:val="2"/>
                <w:sz w:val="24"/>
                <w:szCs w:val="24"/>
                <w:vertAlign w:val="subscript"/>
                <w:lang w:bidi="ar"/>
              </w:rPr>
              <w:t>n</w:t>
            </w:r>
            <w:r>
              <w:rPr>
                <w:rFonts w:hint="default" w:ascii="Times New Roman" w:hAnsi="Times New Roman" w:eastAsia="宋体" w:cs="Times New Roman"/>
                <w:kern w:val="2"/>
                <w:sz w:val="24"/>
                <w:szCs w:val="24"/>
                <w:lang w:bidi="ar"/>
              </w:rPr>
              <w:t>——每种危险物质的最大存在总量，t；</w:t>
            </w:r>
          </w:p>
          <w:p>
            <w:pPr>
              <w:spacing w:after="0" w:line="420" w:lineRule="exact"/>
              <w:ind w:firstLine="720" w:firstLineChars="300"/>
              <w:rPr>
                <w:rFonts w:hint="default" w:ascii="Times New Roman" w:hAnsi="Times New Roman" w:eastAsia="宋体" w:cs="Times New Roman"/>
                <w:kern w:val="2"/>
                <w:sz w:val="24"/>
                <w:szCs w:val="20"/>
                <w:lang w:bidi="ar"/>
              </w:rPr>
            </w:pPr>
            <w:r>
              <w:rPr>
                <w:rFonts w:hint="default" w:ascii="Times New Roman" w:hAnsi="Times New Roman" w:eastAsia="宋体" w:cs="Times New Roman"/>
                <w:kern w:val="2"/>
                <w:sz w:val="24"/>
                <w:szCs w:val="24"/>
                <w:lang w:bidi="ar"/>
              </w:rPr>
              <w:t>Q</w:t>
            </w:r>
            <w:r>
              <w:rPr>
                <w:rFonts w:hint="default" w:ascii="Times New Roman" w:hAnsi="Times New Roman" w:eastAsia="宋体" w:cs="Times New Roman"/>
                <w:kern w:val="2"/>
                <w:sz w:val="24"/>
                <w:szCs w:val="24"/>
                <w:vertAlign w:val="subscript"/>
                <w:lang w:bidi="ar"/>
              </w:rPr>
              <w:t>1</w:t>
            </w:r>
            <w:r>
              <w:rPr>
                <w:rFonts w:hint="default" w:ascii="Times New Roman" w:hAnsi="Times New Roman" w:eastAsia="宋体" w:cs="Times New Roman"/>
                <w:kern w:val="2"/>
                <w:sz w:val="24"/>
                <w:szCs w:val="24"/>
                <w:lang w:bidi="ar"/>
              </w:rPr>
              <w:t>，Q</w:t>
            </w:r>
            <w:r>
              <w:rPr>
                <w:rFonts w:hint="default" w:ascii="Times New Roman" w:hAnsi="Times New Roman" w:eastAsia="宋体" w:cs="Times New Roman"/>
                <w:kern w:val="2"/>
                <w:sz w:val="24"/>
                <w:szCs w:val="24"/>
                <w:vertAlign w:val="subscript"/>
                <w:lang w:bidi="ar"/>
              </w:rPr>
              <w:t>2</w:t>
            </w:r>
            <w:r>
              <w:rPr>
                <w:rFonts w:hint="default" w:ascii="Times New Roman" w:hAnsi="Times New Roman" w:eastAsia="宋体" w:cs="Times New Roman"/>
                <w:kern w:val="2"/>
                <w:sz w:val="24"/>
                <w:szCs w:val="24"/>
                <w:lang w:bidi="ar"/>
              </w:rPr>
              <w:t>…Q</w:t>
            </w:r>
            <w:r>
              <w:rPr>
                <w:rFonts w:hint="default" w:ascii="Times New Roman" w:hAnsi="Times New Roman" w:eastAsia="宋体" w:cs="Times New Roman"/>
                <w:kern w:val="2"/>
                <w:sz w:val="24"/>
                <w:szCs w:val="24"/>
                <w:vertAlign w:val="subscript"/>
                <w:lang w:bidi="ar"/>
              </w:rPr>
              <w:t>n</w:t>
            </w:r>
            <w:r>
              <w:rPr>
                <w:rFonts w:hint="default" w:ascii="Times New Roman" w:hAnsi="Times New Roman" w:eastAsia="宋体" w:cs="Times New Roman"/>
                <w:kern w:val="2"/>
                <w:sz w:val="24"/>
                <w:szCs w:val="24"/>
                <w:lang w:bidi="ar"/>
              </w:rPr>
              <w:t>——每种危险物质的临界量，t。</w:t>
            </w:r>
          </w:p>
          <w:p>
            <w:pPr>
              <w:spacing w:after="0" w:line="420" w:lineRule="exact"/>
              <w:ind w:firstLine="480" w:firstLineChars="200"/>
              <w:rPr>
                <w:rFonts w:hint="default" w:ascii="Times New Roman" w:hAnsi="Times New Roman" w:cs="Times New Roman" w:eastAsiaTheme="minorEastAsia"/>
                <w:b/>
                <w:sz w:val="21"/>
                <w:szCs w:val="21"/>
              </w:rPr>
            </w:pPr>
            <w:r>
              <w:rPr>
                <w:rFonts w:hint="default" w:ascii="Times New Roman" w:hAnsi="Times New Roman" w:eastAsia="宋体" w:cs="Times New Roman"/>
                <w:kern w:val="2"/>
                <w:sz w:val="24"/>
                <w:szCs w:val="20"/>
                <w:lang w:bidi="ar"/>
              </w:rPr>
              <w:t>根据</w:t>
            </w:r>
            <w:r>
              <w:rPr>
                <w:rFonts w:hint="default" w:ascii="Times New Roman" w:hAnsi="Times New Roman" w:eastAsia="宋体" w:cs="Times New Roman"/>
                <w:kern w:val="2"/>
                <w:sz w:val="24"/>
                <w:szCs w:val="24"/>
                <w:lang w:bidi="ar"/>
              </w:rPr>
              <w:t>HJ169-2018《建设项目环境风险评价技术导则》表B.1中所列物质，本项目涉及危险废物列入表B.1的、其临界量按表B.1中临界量选取，未列入表B.1的、其临界量按表B.2中推荐临界量选取，见表4.2-2</w:t>
            </w:r>
            <w:r>
              <w:rPr>
                <w:rFonts w:hint="default" w:ascii="Times New Roman" w:hAnsi="Times New Roman" w:eastAsia="宋体" w:cs="Times New Roman"/>
                <w:kern w:val="2"/>
                <w:sz w:val="24"/>
                <w:szCs w:val="24"/>
                <w:lang w:val="en-US" w:eastAsia="zh-CN" w:bidi="ar"/>
              </w:rPr>
              <w:t>8</w:t>
            </w:r>
            <w:r>
              <w:rPr>
                <w:rFonts w:hint="default" w:ascii="Times New Roman" w:hAnsi="Times New Roman" w:eastAsia="宋体" w:cs="Times New Roman"/>
                <w:kern w:val="2"/>
                <w:sz w:val="24"/>
                <w:szCs w:val="24"/>
                <w:lang w:bidi="ar"/>
              </w:rPr>
              <w:t>。</w:t>
            </w:r>
          </w:p>
          <w:p>
            <w:pPr>
              <w:spacing w:after="0" w:line="420" w:lineRule="exact"/>
              <w:jc w:val="center"/>
              <w:rPr>
                <w:rFonts w:hint="default" w:ascii="Times New Roman" w:hAnsi="Times New Roman" w:eastAsia="宋体" w:cs="Times New Roman"/>
                <w:b/>
                <w:sz w:val="24"/>
                <w:szCs w:val="24"/>
              </w:rPr>
            </w:pPr>
            <w:r>
              <w:rPr>
                <w:rFonts w:hint="default" w:ascii="Times New Roman" w:hAnsi="Times New Roman" w:cs="Times New Roman" w:eastAsiaTheme="minorEastAsia"/>
                <w:b/>
                <w:sz w:val="24"/>
                <w:szCs w:val="24"/>
              </w:rPr>
              <w:t>表4.2-2</w:t>
            </w:r>
            <w:r>
              <w:rPr>
                <w:rFonts w:hint="default" w:ascii="Times New Roman" w:hAnsi="Times New Roman" w:cs="Times New Roman" w:eastAsiaTheme="minorEastAsia"/>
                <w:b/>
                <w:sz w:val="24"/>
                <w:szCs w:val="24"/>
                <w:lang w:val="en-US" w:eastAsia="zh-CN"/>
              </w:rPr>
              <w:t>8</w:t>
            </w:r>
            <w:r>
              <w:rPr>
                <w:rFonts w:hint="default" w:ascii="Times New Roman" w:hAnsi="Times New Roman" w:cs="Times New Roman" w:eastAsiaTheme="minorEastAsia"/>
                <w:b/>
                <w:sz w:val="24"/>
                <w:szCs w:val="24"/>
              </w:rPr>
              <w:t xml:space="preserve">  </w:t>
            </w:r>
            <w:r>
              <w:rPr>
                <w:rFonts w:hint="default" w:ascii="Times New Roman" w:hAnsi="Times New Roman" w:eastAsia="宋体" w:cs="Times New Roman"/>
                <w:b/>
                <w:kern w:val="2"/>
                <w:sz w:val="24"/>
                <w:szCs w:val="24"/>
                <w:lang w:bidi="ar"/>
              </w:rPr>
              <w:t>其他危险物质临界量推荐值</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95"/>
              <w:gridCol w:w="6120"/>
              <w:gridCol w:w="215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5"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5661"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物质</w:t>
                  </w:r>
                </w:p>
              </w:tc>
              <w:tc>
                <w:tcPr>
                  <w:tcW w:w="1995"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推荐临界量（t）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5"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1</w:t>
                  </w:r>
                </w:p>
              </w:tc>
              <w:tc>
                <w:tcPr>
                  <w:tcW w:w="5661"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健康危险急性毒性物质（类别1）</w:t>
                  </w:r>
                </w:p>
              </w:tc>
              <w:tc>
                <w:tcPr>
                  <w:tcW w:w="1995"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5"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2</w:t>
                  </w:r>
                </w:p>
              </w:tc>
              <w:tc>
                <w:tcPr>
                  <w:tcW w:w="5661"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健康危险急性毒性物质（类别2、类别3）</w:t>
                  </w:r>
                </w:p>
              </w:tc>
              <w:tc>
                <w:tcPr>
                  <w:tcW w:w="1995"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50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35"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3</w:t>
                  </w:r>
                </w:p>
              </w:tc>
              <w:tc>
                <w:tcPr>
                  <w:tcW w:w="5661"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危害水环境物质（急性毒性类别1）</w:t>
                  </w:r>
                </w:p>
              </w:tc>
              <w:tc>
                <w:tcPr>
                  <w:tcW w:w="1995"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100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8391" w:type="dxa"/>
                  <w:gridSpan w:val="3"/>
                  <w:vAlign w:val="center"/>
                </w:tcPr>
                <w:p>
                  <w:pPr>
                    <w:topLinePunct/>
                    <w:spacing w:after="0" w:line="30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注：健康危害急性毒性物质分类见GB30000.18，危害水环境物质见GB30000.28。该类物质临界量参考欧盟《赛维索指令Ⅲ》（2012/18/EU）</w:t>
                  </w:r>
                </w:p>
              </w:tc>
            </w:tr>
          </w:tbl>
          <w:p>
            <w:pPr>
              <w:spacing w:after="0" w:line="420" w:lineRule="exact"/>
              <w:ind w:firstLine="464"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spacing w:val="-4"/>
                <w:kern w:val="2"/>
                <w:sz w:val="24"/>
                <w:szCs w:val="20"/>
                <w:lang w:bidi="ar"/>
              </w:rPr>
              <w:t>危险物质储存量和临界量比值</w:t>
            </w:r>
            <w:r>
              <w:rPr>
                <w:rFonts w:hint="default" w:ascii="Times New Roman" w:hAnsi="Times New Roman" w:eastAsia="宋体" w:cs="Times New Roman"/>
                <w:kern w:val="2"/>
                <w:sz w:val="24"/>
                <w:szCs w:val="24"/>
                <w:lang w:bidi="ar"/>
              </w:rPr>
              <w:t>见表4.2-2</w:t>
            </w:r>
            <w:r>
              <w:rPr>
                <w:rFonts w:hint="default" w:ascii="Times New Roman" w:hAnsi="Times New Roman" w:eastAsia="宋体" w:cs="Times New Roman"/>
                <w:kern w:val="2"/>
                <w:sz w:val="24"/>
                <w:szCs w:val="24"/>
                <w:lang w:val="en-US" w:eastAsia="zh-CN" w:bidi="ar"/>
              </w:rPr>
              <w:t>9</w:t>
            </w:r>
            <w:r>
              <w:rPr>
                <w:rFonts w:hint="default" w:ascii="Times New Roman" w:hAnsi="Times New Roman" w:eastAsia="宋体" w:cs="Times New Roman"/>
                <w:kern w:val="2"/>
                <w:sz w:val="24"/>
                <w:szCs w:val="24"/>
                <w:lang w:bidi="ar"/>
              </w:rPr>
              <w:t>。</w:t>
            </w:r>
          </w:p>
          <w:p>
            <w:pPr>
              <w:spacing w:after="0" w:line="420" w:lineRule="exact"/>
              <w:jc w:val="center"/>
              <w:rPr>
                <w:rFonts w:hint="default" w:ascii="Times New Roman" w:hAnsi="Times New Roman" w:eastAsia="宋体" w:cs="Times New Roman"/>
                <w:b/>
                <w:sz w:val="24"/>
                <w:szCs w:val="24"/>
              </w:rPr>
            </w:pPr>
            <w:r>
              <w:rPr>
                <w:rFonts w:hint="default" w:ascii="Times New Roman" w:hAnsi="Times New Roman" w:cs="Times New Roman" w:eastAsiaTheme="minorEastAsia"/>
                <w:b/>
                <w:sz w:val="24"/>
                <w:szCs w:val="24"/>
              </w:rPr>
              <w:t>表4.2-2</w:t>
            </w:r>
            <w:r>
              <w:rPr>
                <w:rFonts w:hint="default" w:ascii="Times New Roman" w:hAnsi="Times New Roman" w:cs="Times New Roman" w:eastAsiaTheme="minorEastAsia"/>
                <w:b/>
                <w:sz w:val="24"/>
                <w:szCs w:val="24"/>
                <w:lang w:val="en-US" w:eastAsia="zh-CN"/>
              </w:rPr>
              <w:t>9</w:t>
            </w:r>
            <w:r>
              <w:rPr>
                <w:rFonts w:hint="default" w:ascii="Times New Roman" w:hAnsi="Times New Roman" w:cs="Times New Roman" w:eastAsiaTheme="minorEastAsia"/>
                <w:b/>
                <w:sz w:val="24"/>
                <w:szCs w:val="24"/>
              </w:rPr>
              <w:t xml:space="preserve">  </w:t>
            </w:r>
            <w:r>
              <w:rPr>
                <w:rFonts w:hint="default" w:ascii="Times New Roman" w:hAnsi="Times New Roman" w:eastAsia="宋体" w:cs="Times New Roman"/>
                <w:b/>
                <w:kern w:val="2"/>
                <w:sz w:val="24"/>
                <w:szCs w:val="24"/>
                <w:lang w:bidi="ar"/>
              </w:rPr>
              <w:t>危险物质储存量及临界量比值</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2062"/>
              <w:gridCol w:w="1384"/>
              <w:gridCol w:w="2390"/>
              <w:gridCol w:w="1097"/>
              <w:gridCol w:w="1156"/>
              <w:gridCol w:w="98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070"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物质</w:t>
                  </w:r>
                </w:p>
              </w:tc>
              <w:tc>
                <w:tcPr>
                  <w:tcW w:w="1386"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CAS号</w:t>
                  </w:r>
                </w:p>
              </w:tc>
              <w:tc>
                <w:tcPr>
                  <w:tcW w:w="2397"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储存方式</w:t>
                  </w:r>
                </w:p>
              </w:tc>
              <w:tc>
                <w:tcPr>
                  <w:tcW w:w="109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储存量</w:t>
                  </w:r>
                  <w:r>
                    <w:rPr>
                      <w:rFonts w:hint="default" w:ascii="Times New Roman" w:hAnsi="Times New Roman" w:eastAsia="宋体" w:cs="Times New Roman"/>
                      <w:bCs/>
                      <w:kern w:val="2"/>
                      <w:sz w:val="21"/>
                      <w:szCs w:val="21"/>
                      <w:lang w:bidi="ar"/>
                    </w:rPr>
                    <w:t>（t）</w:t>
                  </w:r>
                </w:p>
              </w:tc>
              <w:tc>
                <w:tcPr>
                  <w:tcW w:w="115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临界量（t）</w:t>
                  </w:r>
                </w:p>
              </w:tc>
              <w:tc>
                <w:tcPr>
                  <w:tcW w:w="962"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q</w:t>
                  </w:r>
                  <w:r>
                    <w:rPr>
                      <w:rFonts w:hint="default" w:ascii="Times New Roman" w:hAnsi="Times New Roman" w:eastAsia="宋体" w:cs="Times New Roman"/>
                      <w:kern w:val="2"/>
                      <w:sz w:val="21"/>
                      <w:szCs w:val="21"/>
                      <w:vertAlign w:val="subscript"/>
                      <w:lang w:bidi="ar"/>
                    </w:rPr>
                    <w:t>i</w:t>
                  </w:r>
                  <w:r>
                    <w:rPr>
                      <w:rFonts w:hint="default" w:ascii="Times New Roman" w:hAnsi="Times New Roman" w:eastAsia="宋体" w:cs="Times New Roman"/>
                      <w:bCs/>
                      <w:kern w:val="2"/>
                      <w:sz w:val="21"/>
                      <w:szCs w:val="21"/>
                      <w:lang w:bidi="ar"/>
                    </w:rPr>
                    <w:t>/</w:t>
                  </w:r>
                  <w:r>
                    <w:rPr>
                      <w:rFonts w:hint="default" w:ascii="Times New Roman" w:hAnsi="Times New Roman" w:eastAsia="宋体" w:cs="Times New Roman"/>
                      <w:kern w:val="2"/>
                      <w:sz w:val="21"/>
                      <w:szCs w:val="21"/>
                      <w:lang w:bidi="ar"/>
                    </w:rPr>
                    <w:t>Q</w:t>
                  </w:r>
                  <w:r>
                    <w:rPr>
                      <w:rFonts w:hint="default" w:ascii="Times New Roman" w:hAnsi="Times New Roman" w:eastAsia="宋体" w:cs="Times New Roman"/>
                      <w:kern w:val="2"/>
                      <w:sz w:val="21"/>
                      <w:szCs w:val="21"/>
                      <w:vertAlign w:val="subscript"/>
                      <w:lang w:bidi="ar"/>
                    </w:rPr>
                    <w:t>i</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070"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炭黑</w:t>
                  </w:r>
                </w:p>
              </w:tc>
              <w:tc>
                <w:tcPr>
                  <w:tcW w:w="1386"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1333-86-4</w:t>
                  </w:r>
                </w:p>
              </w:tc>
              <w:tc>
                <w:tcPr>
                  <w:tcW w:w="2397"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20kg/袋，19袋</w:t>
                  </w:r>
                </w:p>
              </w:tc>
              <w:tc>
                <w:tcPr>
                  <w:tcW w:w="109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w:t>
                  </w:r>
                </w:p>
              </w:tc>
              <w:tc>
                <w:tcPr>
                  <w:tcW w:w="115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962" w:type="dxa"/>
                  <w:vAlign w:val="center"/>
                </w:tcPr>
                <w:p>
                  <w:pPr>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070"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碳酸钙</w:t>
                  </w:r>
                </w:p>
              </w:tc>
              <w:tc>
                <w:tcPr>
                  <w:tcW w:w="1386"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471-34-1</w:t>
                  </w:r>
                </w:p>
              </w:tc>
              <w:tc>
                <w:tcPr>
                  <w:tcW w:w="2397"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25kg/袋，30袋</w:t>
                  </w:r>
                </w:p>
              </w:tc>
              <w:tc>
                <w:tcPr>
                  <w:tcW w:w="109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0.3</w:t>
                  </w:r>
                </w:p>
              </w:tc>
              <w:tc>
                <w:tcPr>
                  <w:tcW w:w="115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962" w:type="dxa"/>
                  <w:vAlign w:val="center"/>
                </w:tcPr>
                <w:p>
                  <w:pPr>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070"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石蜡油</w:t>
                  </w:r>
                </w:p>
              </w:tc>
              <w:tc>
                <w:tcPr>
                  <w:tcW w:w="1386"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8012-95-1</w:t>
                  </w:r>
                </w:p>
              </w:tc>
              <w:tc>
                <w:tcPr>
                  <w:tcW w:w="2397"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180kg/桶，4桶</w:t>
                  </w:r>
                </w:p>
              </w:tc>
              <w:tc>
                <w:tcPr>
                  <w:tcW w:w="109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15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2500</w:t>
                  </w:r>
                </w:p>
              </w:tc>
              <w:tc>
                <w:tcPr>
                  <w:tcW w:w="962" w:type="dxa"/>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0.0012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070"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促进剂</w:t>
                  </w:r>
                </w:p>
              </w:tc>
              <w:tc>
                <w:tcPr>
                  <w:tcW w:w="1386"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95-33-0</w:t>
                  </w:r>
                </w:p>
              </w:tc>
              <w:tc>
                <w:tcPr>
                  <w:tcW w:w="2397"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25kg/袋，1袋</w:t>
                  </w:r>
                </w:p>
              </w:tc>
              <w:tc>
                <w:tcPr>
                  <w:tcW w:w="109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0.6</w:t>
                  </w:r>
                </w:p>
              </w:tc>
              <w:tc>
                <w:tcPr>
                  <w:tcW w:w="115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100</w:t>
                  </w:r>
                </w:p>
              </w:tc>
              <w:tc>
                <w:tcPr>
                  <w:tcW w:w="962" w:type="dxa"/>
                  <w:vAlign w:val="center"/>
                </w:tcPr>
                <w:p>
                  <w:pPr>
                    <w:spacing w:after="0" w:line="3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0.006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070" w:type="dxa"/>
                  <w:vAlign w:val="center"/>
                </w:tcPr>
                <w:p>
                  <w:pPr>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防老剂</w:t>
                  </w:r>
                </w:p>
              </w:tc>
              <w:tc>
                <w:tcPr>
                  <w:tcW w:w="1386"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8002-74-2</w:t>
                  </w:r>
                </w:p>
              </w:tc>
              <w:tc>
                <w:tcPr>
                  <w:tcW w:w="2397"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25kg/袋，1袋</w:t>
                  </w:r>
                </w:p>
              </w:tc>
              <w:tc>
                <w:tcPr>
                  <w:tcW w:w="109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w:t>
                  </w:r>
                </w:p>
              </w:tc>
              <w:tc>
                <w:tcPr>
                  <w:tcW w:w="115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962" w:type="dxa"/>
                  <w:vAlign w:val="center"/>
                </w:tcPr>
                <w:p>
                  <w:pPr>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070"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S-80</w:t>
                  </w:r>
                </w:p>
              </w:tc>
              <w:tc>
                <w:tcPr>
                  <w:tcW w:w="1386"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6"/>
                      <w:sz w:val="21"/>
                      <w:szCs w:val="21"/>
                    </w:rPr>
                    <w:t>7704-34-9</w:t>
                  </w:r>
                </w:p>
              </w:tc>
              <w:tc>
                <w:tcPr>
                  <w:tcW w:w="2397"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25kg/袋，1袋</w:t>
                  </w:r>
                </w:p>
              </w:tc>
              <w:tc>
                <w:tcPr>
                  <w:tcW w:w="109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0.025</w:t>
                  </w:r>
                </w:p>
              </w:tc>
              <w:tc>
                <w:tcPr>
                  <w:tcW w:w="115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962" w:type="dxa"/>
                  <w:vAlign w:val="center"/>
                </w:tcPr>
                <w:p>
                  <w:pPr>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070" w:type="dxa"/>
                  <w:vAlign w:val="center"/>
                </w:tcPr>
                <w:p>
                  <w:pPr>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废液压油</w:t>
                  </w:r>
                </w:p>
              </w:tc>
              <w:tc>
                <w:tcPr>
                  <w:tcW w:w="1386" w:type="dxa"/>
                  <w:vAlign w:val="center"/>
                </w:tcPr>
                <w:p>
                  <w:pPr>
                    <w:topLinePunct/>
                    <w:spacing w:after="0" w:line="300" w:lineRule="exact"/>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HW08、</w:t>
                  </w:r>
                </w:p>
                <w:p>
                  <w:pPr>
                    <w:topLinePunct/>
                    <w:spacing w:after="0" w:line="300" w:lineRule="exact"/>
                    <w:jc w:val="center"/>
                    <w:rPr>
                      <w:rFonts w:hint="default" w:ascii="Times New Roman" w:hAnsi="Times New Roman" w:cs="Times New Roman" w:eastAsiaTheme="minorEastAsia"/>
                      <w:sz w:val="21"/>
                      <w:szCs w:val="21"/>
                      <w:lang w:val="zh-CN"/>
                    </w:rPr>
                  </w:pPr>
                  <w:r>
                    <w:rPr>
                      <w:rFonts w:hint="default" w:ascii="Times New Roman" w:hAnsi="Times New Roman" w:eastAsia="宋体" w:cs="Times New Roman"/>
                      <w:kern w:val="2"/>
                      <w:sz w:val="21"/>
                      <w:szCs w:val="21"/>
                      <w:lang w:bidi="ar"/>
                    </w:rPr>
                    <w:t>900-220-08</w:t>
                  </w:r>
                </w:p>
              </w:tc>
              <w:tc>
                <w:tcPr>
                  <w:tcW w:w="2397"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70kg（暂存量）</w:t>
                  </w:r>
                </w:p>
              </w:tc>
              <w:tc>
                <w:tcPr>
                  <w:tcW w:w="1099"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0.07</w:t>
                  </w:r>
                </w:p>
              </w:tc>
              <w:tc>
                <w:tcPr>
                  <w:tcW w:w="1158"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2500</w:t>
                  </w:r>
                </w:p>
              </w:tc>
              <w:tc>
                <w:tcPr>
                  <w:tcW w:w="962" w:type="dxa"/>
                  <w:vAlign w:val="center"/>
                </w:tcPr>
                <w:p>
                  <w:pPr>
                    <w:spacing w:after="0" w:line="300" w:lineRule="exact"/>
                    <w:jc w:val="center"/>
                    <w:rPr>
                      <w:rFonts w:hint="default" w:ascii="Times New Roman" w:hAnsi="Times New Roman" w:eastAsia="宋体" w:cs="Times New Roman"/>
                      <w:sz w:val="21"/>
                      <w:szCs w:val="21"/>
                      <w:lang w:bidi="ar"/>
                    </w:rPr>
                  </w:pPr>
                  <w:r>
                    <w:rPr>
                      <w:rFonts w:hint="default" w:ascii="Times New Roman" w:hAnsi="Times New Roman" w:eastAsia="宋体" w:cs="Times New Roman"/>
                      <w:sz w:val="21"/>
                      <w:szCs w:val="21"/>
                      <w:lang w:bidi="ar"/>
                    </w:rPr>
                    <w:t>0.00003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2070"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小计</w:t>
                  </w:r>
                </w:p>
              </w:tc>
              <w:tc>
                <w:tcPr>
                  <w:tcW w:w="6040" w:type="dxa"/>
                  <w:gridSpan w:val="4"/>
                  <w:vAlign w:val="center"/>
                </w:tcPr>
                <w:p>
                  <w:pPr>
                    <w:topLinePunct/>
                    <w:spacing w:after="0" w:line="300" w:lineRule="exact"/>
                    <w:jc w:val="center"/>
                    <w:rPr>
                      <w:rFonts w:hint="default" w:ascii="Times New Roman" w:hAnsi="Times New Roman" w:eastAsia="宋体" w:cs="Times New Roman"/>
                      <w:bCs/>
                      <w:kern w:val="2"/>
                      <w:sz w:val="21"/>
                      <w:szCs w:val="21"/>
                      <w:lang w:bidi="ar"/>
                    </w:rPr>
                  </w:pPr>
                  <w:r>
                    <w:rPr>
                      <w:rFonts w:hint="default" w:ascii="Times New Roman" w:hAnsi="Times New Roman" w:eastAsia="宋体" w:cs="Times New Roman"/>
                      <w:kern w:val="2"/>
                      <w:sz w:val="21"/>
                      <w:szCs w:val="21"/>
                      <w:lang w:bidi="ar"/>
                    </w:rPr>
                    <w:t>Q=q1/Q1+ q2/Q2……qn/Qn</w:t>
                  </w:r>
                </w:p>
              </w:tc>
              <w:tc>
                <w:tcPr>
                  <w:tcW w:w="962"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0.00723</w:t>
                  </w:r>
                </w:p>
              </w:tc>
            </w:tr>
          </w:tbl>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由表4.2-29可知，本项目涉及风险物质储存量未超过其临界量，Q=0.00723＜1。故本次评价不设置环境风险专项。</w:t>
            </w:r>
          </w:p>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4.2.5.3环境风险识别</w:t>
            </w:r>
          </w:p>
          <w:p>
            <w:pPr>
              <w:pStyle w:val="4"/>
              <w:spacing w:after="0" w:line="440" w:lineRule="exact"/>
              <w:rPr>
                <w:rFonts w:hint="default" w:ascii="Times New Roman" w:hAnsi="Times New Roman" w:cs="Times New Roman"/>
                <w:szCs w:val="24"/>
              </w:rPr>
            </w:pPr>
            <w:r>
              <w:rPr>
                <w:rFonts w:hint="default" w:ascii="Times New Roman" w:hAnsi="Times New Roman" w:cs="Times New Roman"/>
                <w:szCs w:val="24"/>
              </w:rPr>
              <w:t>（1）生产系统危险性识别</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生产过程风险识别见表4.2-</w:t>
            </w:r>
            <w:r>
              <w:rPr>
                <w:rFonts w:hint="default" w:ascii="Times New Roman" w:hAnsi="Times New Roman" w:eastAsia="宋体" w:cs="Times New Roman"/>
                <w:kern w:val="2"/>
                <w:sz w:val="24"/>
                <w:szCs w:val="24"/>
                <w:lang w:val="en-US" w:eastAsia="zh-CN" w:bidi="ar"/>
              </w:rPr>
              <w:t>30</w:t>
            </w:r>
            <w:r>
              <w:rPr>
                <w:rFonts w:hint="default" w:ascii="Times New Roman" w:hAnsi="Times New Roman" w:eastAsia="宋体" w:cs="Times New Roman"/>
                <w:kern w:val="2"/>
                <w:sz w:val="24"/>
                <w:szCs w:val="24"/>
                <w:lang w:bidi="ar"/>
              </w:rPr>
              <w:t>。</w:t>
            </w:r>
          </w:p>
          <w:p>
            <w:pPr>
              <w:spacing w:after="0" w:line="420" w:lineRule="exact"/>
              <w:jc w:val="center"/>
              <w:rPr>
                <w:rFonts w:hint="default" w:ascii="Times New Roman" w:hAnsi="Times New Roman" w:eastAsia="宋体" w:cs="Times New Roman"/>
                <w:b/>
                <w:sz w:val="24"/>
                <w:szCs w:val="24"/>
              </w:rPr>
            </w:pPr>
            <w:r>
              <w:rPr>
                <w:rFonts w:hint="default" w:ascii="Times New Roman" w:hAnsi="Times New Roman" w:cs="Times New Roman" w:eastAsiaTheme="minorEastAsia"/>
                <w:b/>
                <w:sz w:val="24"/>
                <w:szCs w:val="24"/>
              </w:rPr>
              <w:t>表4.2-</w:t>
            </w:r>
            <w:r>
              <w:rPr>
                <w:rFonts w:hint="default" w:ascii="Times New Roman" w:hAnsi="Times New Roman" w:cs="Times New Roman" w:eastAsiaTheme="minorEastAsia"/>
                <w:b/>
                <w:sz w:val="24"/>
                <w:szCs w:val="24"/>
                <w:lang w:val="en-US" w:eastAsia="zh-CN"/>
              </w:rPr>
              <w:t>30</w:t>
            </w:r>
            <w:r>
              <w:rPr>
                <w:rFonts w:hint="default" w:ascii="Times New Roman" w:hAnsi="Times New Roman" w:cs="Times New Roman" w:eastAsiaTheme="minorEastAsia"/>
                <w:b/>
                <w:sz w:val="24"/>
                <w:szCs w:val="24"/>
              </w:rPr>
              <w:t xml:space="preserve">  </w:t>
            </w:r>
            <w:r>
              <w:rPr>
                <w:rFonts w:hint="default" w:ascii="Times New Roman" w:hAnsi="Times New Roman" w:eastAsia="宋体" w:cs="Times New Roman"/>
                <w:b/>
                <w:kern w:val="2"/>
                <w:sz w:val="24"/>
                <w:szCs w:val="24"/>
                <w:lang w:bidi="ar"/>
              </w:rPr>
              <w:t>生产过程风险识别</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758"/>
              <w:gridCol w:w="2913"/>
              <w:gridCol w:w="540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11"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31"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潜在事故</w:t>
                  </w:r>
                </w:p>
              </w:tc>
              <w:tc>
                <w:tcPr>
                  <w:tcW w:w="5062"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主要原因</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11"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2731"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容器破损，物料泄漏</w:t>
                  </w:r>
                </w:p>
              </w:tc>
              <w:tc>
                <w:tcPr>
                  <w:tcW w:w="5062"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腐蚀，材料不合格，操作不规范或误操作、自然灾害</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711" w:type="dxa"/>
                  <w:vAlign w:val="center"/>
                </w:tcPr>
                <w:p>
                  <w:pPr>
                    <w:topLinePunct/>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2731"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各种阀门泄露物料</w:t>
                  </w:r>
                </w:p>
              </w:tc>
              <w:tc>
                <w:tcPr>
                  <w:tcW w:w="5062" w:type="dxa"/>
                  <w:vAlign w:val="center"/>
                </w:tcPr>
                <w:p>
                  <w:pPr>
                    <w:widowControl w:val="0"/>
                    <w:tabs>
                      <w:tab w:val="left" w:pos="120"/>
                    </w:tabs>
                    <w:spacing w:after="0" w:line="30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密封圈受损，阀门及管线不合格</w:t>
                  </w:r>
                </w:p>
              </w:tc>
            </w:tr>
          </w:tbl>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（2）危险物质向环境转移的途径识别</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危险物质向环境转移的途径见表4.2-</w:t>
            </w:r>
            <w:r>
              <w:rPr>
                <w:rFonts w:hint="default" w:ascii="Times New Roman" w:hAnsi="Times New Roman" w:eastAsia="宋体" w:cs="Times New Roman"/>
                <w:kern w:val="2"/>
                <w:sz w:val="24"/>
                <w:szCs w:val="24"/>
                <w:lang w:val="en-US" w:eastAsia="zh-CN" w:bidi="ar"/>
              </w:rPr>
              <w:t>31</w:t>
            </w:r>
            <w:r>
              <w:rPr>
                <w:rFonts w:hint="default" w:ascii="Times New Roman" w:hAnsi="Times New Roman" w:eastAsia="宋体" w:cs="Times New Roman"/>
                <w:kern w:val="2"/>
                <w:sz w:val="24"/>
                <w:szCs w:val="24"/>
                <w:lang w:bidi="ar"/>
              </w:rPr>
              <w:t>。</w:t>
            </w:r>
          </w:p>
          <w:p>
            <w:pPr>
              <w:spacing w:after="0" w:line="420" w:lineRule="exact"/>
              <w:jc w:val="center"/>
              <w:rPr>
                <w:rFonts w:hint="default" w:ascii="Times New Roman" w:hAnsi="Times New Roman" w:eastAsia="宋体" w:cs="Times New Roman"/>
                <w:b/>
                <w:sz w:val="24"/>
                <w:szCs w:val="24"/>
              </w:rPr>
            </w:pPr>
            <w:r>
              <w:rPr>
                <w:rFonts w:hint="default" w:ascii="Times New Roman" w:hAnsi="Times New Roman" w:cs="Times New Roman" w:eastAsiaTheme="minorEastAsia"/>
                <w:b/>
                <w:sz w:val="24"/>
                <w:szCs w:val="24"/>
              </w:rPr>
              <w:t>表4.2-</w:t>
            </w:r>
            <w:r>
              <w:rPr>
                <w:rFonts w:hint="default" w:ascii="Times New Roman" w:hAnsi="Times New Roman" w:cs="Times New Roman" w:eastAsiaTheme="minorEastAsia"/>
                <w:b/>
                <w:sz w:val="24"/>
                <w:szCs w:val="24"/>
                <w:lang w:val="en-US" w:eastAsia="zh-CN"/>
              </w:rPr>
              <w:t>31</w:t>
            </w:r>
            <w:r>
              <w:rPr>
                <w:rFonts w:hint="default" w:ascii="Times New Roman" w:hAnsi="Times New Roman" w:cs="Times New Roman" w:eastAsiaTheme="minorEastAsia"/>
                <w:b/>
                <w:sz w:val="24"/>
                <w:szCs w:val="24"/>
              </w:rPr>
              <w:t xml:space="preserve">  </w:t>
            </w:r>
            <w:r>
              <w:rPr>
                <w:rFonts w:hint="default" w:ascii="Times New Roman" w:hAnsi="Times New Roman" w:eastAsia="宋体" w:cs="Times New Roman"/>
                <w:b/>
                <w:kern w:val="2"/>
                <w:sz w:val="24"/>
                <w:szCs w:val="24"/>
                <w:lang w:bidi="ar"/>
              </w:rPr>
              <w:t>生产过程风险识别</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287"/>
              <w:gridCol w:w="859"/>
              <w:gridCol w:w="1702"/>
              <w:gridCol w:w="3232"/>
              <w:gridCol w:w="1992"/>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07" w:type="dxa"/>
                  <w:vAlign w:val="center"/>
                </w:tcPr>
                <w:p>
                  <w:pPr>
                    <w:topLinePunct/>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风险物质</w:t>
                  </w:r>
                </w:p>
              </w:tc>
              <w:tc>
                <w:tcPr>
                  <w:tcW w:w="805" w:type="dxa"/>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危险</w:t>
                  </w:r>
                </w:p>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特性</w:t>
                  </w:r>
                </w:p>
              </w:tc>
              <w:tc>
                <w:tcPr>
                  <w:tcW w:w="1595" w:type="dxa"/>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环境风险类型</w:t>
                  </w:r>
                </w:p>
              </w:tc>
              <w:tc>
                <w:tcPr>
                  <w:tcW w:w="3030" w:type="dxa"/>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环境影响途径</w:t>
                  </w:r>
                </w:p>
              </w:tc>
              <w:tc>
                <w:tcPr>
                  <w:tcW w:w="1867" w:type="dxa"/>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可能受影响的环境敏感目标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07" w:type="dxa"/>
                  <w:vAlign w:val="center"/>
                </w:tcPr>
                <w:p>
                  <w:pPr>
                    <w:topLinePunct/>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石蜡油</w:t>
                  </w:r>
                </w:p>
              </w:tc>
              <w:tc>
                <w:tcPr>
                  <w:tcW w:w="805" w:type="dxa"/>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燃烧</w:t>
                  </w:r>
                </w:p>
              </w:tc>
              <w:tc>
                <w:tcPr>
                  <w:tcW w:w="1595"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泄漏、燃烧引发的伴/次生污染物排放</w:t>
                  </w:r>
                </w:p>
              </w:tc>
              <w:tc>
                <w:tcPr>
                  <w:tcW w:w="3030"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泄漏危害主要是污染未硬化/未防渗地面、土壤或经土壤渗入地下水，可能影响土壤环境、地下水环境</w:t>
                  </w:r>
                </w:p>
              </w:tc>
              <w:tc>
                <w:tcPr>
                  <w:tcW w:w="1867"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sz w:val="21"/>
                      <w:szCs w:val="21"/>
                      <w:lang w:bidi="ar"/>
                    </w:rPr>
                    <w:t>周边居住区、周边水体、浅层地下水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07" w:type="dxa"/>
                  <w:vAlign w:val="center"/>
                </w:tcPr>
                <w:p>
                  <w:pPr>
                    <w:topLinePunct/>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促进剂</w:t>
                  </w:r>
                </w:p>
              </w:tc>
              <w:tc>
                <w:tcPr>
                  <w:tcW w:w="805" w:type="dxa"/>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燃烧</w:t>
                  </w:r>
                </w:p>
              </w:tc>
              <w:tc>
                <w:tcPr>
                  <w:tcW w:w="1595"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燃烧引发的伴/次生污染物排放</w:t>
                  </w:r>
                </w:p>
              </w:tc>
              <w:tc>
                <w:tcPr>
                  <w:tcW w:w="3030"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遇明火燃烧，</w:t>
                  </w:r>
                  <w:r>
                    <w:rPr>
                      <w:rFonts w:hint="default" w:ascii="Times New Roman" w:hAnsi="Times New Roman" w:eastAsia="宋体" w:cs="Times New Roman"/>
                      <w:bCs/>
                      <w:kern w:val="2"/>
                      <w:sz w:val="21"/>
                      <w:szCs w:val="21"/>
                      <w:lang w:bidi="ar"/>
                    </w:rPr>
                    <w:t>燃烧、爆炸产</w:t>
                  </w:r>
                  <w:r>
                    <w:rPr>
                      <w:rFonts w:hint="default" w:ascii="Times New Roman" w:hAnsi="Times New Roman" w:eastAsia="宋体" w:cs="Times New Roman"/>
                      <w:kern w:val="2"/>
                      <w:sz w:val="21"/>
                      <w:szCs w:val="21"/>
                      <w:lang w:bidi="ar"/>
                    </w:rPr>
                    <w:t>物是CO</w:t>
                  </w:r>
                  <w:r>
                    <w:rPr>
                      <w:rFonts w:hint="default" w:ascii="Times New Roman" w:hAnsi="Times New Roman" w:eastAsia="宋体" w:cs="Times New Roman"/>
                      <w:kern w:val="2"/>
                      <w:sz w:val="21"/>
                      <w:szCs w:val="21"/>
                      <w:vertAlign w:val="subscript"/>
                      <w:lang w:bidi="ar"/>
                    </w:rPr>
                    <w:t>2</w:t>
                  </w:r>
                  <w:r>
                    <w:rPr>
                      <w:rFonts w:hint="default" w:ascii="Times New Roman" w:hAnsi="Times New Roman" w:eastAsia="宋体" w:cs="Times New Roman"/>
                      <w:kern w:val="2"/>
                      <w:sz w:val="21"/>
                      <w:szCs w:val="21"/>
                      <w:lang w:bidi="ar"/>
                    </w:rPr>
                    <w:t>、H</w:t>
                  </w:r>
                  <w:r>
                    <w:rPr>
                      <w:rFonts w:hint="default" w:ascii="Times New Roman" w:hAnsi="Times New Roman" w:eastAsia="宋体" w:cs="Times New Roman"/>
                      <w:kern w:val="2"/>
                      <w:sz w:val="21"/>
                      <w:szCs w:val="21"/>
                      <w:vertAlign w:val="subscript"/>
                      <w:lang w:bidi="ar"/>
                    </w:rPr>
                    <w:t>2</w:t>
                  </w:r>
                  <w:r>
                    <w:rPr>
                      <w:rFonts w:hint="default" w:ascii="Times New Roman" w:hAnsi="Times New Roman" w:eastAsia="宋体" w:cs="Times New Roman"/>
                      <w:kern w:val="2"/>
                      <w:sz w:val="21"/>
                      <w:szCs w:val="21"/>
                      <w:lang w:bidi="ar"/>
                    </w:rPr>
                    <w:t>O、NO</w:t>
                  </w:r>
                  <w:r>
                    <w:rPr>
                      <w:rFonts w:hint="default" w:ascii="Times New Roman" w:hAnsi="Times New Roman" w:eastAsia="宋体" w:cs="Times New Roman"/>
                      <w:kern w:val="2"/>
                      <w:sz w:val="21"/>
                      <w:szCs w:val="21"/>
                      <w:vertAlign w:val="subscript"/>
                      <w:lang w:bidi="ar"/>
                    </w:rPr>
                    <w:t>X</w:t>
                  </w:r>
                  <w:r>
                    <w:rPr>
                      <w:rFonts w:hint="default" w:ascii="Times New Roman" w:hAnsi="Times New Roman" w:eastAsia="宋体" w:cs="Times New Roman"/>
                      <w:kern w:val="2"/>
                      <w:sz w:val="21"/>
                      <w:szCs w:val="21"/>
                      <w:lang w:bidi="ar"/>
                    </w:rPr>
                    <w:t>、SO</w:t>
                  </w:r>
                  <w:r>
                    <w:rPr>
                      <w:rFonts w:hint="default" w:ascii="Times New Roman" w:hAnsi="Times New Roman" w:eastAsia="宋体" w:cs="Times New Roman"/>
                      <w:kern w:val="2"/>
                      <w:sz w:val="21"/>
                      <w:szCs w:val="21"/>
                      <w:vertAlign w:val="subscript"/>
                      <w:lang w:bidi="ar"/>
                    </w:rPr>
                    <w:t>2</w:t>
                  </w:r>
                </w:p>
              </w:tc>
              <w:tc>
                <w:tcPr>
                  <w:tcW w:w="1867"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sz w:val="21"/>
                      <w:szCs w:val="21"/>
                      <w:lang w:bidi="ar"/>
                    </w:rPr>
                    <w:t>周边居住区、周边水体、浅层地下水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07" w:type="dxa"/>
                  <w:vAlign w:val="center"/>
                </w:tcPr>
                <w:p>
                  <w:pPr>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防老剂</w:t>
                  </w:r>
                </w:p>
              </w:tc>
              <w:tc>
                <w:tcPr>
                  <w:tcW w:w="805" w:type="dxa"/>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燃烧</w:t>
                  </w:r>
                </w:p>
              </w:tc>
              <w:tc>
                <w:tcPr>
                  <w:tcW w:w="1595"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燃烧引发的伴/次生污染物排放</w:t>
                  </w:r>
                </w:p>
              </w:tc>
              <w:tc>
                <w:tcPr>
                  <w:tcW w:w="3030"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遇明火燃烧，</w:t>
                  </w:r>
                  <w:r>
                    <w:rPr>
                      <w:rFonts w:hint="default" w:ascii="Times New Roman" w:hAnsi="Times New Roman" w:eastAsia="宋体" w:cs="Times New Roman"/>
                      <w:bCs/>
                      <w:kern w:val="2"/>
                      <w:sz w:val="21"/>
                      <w:szCs w:val="21"/>
                      <w:lang w:bidi="ar"/>
                    </w:rPr>
                    <w:t>燃烧、爆炸产</w:t>
                  </w:r>
                  <w:r>
                    <w:rPr>
                      <w:rFonts w:hint="default" w:ascii="Times New Roman" w:hAnsi="Times New Roman" w:eastAsia="宋体" w:cs="Times New Roman"/>
                      <w:kern w:val="2"/>
                      <w:sz w:val="21"/>
                      <w:szCs w:val="21"/>
                      <w:lang w:bidi="ar"/>
                    </w:rPr>
                    <w:t>物是CO</w:t>
                  </w:r>
                  <w:r>
                    <w:rPr>
                      <w:rFonts w:hint="default" w:ascii="Times New Roman" w:hAnsi="Times New Roman" w:eastAsia="宋体" w:cs="Times New Roman"/>
                      <w:kern w:val="2"/>
                      <w:sz w:val="21"/>
                      <w:szCs w:val="21"/>
                      <w:vertAlign w:val="subscript"/>
                      <w:lang w:bidi="ar"/>
                    </w:rPr>
                    <w:t>2</w:t>
                  </w:r>
                  <w:r>
                    <w:rPr>
                      <w:rFonts w:hint="default" w:ascii="Times New Roman" w:hAnsi="Times New Roman" w:eastAsia="宋体" w:cs="Times New Roman"/>
                      <w:kern w:val="2"/>
                      <w:sz w:val="21"/>
                      <w:szCs w:val="21"/>
                      <w:lang w:bidi="ar"/>
                    </w:rPr>
                    <w:t>、H</w:t>
                  </w:r>
                  <w:r>
                    <w:rPr>
                      <w:rFonts w:hint="default" w:ascii="Times New Roman" w:hAnsi="Times New Roman" w:eastAsia="宋体" w:cs="Times New Roman"/>
                      <w:kern w:val="2"/>
                      <w:sz w:val="21"/>
                      <w:szCs w:val="21"/>
                      <w:vertAlign w:val="subscript"/>
                      <w:lang w:bidi="ar"/>
                    </w:rPr>
                    <w:t>2</w:t>
                  </w:r>
                  <w:r>
                    <w:rPr>
                      <w:rFonts w:hint="default" w:ascii="Times New Roman" w:hAnsi="Times New Roman" w:eastAsia="宋体" w:cs="Times New Roman"/>
                      <w:kern w:val="2"/>
                      <w:sz w:val="21"/>
                      <w:szCs w:val="21"/>
                      <w:lang w:bidi="ar"/>
                    </w:rPr>
                    <w:t>O、NO</w:t>
                  </w:r>
                  <w:r>
                    <w:rPr>
                      <w:rFonts w:hint="default" w:ascii="Times New Roman" w:hAnsi="Times New Roman" w:eastAsia="宋体" w:cs="Times New Roman"/>
                      <w:kern w:val="2"/>
                      <w:sz w:val="21"/>
                      <w:szCs w:val="21"/>
                      <w:vertAlign w:val="subscript"/>
                      <w:lang w:bidi="ar"/>
                    </w:rPr>
                    <w:t>X</w:t>
                  </w:r>
                </w:p>
              </w:tc>
              <w:tc>
                <w:tcPr>
                  <w:tcW w:w="1867"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sz w:val="21"/>
                      <w:szCs w:val="21"/>
                      <w:lang w:bidi="ar"/>
                    </w:rPr>
                    <w:t>周边居住区、周边水体、浅层地下水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07" w:type="dxa"/>
                  <w:vAlign w:val="center"/>
                </w:tcPr>
                <w:p>
                  <w:pPr>
                    <w:topLinePunct/>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含硫颗粒物</w:t>
                  </w:r>
                </w:p>
              </w:tc>
              <w:tc>
                <w:tcPr>
                  <w:tcW w:w="805" w:type="dxa"/>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燃烧</w:t>
                  </w:r>
                </w:p>
              </w:tc>
              <w:tc>
                <w:tcPr>
                  <w:tcW w:w="1595"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燃烧引发的伴/次生污染物排放</w:t>
                  </w:r>
                </w:p>
              </w:tc>
              <w:tc>
                <w:tcPr>
                  <w:tcW w:w="3030"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遇明火燃烧，</w:t>
                  </w:r>
                  <w:r>
                    <w:rPr>
                      <w:rFonts w:hint="default" w:ascii="Times New Roman" w:hAnsi="Times New Roman" w:eastAsia="宋体" w:cs="Times New Roman"/>
                      <w:bCs/>
                      <w:kern w:val="2"/>
                      <w:sz w:val="21"/>
                      <w:szCs w:val="21"/>
                      <w:lang w:bidi="ar"/>
                    </w:rPr>
                    <w:t>燃烧、爆炸产</w:t>
                  </w:r>
                  <w:r>
                    <w:rPr>
                      <w:rFonts w:hint="default" w:ascii="Times New Roman" w:hAnsi="Times New Roman" w:eastAsia="宋体" w:cs="Times New Roman"/>
                      <w:kern w:val="2"/>
                      <w:sz w:val="21"/>
                      <w:szCs w:val="21"/>
                      <w:lang w:bidi="ar"/>
                    </w:rPr>
                    <w:t>物是SO</w:t>
                  </w:r>
                  <w:r>
                    <w:rPr>
                      <w:rFonts w:hint="default" w:ascii="Times New Roman" w:hAnsi="Times New Roman" w:eastAsia="宋体" w:cs="Times New Roman"/>
                      <w:kern w:val="2"/>
                      <w:sz w:val="21"/>
                      <w:szCs w:val="21"/>
                      <w:vertAlign w:val="subscript"/>
                      <w:lang w:bidi="ar"/>
                    </w:rPr>
                    <w:t>2</w:t>
                  </w:r>
                </w:p>
              </w:tc>
              <w:tc>
                <w:tcPr>
                  <w:tcW w:w="1867"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sz w:val="21"/>
                      <w:szCs w:val="21"/>
                      <w:lang w:bidi="ar"/>
                    </w:rPr>
                    <w:t>周边居住区、周边水体、浅层地下水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207" w:type="dxa"/>
                  <w:vAlign w:val="center"/>
                </w:tcPr>
                <w:p>
                  <w:pPr>
                    <w:topLinePunct/>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废液压油</w:t>
                  </w:r>
                </w:p>
              </w:tc>
              <w:tc>
                <w:tcPr>
                  <w:tcW w:w="805" w:type="dxa"/>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燃烧</w:t>
                  </w:r>
                </w:p>
              </w:tc>
              <w:tc>
                <w:tcPr>
                  <w:tcW w:w="1595"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泄漏、燃烧引发的伴/次生污染物排放</w:t>
                  </w:r>
                </w:p>
              </w:tc>
              <w:tc>
                <w:tcPr>
                  <w:tcW w:w="3030"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kern w:val="2"/>
                      <w:sz w:val="21"/>
                      <w:szCs w:val="21"/>
                      <w:lang w:bidi="ar"/>
                    </w:rPr>
                    <w:t>泄漏危害主要是污染未硬化/未防渗地面、土壤或经土壤渗入地下水，可能影响土壤环境、地下水环境</w:t>
                  </w:r>
                </w:p>
              </w:tc>
              <w:tc>
                <w:tcPr>
                  <w:tcW w:w="1867" w:type="dxa"/>
                  <w:vAlign w:val="center"/>
                </w:tcPr>
                <w:p>
                  <w:pPr>
                    <w:widowControl w:val="0"/>
                    <w:tabs>
                      <w:tab w:val="left" w:pos="120"/>
                    </w:tabs>
                    <w:spacing w:after="0" w:line="290" w:lineRule="exact"/>
                    <w:rPr>
                      <w:rFonts w:hint="default" w:ascii="Times New Roman" w:hAnsi="Times New Roman" w:cs="Times New Roman" w:eastAsiaTheme="minorEastAsia"/>
                      <w:sz w:val="21"/>
                      <w:szCs w:val="21"/>
                    </w:rPr>
                  </w:pPr>
                  <w:r>
                    <w:rPr>
                      <w:rFonts w:hint="default" w:ascii="Times New Roman" w:hAnsi="Times New Roman" w:eastAsia="宋体" w:cs="Times New Roman"/>
                      <w:bCs/>
                      <w:sz w:val="21"/>
                      <w:szCs w:val="21"/>
                      <w:lang w:bidi="ar"/>
                    </w:rPr>
                    <w:t>周边居住区、周边水体、浅层地下水</w:t>
                  </w:r>
                </w:p>
              </w:tc>
            </w:tr>
          </w:tbl>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4.2.5.4环境风险防范措施</w:t>
            </w:r>
          </w:p>
          <w:p>
            <w:pPr>
              <w:widowControl w:val="0"/>
              <w:spacing w:after="0" w:line="420" w:lineRule="exact"/>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kern w:val="2"/>
                <w:sz w:val="24"/>
                <w:szCs w:val="24"/>
                <w:lang w:bidi="ar"/>
              </w:rPr>
              <w:t>（1）严禁烟火、明火，严禁吸烟，</w:t>
            </w:r>
            <w:r>
              <w:rPr>
                <w:rFonts w:hint="default" w:ascii="Times New Roman" w:hAnsi="Times New Roman" w:eastAsia="宋体" w:cs="Times New Roman"/>
                <w:bCs/>
                <w:kern w:val="2"/>
                <w:sz w:val="24"/>
                <w:szCs w:val="24"/>
                <w:lang w:bidi="ar"/>
              </w:rPr>
              <w:t>规范张贴消防、安全警示标识标牌，加强房间通风</w:t>
            </w:r>
            <w:r>
              <w:rPr>
                <w:rFonts w:hint="default" w:ascii="Times New Roman" w:hAnsi="Times New Roman" w:eastAsia="宋体" w:cs="Times New Roman"/>
                <w:kern w:val="2"/>
                <w:sz w:val="24"/>
                <w:szCs w:val="24"/>
                <w:lang w:bidi="ar"/>
              </w:rPr>
              <w:t>。</w:t>
            </w:r>
          </w:p>
          <w:p>
            <w:pPr>
              <w:widowControl w:val="0"/>
              <w:spacing w:after="0" w:line="420" w:lineRule="exact"/>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kern w:val="2"/>
                <w:sz w:val="24"/>
                <w:szCs w:val="24"/>
                <w:lang w:bidi="ar"/>
              </w:rPr>
              <w:t>（2）</w:t>
            </w:r>
            <w:r>
              <w:rPr>
                <w:rFonts w:hint="default" w:ascii="Times New Roman" w:hAnsi="Times New Roman" w:eastAsia="宋体" w:cs="Times New Roman"/>
                <w:bCs/>
                <w:kern w:val="2"/>
                <w:sz w:val="24"/>
                <w:szCs w:val="24"/>
                <w:lang w:bidi="ar"/>
              </w:rPr>
              <w:t>合理选择符合相应要求的建筑材料，合理设置防火分区和平面布置，合理布置消防应急照明和灯光疏散指示标志，合理配置消防器材，配备个人防护用具和</w:t>
            </w:r>
            <w:r>
              <w:rPr>
                <w:rFonts w:hint="default" w:ascii="Times New Roman" w:hAnsi="Times New Roman" w:eastAsia="宋体" w:cs="Times New Roman"/>
                <w:kern w:val="2"/>
                <w:sz w:val="24"/>
                <w:szCs w:val="24"/>
                <w:lang w:bidi="ar"/>
              </w:rPr>
              <w:t>急救药箱</w:t>
            </w:r>
            <w:r>
              <w:rPr>
                <w:rFonts w:hint="default" w:ascii="Times New Roman" w:hAnsi="Times New Roman" w:eastAsia="宋体" w:cs="Times New Roman"/>
                <w:bCs/>
                <w:kern w:val="2"/>
                <w:sz w:val="24"/>
                <w:szCs w:val="24"/>
                <w:lang w:bidi="ar"/>
              </w:rPr>
              <w:t>，</w:t>
            </w:r>
            <w:r>
              <w:rPr>
                <w:rFonts w:hint="default" w:ascii="Times New Roman" w:hAnsi="Times New Roman" w:eastAsia="宋体" w:cs="Times New Roman"/>
                <w:kern w:val="2"/>
                <w:sz w:val="24"/>
                <w:szCs w:val="24"/>
                <w:lang w:bidi="ar"/>
              </w:rPr>
              <w:t>设专人进行管理</w:t>
            </w:r>
            <w:r>
              <w:rPr>
                <w:rFonts w:hint="default" w:ascii="Times New Roman" w:hAnsi="Times New Roman" w:eastAsia="宋体" w:cs="Times New Roman"/>
                <w:bCs/>
                <w:kern w:val="2"/>
                <w:sz w:val="24"/>
                <w:szCs w:val="24"/>
                <w:lang w:bidi="ar"/>
              </w:rPr>
              <w:t>。绘制并张贴逃生路线，定期演练。</w:t>
            </w:r>
          </w:p>
          <w:p>
            <w:pPr>
              <w:widowControl w:val="0"/>
              <w:spacing w:after="0" w:line="420" w:lineRule="exact"/>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kern w:val="2"/>
                <w:sz w:val="24"/>
                <w:szCs w:val="24"/>
                <w:lang w:bidi="ar"/>
              </w:rPr>
              <w:t>（3）</w:t>
            </w:r>
            <w:r>
              <w:rPr>
                <w:rFonts w:hint="default" w:ascii="Times New Roman" w:hAnsi="Times New Roman" w:eastAsia="宋体" w:cs="Times New Roman"/>
                <w:bCs/>
                <w:kern w:val="2"/>
                <w:sz w:val="24"/>
                <w:szCs w:val="20"/>
                <w:lang w:bidi="ar"/>
              </w:rPr>
              <w:t>厂房应阴凉</w:t>
            </w:r>
            <w:r>
              <w:rPr>
                <w:rFonts w:hint="default" w:ascii="Times New Roman" w:hAnsi="Times New Roman" w:eastAsia="宋体" w:cs="Times New Roman"/>
                <w:bCs/>
                <w:kern w:val="2"/>
                <w:sz w:val="24"/>
                <w:szCs w:val="24"/>
                <w:lang w:bidi="ar"/>
              </w:rPr>
              <w:t>、通风；远离火种、热源；避光保存；应与易（可）燃物、禁配物等分开存放，切忌混储。</w:t>
            </w:r>
          </w:p>
          <w:p>
            <w:pPr>
              <w:widowControl w:val="0"/>
              <w:spacing w:after="0" w:line="420" w:lineRule="exact"/>
              <w:ind w:firstLine="480" w:firstLineChars="200"/>
              <w:jc w:val="both"/>
              <w:rPr>
                <w:rFonts w:hint="default" w:ascii="Times New Roman" w:hAnsi="Times New Roman" w:cs="Times New Roman"/>
                <w:bCs/>
                <w:sz w:val="24"/>
                <w:szCs w:val="24"/>
              </w:rPr>
            </w:pPr>
            <w:r>
              <w:rPr>
                <w:rFonts w:hint="default" w:ascii="Times New Roman" w:hAnsi="Times New Roman" w:eastAsia="宋体" w:cs="Times New Roman"/>
                <w:bCs/>
                <w:kern w:val="2"/>
                <w:sz w:val="24"/>
                <w:szCs w:val="24"/>
                <w:lang w:bidi="ar"/>
              </w:rPr>
              <w:t>（4）车间地坪硬化；油料存放区存放的桶装油料放置于托盘内，托盘容积满足其存放单桶液体物料的最大存放量，托盘材质需与物料相容。</w:t>
            </w:r>
          </w:p>
          <w:p>
            <w:pPr>
              <w:spacing w:after="0" w:line="420" w:lineRule="exact"/>
              <w:ind w:firstLine="480" w:firstLineChars="200"/>
              <w:rPr>
                <w:rFonts w:hint="default" w:ascii="Times New Roman" w:hAnsi="Times New Roman" w:eastAsia="宋体" w:cs="Times New Roman"/>
                <w:bCs/>
                <w:kern w:val="2"/>
                <w:sz w:val="24"/>
                <w:szCs w:val="24"/>
                <w:lang w:bidi="ar"/>
              </w:rPr>
            </w:pPr>
            <w:r>
              <w:rPr>
                <w:rFonts w:hint="default" w:ascii="Times New Roman" w:hAnsi="Times New Roman" w:eastAsia="宋体" w:cs="Times New Roman"/>
                <w:kern w:val="2"/>
                <w:sz w:val="24"/>
                <w:szCs w:val="24"/>
                <w:lang w:bidi="ar"/>
              </w:rPr>
              <w:t>（5）新建危废贮存点，分类分区暂存危废，桶装液体危险废物置于托盘内，</w:t>
            </w:r>
            <w:r>
              <w:rPr>
                <w:rFonts w:hint="default" w:ascii="Times New Roman" w:hAnsi="Times New Roman" w:cs="Times New Roman" w:eastAsiaTheme="minorEastAsia"/>
                <w:sz w:val="24"/>
                <w:szCs w:val="24"/>
              </w:rPr>
              <w:t>托盘容积满足其存放单桶液体物料的最大存放量，</w:t>
            </w:r>
            <w:r>
              <w:rPr>
                <w:rFonts w:hint="default" w:ascii="Times New Roman" w:hAnsi="Times New Roman" w:eastAsia="宋体" w:cs="Times New Roman"/>
                <w:bCs/>
                <w:kern w:val="2"/>
                <w:sz w:val="24"/>
                <w:szCs w:val="24"/>
                <w:lang w:bidi="ar"/>
              </w:rPr>
              <w:t>托盘材质需与物料相容。</w:t>
            </w:r>
          </w:p>
          <w:p>
            <w:pPr>
              <w:widowControl w:val="0"/>
              <w:spacing w:after="0" w:line="420" w:lineRule="exact"/>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bCs/>
                <w:kern w:val="2"/>
                <w:sz w:val="24"/>
                <w:szCs w:val="24"/>
                <w:lang w:bidi="ar"/>
              </w:rPr>
              <w:t>（6）</w:t>
            </w:r>
            <w:r>
              <w:rPr>
                <w:rFonts w:hint="default" w:ascii="Times New Roman" w:hAnsi="Times New Roman" w:eastAsia="宋体" w:cs="Times New Roman"/>
                <w:kern w:val="2"/>
                <w:sz w:val="24"/>
                <w:szCs w:val="24"/>
                <w:lang w:bidi="ar"/>
              </w:rPr>
              <w:t>配备合适的收容材料：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p>
            <w:pPr>
              <w:spacing w:after="0" w:line="420" w:lineRule="exact"/>
              <w:ind w:firstLine="480" w:firstLineChars="200"/>
              <w:rPr>
                <w:rFonts w:hint="default" w:ascii="Times New Roman" w:hAnsi="Times New Roman" w:eastAsia="方正小标宋_GBK" w:cs="Times New Roman"/>
                <w:b/>
                <w:sz w:val="24"/>
                <w:szCs w:val="24"/>
              </w:rPr>
            </w:pPr>
            <w:r>
              <w:rPr>
                <w:rFonts w:hint="default" w:ascii="Times New Roman" w:hAnsi="Times New Roman" w:eastAsia="宋体" w:cs="Times New Roman"/>
                <w:kern w:val="2"/>
                <w:sz w:val="24"/>
                <w:szCs w:val="24"/>
                <w:lang w:bidi="ar"/>
              </w:rPr>
              <w:t>（7）建立健全各项规章制度、操作规程，建立并记录各类台账。</w:t>
            </w:r>
          </w:p>
          <w:p>
            <w:pPr>
              <w:spacing w:after="0" w:line="420" w:lineRule="exact"/>
              <w:rPr>
                <w:rFonts w:hint="default" w:ascii="Times New Roman" w:hAnsi="Times New Roman" w:eastAsia="Times New Roman" w:cs="Times New Roman"/>
                <w:b/>
                <w:kern w:val="2"/>
                <w:sz w:val="24"/>
                <w:szCs w:val="24"/>
              </w:rPr>
            </w:pPr>
            <w:r>
              <w:rPr>
                <w:rFonts w:hint="default" w:ascii="Times New Roman" w:hAnsi="Times New Roman" w:eastAsia="Times New Roman" w:cs="Times New Roman"/>
                <w:b/>
                <w:kern w:val="2"/>
                <w:sz w:val="24"/>
                <w:szCs w:val="24"/>
              </w:rPr>
              <w:t>4.2.6</w:t>
            </w:r>
            <w:r>
              <w:rPr>
                <w:rFonts w:hint="default" w:ascii="Times New Roman" w:hAnsi="Times New Roman" w:eastAsia="宋体" w:cs="Times New Roman"/>
                <w:b/>
                <w:kern w:val="2"/>
                <w:sz w:val="24"/>
                <w:szCs w:val="24"/>
              </w:rPr>
              <w:t>地下水和土壤</w:t>
            </w:r>
          </w:p>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4.2.6.1污染源及污染途径</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本项目污染源及污染途径，见表4.2-</w:t>
            </w:r>
            <w:r>
              <w:rPr>
                <w:rFonts w:hint="default" w:ascii="Times New Roman" w:hAnsi="Times New Roman" w:eastAsia="宋体" w:cs="Times New Roman"/>
                <w:kern w:val="2"/>
                <w:sz w:val="24"/>
                <w:szCs w:val="24"/>
                <w:lang w:val="en-US" w:eastAsia="zh-CN" w:bidi="ar"/>
              </w:rPr>
              <w:t>32</w:t>
            </w:r>
            <w:r>
              <w:rPr>
                <w:rFonts w:hint="default" w:ascii="Times New Roman" w:hAnsi="Times New Roman" w:eastAsia="宋体" w:cs="Times New Roman"/>
                <w:kern w:val="2"/>
                <w:sz w:val="24"/>
                <w:szCs w:val="24"/>
                <w:lang w:bidi="ar"/>
              </w:rPr>
              <w:t>。</w:t>
            </w:r>
          </w:p>
          <w:p>
            <w:pPr>
              <w:spacing w:after="0" w:line="420" w:lineRule="exact"/>
              <w:ind w:firstLine="481" w:firstLineChars="200"/>
              <w:jc w:val="center"/>
              <w:rPr>
                <w:rFonts w:hint="default" w:ascii="Times New Roman" w:hAnsi="Times New Roman" w:eastAsia="宋体" w:cs="Times New Roman"/>
                <w:b/>
                <w:bCs/>
                <w:kern w:val="2"/>
                <w:sz w:val="24"/>
                <w:szCs w:val="24"/>
                <w:lang w:bidi="ar"/>
              </w:rPr>
            </w:pPr>
            <w:r>
              <w:rPr>
                <w:rFonts w:hint="default" w:ascii="Times New Roman" w:hAnsi="Times New Roman" w:eastAsia="宋体" w:cs="Times New Roman"/>
                <w:b/>
                <w:bCs/>
                <w:kern w:val="2"/>
                <w:sz w:val="24"/>
                <w:szCs w:val="24"/>
                <w:lang w:bidi="ar"/>
              </w:rPr>
              <w:t>表4.2-</w:t>
            </w:r>
            <w:r>
              <w:rPr>
                <w:rFonts w:hint="default" w:ascii="Times New Roman" w:hAnsi="Times New Roman" w:eastAsia="宋体" w:cs="Times New Roman"/>
                <w:b/>
                <w:bCs/>
                <w:kern w:val="2"/>
                <w:sz w:val="24"/>
                <w:szCs w:val="24"/>
                <w:lang w:val="en-US" w:eastAsia="zh-CN" w:bidi="ar"/>
              </w:rPr>
              <w:t>32</w:t>
            </w:r>
            <w:r>
              <w:rPr>
                <w:rFonts w:hint="default" w:ascii="Times New Roman" w:hAnsi="Times New Roman" w:eastAsia="宋体" w:cs="Times New Roman"/>
                <w:b/>
                <w:bCs/>
                <w:kern w:val="2"/>
                <w:sz w:val="24"/>
                <w:szCs w:val="24"/>
                <w:lang w:bidi="ar"/>
              </w:rPr>
              <w:t xml:space="preserve">  本项目污染源及污染途径</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360"/>
              <w:gridCol w:w="5384"/>
              <w:gridCol w:w="1075"/>
              <w:gridCol w:w="125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360" w:type="dxa"/>
                  <w:tcBorders>
                    <w:top w:val="single" w:color="auto" w:sz="4" w:space="0"/>
                    <w:left w:val="nil"/>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污染源</w:t>
                  </w:r>
                </w:p>
              </w:tc>
              <w:tc>
                <w:tcPr>
                  <w:tcW w:w="5384"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产污环节及情景设定</w:t>
                  </w:r>
                </w:p>
              </w:tc>
              <w:tc>
                <w:tcPr>
                  <w:tcW w:w="1075"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污染物</w:t>
                  </w:r>
                </w:p>
              </w:tc>
              <w:tc>
                <w:tcPr>
                  <w:tcW w:w="1253" w:type="dxa"/>
                  <w:tcBorders>
                    <w:top w:val="single" w:color="auto" w:sz="4" w:space="0"/>
                    <w:left w:val="single" w:color="auto" w:sz="6" w:space="0"/>
                    <w:bottom w:val="single" w:color="auto" w:sz="4" w:space="0"/>
                    <w:right w:val="nil"/>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污染途径</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360" w:type="dxa"/>
                  <w:vMerge w:val="restart"/>
                  <w:tcBorders>
                    <w:top w:val="single" w:color="auto" w:sz="4" w:space="0"/>
                    <w:left w:val="nil"/>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油料存放区</w:t>
                  </w:r>
                </w:p>
              </w:tc>
              <w:tc>
                <w:tcPr>
                  <w:tcW w:w="5384"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正常工况：桶装油品置于托盘内，地面有防渗处理</w:t>
                  </w:r>
                </w:p>
              </w:tc>
              <w:tc>
                <w:tcPr>
                  <w:tcW w:w="1075"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53" w:type="dxa"/>
                  <w:tcBorders>
                    <w:top w:val="single" w:color="auto" w:sz="4" w:space="0"/>
                    <w:left w:val="single" w:color="auto" w:sz="6" w:space="0"/>
                    <w:bottom w:val="single" w:color="auto" w:sz="4" w:space="0"/>
                    <w:right w:val="nil"/>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360" w:type="dxa"/>
                  <w:vMerge w:val="continue"/>
                  <w:tcBorders>
                    <w:left w:val="nil"/>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p>
              </w:tc>
              <w:tc>
                <w:tcPr>
                  <w:tcW w:w="5384"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非正常工况：油品泄漏，托盘和地面防渗层有破损，油品可随裂缝处进入厂房硬化层，随后进入土壤层和地下水层</w:t>
                  </w:r>
                </w:p>
              </w:tc>
              <w:tc>
                <w:tcPr>
                  <w:tcW w:w="1075"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石油类</w:t>
                  </w:r>
                </w:p>
              </w:tc>
              <w:tc>
                <w:tcPr>
                  <w:tcW w:w="1253" w:type="dxa"/>
                  <w:tcBorders>
                    <w:top w:val="single" w:color="auto" w:sz="4" w:space="0"/>
                    <w:left w:val="single" w:color="auto" w:sz="6" w:space="0"/>
                    <w:bottom w:val="single" w:color="auto" w:sz="4" w:space="0"/>
                    <w:right w:val="nil"/>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垂直入渗</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360" w:type="dxa"/>
                  <w:vMerge w:val="restart"/>
                  <w:tcBorders>
                    <w:left w:val="nil"/>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危废贮存点</w:t>
                  </w:r>
                </w:p>
              </w:tc>
              <w:tc>
                <w:tcPr>
                  <w:tcW w:w="5384"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正常工况：桶装液体危险废物（废液压油）置于托盘内，地面有防渗处理</w:t>
                  </w:r>
                </w:p>
              </w:tc>
              <w:tc>
                <w:tcPr>
                  <w:tcW w:w="1075"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53" w:type="dxa"/>
                  <w:tcBorders>
                    <w:top w:val="single" w:color="auto" w:sz="4" w:space="0"/>
                    <w:left w:val="single" w:color="auto" w:sz="6" w:space="0"/>
                    <w:bottom w:val="single" w:color="auto" w:sz="4" w:space="0"/>
                    <w:right w:val="nil"/>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360" w:type="dxa"/>
                  <w:vMerge w:val="continue"/>
                  <w:tcBorders>
                    <w:left w:val="nil"/>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p>
              </w:tc>
              <w:tc>
                <w:tcPr>
                  <w:tcW w:w="5384"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非正常工况：液体危险废物（废液压油）泄漏，托盘和地面防渗层有破损，油品可随裂缝处进入厂房硬化层，随后进入土壤层和地下水层</w:t>
                  </w:r>
                </w:p>
              </w:tc>
              <w:tc>
                <w:tcPr>
                  <w:tcW w:w="1075" w:type="dxa"/>
                  <w:tcBorders>
                    <w:top w:val="single" w:color="auto" w:sz="4" w:space="0"/>
                    <w:left w:val="single" w:color="auto" w:sz="6" w:space="0"/>
                    <w:bottom w:val="single" w:color="auto" w:sz="4" w:space="0"/>
                    <w:right w:val="single" w:color="auto" w:sz="6" w:space="0"/>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石油类</w:t>
                  </w:r>
                </w:p>
              </w:tc>
              <w:tc>
                <w:tcPr>
                  <w:tcW w:w="1253" w:type="dxa"/>
                  <w:tcBorders>
                    <w:top w:val="single" w:color="auto" w:sz="4" w:space="0"/>
                    <w:left w:val="single" w:color="auto" w:sz="6" w:space="0"/>
                    <w:bottom w:val="single" w:color="auto" w:sz="4" w:space="0"/>
                    <w:right w:val="nil"/>
                  </w:tcBorders>
                  <w:shd w:val="clear" w:color="auto" w:fill="auto"/>
                  <w:vAlign w:val="center"/>
                </w:tcPr>
                <w:p>
                  <w:pPr>
                    <w:widowControl w:val="0"/>
                    <w:tabs>
                      <w:tab w:val="left" w:pos="120"/>
                    </w:tabs>
                    <w:spacing w:after="0" w:line="29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垂直入渗</w:t>
                  </w:r>
                </w:p>
              </w:tc>
            </w:tr>
          </w:tbl>
          <w:p>
            <w:pPr>
              <w:spacing w:after="0" w:line="420" w:lineRule="exact"/>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4.2.6.2污染防控措施</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依据HJ610-2016《环境影响评价技术导则  地下水环境》，重点防渗区、一般防渗区、简单防渗区划分及防渗要求如下：</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（1）重点防渗区</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油料存放区、危废贮存点。防渗技术要求：等效黏土防渗层Mb≥6.0m，K≤1×10-7cm/s。</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（2）一般防渗区</w:t>
            </w:r>
          </w:p>
          <w:p>
            <w:pPr>
              <w:spacing w:after="0" w:line="420" w:lineRule="exact"/>
              <w:ind w:firstLine="720" w:firstLineChars="3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注塑区、车用橡胶圈生产区、机修房、固体物料存放区、一般固废暂存间。防渗技术要求：等效黏土防渗层Mb≥1.5m，K≤1×10</w:t>
            </w:r>
            <w:r>
              <w:rPr>
                <w:rFonts w:hint="default" w:ascii="Times New Roman" w:hAnsi="Times New Roman" w:eastAsia="宋体" w:cs="Times New Roman"/>
                <w:kern w:val="2"/>
                <w:sz w:val="24"/>
                <w:szCs w:val="24"/>
                <w:vertAlign w:val="superscript"/>
                <w:lang w:bidi="ar"/>
              </w:rPr>
              <w:t>-7</w:t>
            </w:r>
            <w:r>
              <w:rPr>
                <w:rFonts w:hint="default" w:ascii="Times New Roman" w:hAnsi="Times New Roman" w:eastAsia="宋体" w:cs="Times New Roman"/>
                <w:kern w:val="2"/>
                <w:sz w:val="24"/>
                <w:szCs w:val="24"/>
                <w:lang w:bidi="ar"/>
              </w:rPr>
              <w:t>cm/s。</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（3）简单防渗区</w:t>
            </w:r>
          </w:p>
          <w:p>
            <w:pPr>
              <w:spacing w:after="0" w:line="420" w:lineRule="exact"/>
              <w:ind w:firstLine="480" w:firstLineChars="200"/>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线束车间、隔热垫生产区、车窗升降机生产区、修边室、模具存放区、半成品胶料存放区、库房。防渗技术要求：一般地面硬化。</w:t>
            </w:r>
          </w:p>
          <w:p>
            <w:pPr>
              <w:spacing w:after="0" w:line="42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4.2.7生态</w:t>
            </w:r>
          </w:p>
          <w:p>
            <w:pPr>
              <w:spacing w:after="0" w:line="420" w:lineRule="exact"/>
              <w:ind w:firstLine="480" w:firstLineChars="200"/>
              <w:rPr>
                <w:rFonts w:hint="default" w:ascii="Times New Roman" w:hAnsi="Times New Roman" w:cs="Times New Roman"/>
              </w:rPr>
            </w:pPr>
            <w:r>
              <w:rPr>
                <w:rFonts w:hint="default" w:ascii="Times New Roman" w:hAnsi="Times New Roman" w:cs="Times New Roman" w:eastAsiaTheme="minorEastAsia"/>
                <w:sz w:val="24"/>
              </w:rPr>
              <w:t>本项目位于</w:t>
            </w:r>
            <w:r>
              <w:rPr>
                <w:rFonts w:hint="default" w:ascii="Times New Roman" w:hAnsi="Times New Roman" w:eastAsia="宋体" w:cs="Times New Roman"/>
                <w:kern w:val="2"/>
                <w:sz w:val="24"/>
                <w:szCs w:val="24"/>
              </w:rPr>
              <w:t>合川区草街街道农创路(合川工业园南溪组团B区)</w:t>
            </w:r>
            <w:r>
              <w:rPr>
                <w:rFonts w:hint="default" w:ascii="Times New Roman" w:hAnsi="Times New Roman" w:cs="Times New Roman" w:eastAsiaTheme="minorEastAsia"/>
                <w:sz w:val="24"/>
              </w:rPr>
              <w:t>，项目所在地及周边无生态环境保护目标分布，不属于《建设项目环境影响报告表编制技术指南（污染影响类）》（试行）中要求进行运营期环境影响和保护措施的范围。</w:t>
            </w:r>
          </w:p>
        </w:tc>
      </w:tr>
    </w:tbl>
    <w:p>
      <w:pPr>
        <w:spacing w:after="0" w:line="420" w:lineRule="exact"/>
        <w:rPr>
          <w:rFonts w:hint="default" w:ascii="Times New Roman" w:hAnsi="Times New Roman" w:eastAsia="宋体" w:cs="Times New Roman"/>
          <w:kern w:val="2"/>
          <w:sz w:val="24"/>
          <w:szCs w:val="24"/>
        </w:rPr>
        <w:sectPr>
          <w:pgSz w:w="11906" w:h="16838"/>
          <w:pgMar w:top="1417" w:right="1417" w:bottom="1417" w:left="1417" w:header="1134" w:footer="1021" w:gutter="0"/>
          <w:cols w:space="708" w:num="1"/>
          <w:docGrid w:linePitch="360" w:charSpace="0"/>
        </w:sectPr>
      </w:pPr>
    </w:p>
    <w:p>
      <w:pPr>
        <w:pStyle w:val="2"/>
        <w:numPr>
          <w:ilvl w:val="0"/>
          <w:numId w:val="7"/>
        </w:numPr>
        <w:spacing w:before="0" w:after="0" w:line="24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环境保护措施监督检查清单</w:t>
      </w:r>
    </w:p>
    <w:tbl>
      <w:tblPr>
        <w:tblStyle w:val="31"/>
        <w:tblW w:w="92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1018"/>
        <w:gridCol w:w="1589"/>
        <w:gridCol w:w="1423"/>
        <w:gridCol w:w="2308"/>
        <w:gridCol w:w="2888"/>
        <w:gridCol w:w="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80" w:hRule="atLeast"/>
          <w:jc w:val="center"/>
        </w:trPr>
        <w:tc>
          <w:tcPr>
            <w:tcW w:w="1018" w:type="dxa"/>
            <w:tcBorders>
              <w:top w:val="single" w:color="auto" w:sz="12" w:space="0"/>
              <w:bottom w:val="single" w:color="auto" w:sz="6" w:space="0"/>
              <w:tl2br w:val="single" w:color="auto" w:sz="4" w:space="0"/>
            </w:tcBorders>
            <w:vAlign w:val="center"/>
          </w:tcPr>
          <w:p>
            <w:pPr>
              <w:spacing w:after="0" w:line="360" w:lineRule="exact"/>
              <w:jc w:val="righ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内容</w:t>
            </w:r>
          </w:p>
          <w:p>
            <w:pPr>
              <w:spacing w:after="0" w:line="360" w:lineRule="exac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要素</w:t>
            </w:r>
          </w:p>
        </w:tc>
        <w:tc>
          <w:tcPr>
            <w:tcW w:w="1589" w:type="dxa"/>
            <w:vAlign w:val="center"/>
          </w:tcPr>
          <w:p>
            <w:pPr>
              <w:spacing w:after="0"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排放口（编号、名称）/污染源</w:t>
            </w:r>
          </w:p>
        </w:tc>
        <w:tc>
          <w:tcPr>
            <w:tcW w:w="1423" w:type="dxa"/>
            <w:vAlign w:val="center"/>
          </w:tcPr>
          <w:p>
            <w:pPr>
              <w:spacing w:after="0"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污染物项目</w:t>
            </w:r>
          </w:p>
        </w:tc>
        <w:tc>
          <w:tcPr>
            <w:tcW w:w="2308" w:type="dxa"/>
            <w:vAlign w:val="center"/>
          </w:tcPr>
          <w:p>
            <w:pPr>
              <w:spacing w:after="0"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环境保护措施</w:t>
            </w:r>
          </w:p>
        </w:tc>
        <w:tc>
          <w:tcPr>
            <w:tcW w:w="2903" w:type="dxa"/>
            <w:gridSpan w:val="2"/>
            <w:vAlign w:val="center"/>
          </w:tcPr>
          <w:p>
            <w:pPr>
              <w:spacing w:after="0"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restart"/>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大气环境</w:t>
            </w:r>
          </w:p>
        </w:tc>
        <w:tc>
          <w:tcPr>
            <w:tcW w:w="1589" w:type="dxa"/>
            <w:vMerge w:val="restart"/>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注塑废气</w:t>
            </w:r>
          </w:p>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排放口（DA001）</w:t>
            </w:r>
          </w:p>
        </w:tc>
        <w:tc>
          <w:tcPr>
            <w:tcW w:w="1423" w:type="dxa"/>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非甲烷总烃</w:t>
            </w:r>
          </w:p>
        </w:tc>
        <w:tc>
          <w:tcPr>
            <w:tcW w:w="2308" w:type="dxa"/>
            <w:vMerge w:val="restart"/>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风机风量25000m³/h，集气罩+二级活性炭吸附</w:t>
            </w:r>
            <w:r>
              <w:rPr>
                <w:rFonts w:hint="default" w:ascii="Times New Roman" w:hAnsi="Times New Roman" w:eastAsia="宋体" w:cs="Times New Roman"/>
                <w:kern w:val="2"/>
                <w:sz w:val="21"/>
                <w:szCs w:val="21"/>
                <w:lang w:bidi="ar"/>
              </w:rPr>
              <w:t>+25m高</w:t>
            </w:r>
            <w:r>
              <w:rPr>
                <w:rFonts w:hint="default" w:ascii="Times New Roman" w:hAnsi="Times New Roman" w:cs="Times New Roman" w:eastAsiaTheme="minorEastAsia"/>
                <w:kern w:val="2"/>
                <w:sz w:val="21"/>
                <w:szCs w:val="21"/>
              </w:rPr>
              <w:t>DA001</w:t>
            </w:r>
            <w:r>
              <w:rPr>
                <w:rFonts w:hint="default" w:ascii="Times New Roman" w:hAnsi="Times New Roman" w:eastAsia="宋体" w:cs="Times New Roman"/>
                <w:kern w:val="2"/>
                <w:sz w:val="21"/>
                <w:szCs w:val="21"/>
                <w:lang w:bidi="ar"/>
              </w:rPr>
              <w:t>排气筒</w:t>
            </w:r>
            <w:r>
              <w:rPr>
                <w:rFonts w:hint="default" w:ascii="Times New Roman" w:hAnsi="Times New Roman" w:cs="Times New Roman" w:eastAsiaTheme="minorEastAsia"/>
                <w:kern w:val="2"/>
                <w:sz w:val="21"/>
                <w:szCs w:val="21"/>
              </w:rPr>
              <w:t>（新建）</w:t>
            </w:r>
          </w:p>
        </w:tc>
        <w:tc>
          <w:tcPr>
            <w:tcW w:w="2903" w:type="dxa"/>
            <w:gridSpan w:val="2"/>
            <w:vAlign w:val="center"/>
          </w:tcPr>
          <w:p>
            <w:pPr>
              <w:adjustRightInd/>
              <w:snapToGrid/>
              <w:spacing w:after="0" w:line="350" w:lineRule="exact"/>
              <w:rPr>
                <w:rFonts w:hint="default" w:ascii="Times New Roman" w:hAnsi="Times New Roman" w:cs="Times New Roman" w:eastAsiaTheme="minorEastAsia"/>
                <w:kern w:val="2"/>
                <w:sz w:val="21"/>
                <w:szCs w:val="21"/>
              </w:rPr>
            </w:pPr>
            <w:r>
              <w:rPr>
                <w:rFonts w:hint="default" w:ascii="Times New Roman" w:hAnsi="Times New Roman" w:eastAsia="宋体" w:cs="Times New Roman"/>
                <w:sz w:val="21"/>
                <w:szCs w:val="21"/>
              </w:rPr>
              <w:t>GB 31572-2015《合成树脂工业污染物排放标准》表5中排放限值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continue"/>
            <w:vAlign w:val="center"/>
          </w:tcPr>
          <w:p>
            <w:pPr>
              <w:spacing w:after="0" w:line="350" w:lineRule="exact"/>
              <w:jc w:val="center"/>
              <w:rPr>
                <w:rFonts w:hint="default" w:ascii="Times New Roman" w:hAnsi="Times New Roman" w:cs="Times New Roman" w:eastAsiaTheme="minorEastAsia"/>
                <w:sz w:val="21"/>
                <w:szCs w:val="21"/>
              </w:rPr>
            </w:pPr>
          </w:p>
        </w:tc>
        <w:tc>
          <w:tcPr>
            <w:tcW w:w="1589" w:type="dxa"/>
            <w:vMerge w:val="continue"/>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p>
        </w:tc>
        <w:tc>
          <w:tcPr>
            <w:tcW w:w="1423" w:type="dxa"/>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氨</w:t>
            </w:r>
          </w:p>
        </w:tc>
        <w:tc>
          <w:tcPr>
            <w:tcW w:w="2308" w:type="dxa"/>
            <w:vMerge w:val="continue"/>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p>
        </w:tc>
        <w:tc>
          <w:tcPr>
            <w:tcW w:w="2903" w:type="dxa"/>
            <w:gridSpan w:val="2"/>
            <w:vAlign w:val="center"/>
          </w:tcPr>
          <w:p>
            <w:pPr>
              <w:adjustRightInd/>
              <w:snapToGrid/>
              <w:spacing w:after="0" w:line="350" w:lineRule="exact"/>
              <w:rPr>
                <w:rFonts w:hint="default" w:ascii="Times New Roman" w:hAnsi="Times New Roman" w:eastAsia="宋体" w:cs="Times New Roman"/>
                <w:sz w:val="21"/>
                <w:szCs w:val="21"/>
              </w:rPr>
            </w:pPr>
            <w:r>
              <w:rPr>
                <w:rFonts w:hint="default" w:ascii="Times New Roman" w:hAnsi="Times New Roman" w:cs="Times New Roman" w:eastAsiaTheme="minorEastAsia"/>
                <w:kern w:val="2"/>
                <w:sz w:val="21"/>
                <w:szCs w:val="21"/>
              </w:rPr>
              <w:t>GB14554-93《恶臭污染物排放标准》表2中排放限值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continue"/>
            <w:vAlign w:val="center"/>
          </w:tcPr>
          <w:p>
            <w:pPr>
              <w:spacing w:after="0" w:line="350" w:lineRule="exact"/>
              <w:jc w:val="center"/>
              <w:rPr>
                <w:rFonts w:hint="default" w:ascii="Times New Roman" w:hAnsi="Times New Roman" w:cs="Times New Roman" w:eastAsiaTheme="minorEastAsia"/>
                <w:sz w:val="21"/>
                <w:szCs w:val="21"/>
              </w:rPr>
            </w:pPr>
          </w:p>
        </w:tc>
        <w:tc>
          <w:tcPr>
            <w:tcW w:w="1589" w:type="dxa"/>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解包配料投料废气排放口（DA002）</w:t>
            </w:r>
          </w:p>
        </w:tc>
        <w:tc>
          <w:tcPr>
            <w:tcW w:w="1423" w:type="dxa"/>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颗粒物</w:t>
            </w:r>
          </w:p>
          <w:p>
            <w:pPr>
              <w:adjustRightInd/>
              <w:snapToGrid/>
              <w:spacing w:after="0" w:line="350" w:lineRule="exact"/>
              <w:jc w:val="center"/>
              <w:rPr>
                <w:rFonts w:hint="default" w:ascii="Times New Roman" w:hAnsi="Times New Roman" w:cs="Times New Roman" w:eastAsiaTheme="minorEastAsia"/>
                <w:kern w:val="2"/>
                <w:sz w:val="21"/>
                <w:szCs w:val="21"/>
              </w:rPr>
            </w:pPr>
          </w:p>
        </w:tc>
        <w:tc>
          <w:tcPr>
            <w:tcW w:w="2308" w:type="dxa"/>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风机风量3200m³/h，集气罩+袋式除尘</w:t>
            </w:r>
            <w:r>
              <w:rPr>
                <w:rFonts w:hint="default" w:ascii="Times New Roman" w:hAnsi="Times New Roman" w:eastAsia="宋体" w:cs="Times New Roman"/>
                <w:kern w:val="2"/>
                <w:sz w:val="21"/>
                <w:szCs w:val="21"/>
                <w:lang w:bidi="ar"/>
              </w:rPr>
              <w:t>+25m高</w:t>
            </w:r>
            <w:r>
              <w:rPr>
                <w:rFonts w:hint="default" w:ascii="Times New Roman" w:hAnsi="Times New Roman" w:cs="Times New Roman" w:eastAsiaTheme="minorEastAsia"/>
                <w:kern w:val="2"/>
                <w:sz w:val="21"/>
                <w:szCs w:val="21"/>
              </w:rPr>
              <w:t>DA002</w:t>
            </w:r>
            <w:r>
              <w:rPr>
                <w:rFonts w:hint="default" w:ascii="Times New Roman" w:hAnsi="Times New Roman" w:eastAsia="宋体" w:cs="Times New Roman"/>
                <w:kern w:val="2"/>
                <w:sz w:val="21"/>
                <w:szCs w:val="21"/>
                <w:lang w:bidi="ar"/>
              </w:rPr>
              <w:t>排气筒</w:t>
            </w:r>
            <w:r>
              <w:rPr>
                <w:rFonts w:hint="default" w:ascii="Times New Roman" w:hAnsi="Times New Roman" w:cs="Times New Roman" w:eastAsiaTheme="minorEastAsia"/>
                <w:kern w:val="2"/>
                <w:sz w:val="21"/>
                <w:szCs w:val="21"/>
              </w:rPr>
              <w:t>（新建）</w:t>
            </w:r>
          </w:p>
        </w:tc>
        <w:tc>
          <w:tcPr>
            <w:tcW w:w="2903" w:type="dxa"/>
            <w:gridSpan w:val="2"/>
            <w:vAlign w:val="center"/>
          </w:tcPr>
          <w:p>
            <w:pPr>
              <w:adjustRightInd/>
              <w:snapToGrid/>
              <w:spacing w:after="0" w:line="350" w:lineRule="exact"/>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GB27632-2011《橡胶制品工业污染物排放标准》表5中排放限值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continue"/>
            <w:vAlign w:val="center"/>
          </w:tcPr>
          <w:p>
            <w:pPr>
              <w:spacing w:after="0" w:line="350" w:lineRule="exact"/>
              <w:jc w:val="center"/>
              <w:rPr>
                <w:rFonts w:hint="default" w:ascii="Times New Roman" w:hAnsi="Times New Roman" w:cs="Times New Roman" w:eastAsiaTheme="minorEastAsia"/>
                <w:sz w:val="21"/>
                <w:szCs w:val="21"/>
              </w:rPr>
            </w:pPr>
          </w:p>
        </w:tc>
        <w:tc>
          <w:tcPr>
            <w:tcW w:w="1589" w:type="dxa"/>
            <w:vMerge w:val="restart"/>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炼胶废气</w:t>
            </w:r>
          </w:p>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排放口（DA003）</w:t>
            </w:r>
          </w:p>
        </w:tc>
        <w:tc>
          <w:tcPr>
            <w:tcW w:w="1423" w:type="dxa"/>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颗粒物</w:t>
            </w:r>
          </w:p>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非甲烷总烃</w:t>
            </w:r>
          </w:p>
        </w:tc>
        <w:tc>
          <w:tcPr>
            <w:tcW w:w="2308" w:type="dxa"/>
            <w:vMerge w:val="restart"/>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风机风量28500m³/h，集气罩+袋式除尘+二级活性炭吸附</w:t>
            </w:r>
            <w:r>
              <w:rPr>
                <w:rFonts w:hint="default" w:ascii="Times New Roman" w:hAnsi="Times New Roman" w:eastAsia="宋体" w:cs="Times New Roman"/>
                <w:kern w:val="2"/>
                <w:sz w:val="21"/>
                <w:szCs w:val="21"/>
                <w:lang w:bidi="ar"/>
              </w:rPr>
              <w:t>+25m高</w:t>
            </w:r>
            <w:r>
              <w:rPr>
                <w:rFonts w:hint="default" w:ascii="Times New Roman" w:hAnsi="Times New Roman" w:cs="Times New Roman" w:eastAsiaTheme="minorEastAsia"/>
                <w:kern w:val="2"/>
                <w:sz w:val="21"/>
                <w:szCs w:val="21"/>
              </w:rPr>
              <w:t>DA003</w:t>
            </w:r>
            <w:r>
              <w:rPr>
                <w:rFonts w:hint="default" w:ascii="Times New Roman" w:hAnsi="Times New Roman" w:eastAsia="宋体" w:cs="Times New Roman"/>
                <w:kern w:val="2"/>
                <w:sz w:val="21"/>
                <w:szCs w:val="21"/>
                <w:lang w:bidi="ar"/>
              </w:rPr>
              <w:t>排气筒</w:t>
            </w:r>
            <w:r>
              <w:rPr>
                <w:rFonts w:hint="default" w:ascii="Times New Roman" w:hAnsi="Times New Roman" w:cs="Times New Roman" w:eastAsiaTheme="minorEastAsia"/>
                <w:kern w:val="2"/>
                <w:sz w:val="21"/>
                <w:szCs w:val="21"/>
              </w:rPr>
              <w:t>（新建）</w:t>
            </w:r>
          </w:p>
        </w:tc>
        <w:tc>
          <w:tcPr>
            <w:tcW w:w="2903" w:type="dxa"/>
            <w:gridSpan w:val="2"/>
            <w:vAlign w:val="center"/>
          </w:tcPr>
          <w:p>
            <w:pPr>
              <w:adjustRightInd/>
              <w:snapToGrid/>
              <w:spacing w:after="0" w:line="350" w:lineRule="exact"/>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GB27632-2011《橡胶制品工业污染物排放标准》表5中排放限值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continue"/>
            <w:vAlign w:val="center"/>
          </w:tcPr>
          <w:p>
            <w:pPr>
              <w:spacing w:after="0" w:line="350" w:lineRule="exact"/>
              <w:jc w:val="center"/>
              <w:rPr>
                <w:rFonts w:hint="default" w:ascii="Times New Roman" w:hAnsi="Times New Roman" w:cs="Times New Roman" w:eastAsiaTheme="minorEastAsia"/>
                <w:sz w:val="21"/>
                <w:szCs w:val="21"/>
              </w:rPr>
            </w:pPr>
          </w:p>
        </w:tc>
        <w:tc>
          <w:tcPr>
            <w:tcW w:w="1589" w:type="dxa"/>
            <w:vMerge w:val="continue"/>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p>
        </w:tc>
        <w:tc>
          <w:tcPr>
            <w:tcW w:w="1423" w:type="dxa"/>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二硫化碳</w:t>
            </w:r>
          </w:p>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臭气浓度</w:t>
            </w:r>
          </w:p>
        </w:tc>
        <w:tc>
          <w:tcPr>
            <w:tcW w:w="2308" w:type="dxa"/>
            <w:vMerge w:val="continue"/>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p>
        </w:tc>
        <w:tc>
          <w:tcPr>
            <w:tcW w:w="2903" w:type="dxa"/>
            <w:gridSpan w:val="2"/>
            <w:vAlign w:val="center"/>
          </w:tcPr>
          <w:p>
            <w:pPr>
              <w:adjustRightInd/>
              <w:snapToGrid/>
              <w:spacing w:after="0" w:line="350" w:lineRule="exact"/>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GB14554-93《恶臭污染物排放标准》表2中排放限值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continue"/>
            <w:vAlign w:val="center"/>
          </w:tcPr>
          <w:p>
            <w:pPr>
              <w:spacing w:after="0" w:line="350" w:lineRule="exact"/>
              <w:jc w:val="center"/>
              <w:rPr>
                <w:rFonts w:hint="default" w:ascii="Times New Roman" w:hAnsi="Times New Roman" w:cs="Times New Roman" w:eastAsiaTheme="minorEastAsia"/>
                <w:sz w:val="21"/>
                <w:szCs w:val="21"/>
              </w:rPr>
            </w:pPr>
          </w:p>
        </w:tc>
        <w:tc>
          <w:tcPr>
            <w:tcW w:w="1589" w:type="dxa"/>
            <w:vMerge w:val="restart"/>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成型废气排放口（DA004）</w:t>
            </w:r>
          </w:p>
        </w:tc>
        <w:tc>
          <w:tcPr>
            <w:tcW w:w="1423" w:type="dxa"/>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非甲烷总烃</w:t>
            </w:r>
          </w:p>
        </w:tc>
        <w:tc>
          <w:tcPr>
            <w:tcW w:w="2308" w:type="dxa"/>
            <w:vMerge w:val="restart"/>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风机风量45000m³/h，集气罩+二级</w:t>
            </w:r>
            <w:r>
              <w:rPr>
                <w:rFonts w:hint="default" w:ascii="Times New Roman" w:hAnsi="Times New Roman" w:eastAsia="宋体" w:cs="Times New Roman"/>
                <w:color w:val="auto"/>
                <w:kern w:val="2"/>
                <w:sz w:val="21"/>
                <w:szCs w:val="21"/>
                <w:lang w:bidi="ar"/>
              </w:rPr>
              <w:t>活性炭吸附+25m高</w:t>
            </w:r>
            <w:r>
              <w:rPr>
                <w:rFonts w:hint="default" w:ascii="Times New Roman" w:hAnsi="Times New Roman" w:cs="Times New Roman" w:eastAsiaTheme="minorEastAsia"/>
                <w:color w:val="auto"/>
                <w:kern w:val="2"/>
                <w:sz w:val="21"/>
                <w:szCs w:val="21"/>
              </w:rPr>
              <w:t>DA004</w:t>
            </w:r>
            <w:r>
              <w:rPr>
                <w:rFonts w:hint="default" w:ascii="Times New Roman" w:hAnsi="Times New Roman" w:eastAsia="宋体" w:cs="Times New Roman"/>
                <w:color w:val="auto"/>
                <w:kern w:val="2"/>
                <w:sz w:val="21"/>
                <w:szCs w:val="21"/>
                <w:lang w:bidi="ar"/>
              </w:rPr>
              <w:t>排气筒</w:t>
            </w:r>
            <w:r>
              <w:rPr>
                <w:rFonts w:hint="default" w:ascii="Times New Roman" w:hAnsi="Times New Roman" w:cs="Times New Roman" w:eastAsiaTheme="minorEastAsia"/>
                <w:color w:val="auto"/>
                <w:kern w:val="2"/>
                <w:sz w:val="21"/>
                <w:szCs w:val="21"/>
              </w:rPr>
              <w:t>（新建）</w:t>
            </w:r>
          </w:p>
        </w:tc>
        <w:tc>
          <w:tcPr>
            <w:tcW w:w="2903" w:type="dxa"/>
            <w:gridSpan w:val="2"/>
            <w:vAlign w:val="center"/>
          </w:tcPr>
          <w:p>
            <w:pPr>
              <w:adjustRightInd/>
              <w:snapToGrid/>
              <w:spacing w:after="0" w:line="350" w:lineRule="exact"/>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GB27632-2011《橡胶制品工业污染物排放标准》表5中排放限值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continue"/>
            <w:vAlign w:val="center"/>
          </w:tcPr>
          <w:p>
            <w:pPr>
              <w:spacing w:after="0" w:line="350" w:lineRule="exact"/>
              <w:jc w:val="center"/>
              <w:rPr>
                <w:rFonts w:hint="default" w:ascii="Times New Roman" w:hAnsi="Times New Roman" w:cs="Times New Roman" w:eastAsiaTheme="minorEastAsia"/>
                <w:sz w:val="21"/>
                <w:szCs w:val="21"/>
              </w:rPr>
            </w:pPr>
          </w:p>
        </w:tc>
        <w:tc>
          <w:tcPr>
            <w:tcW w:w="1589" w:type="dxa"/>
            <w:vMerge w:val="continue"/>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p>
        </w:tc>
        <w:tc>
          <w:tcPr>
            <w:tcW w:w="1423" w:type="dxa"/>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二硫化碳</w:t>
            </w:r>
          </w:p>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臭气浓度</w:t>
            </w:r>
          </w:p>
        </w:tc>
        <w:tc>
          <w:tcPr>
            <w:tcW w:w="2308" w:type="dxa"/>
            <w:vMerge w:val="continue"/>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p>
        </w:tc>
        <w:tc>
          <w:tcPr>
            <w:tcW w:w="2903" w:type="dxa"/>
            <w:gridSpan w:val="2"/>
            <w:vAlign w:val="center"/>
          </w:tcPr>
          <w:p>
            <w:pPr>
              <w:adjustRightInd/>
              <w:snapToGrid/>
              <w:spacing w:after="0" w:line="350" w:lineRule="exact"/>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GB14554-93《恶臭污染物排放标准》表2中排放限值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continue"/>
            <w:vAlign w:val="center"/>
          </w:tcPr>
          <w:p>
            <w:pPr>
              <w:spacing w:after="0" w:line="350" w:lineRule="exact"/>
              <w:jc w:val="center"/>
              <w:rPr>
                <w:rFonts w:hint="default" w:ascii="Times New Roman" w:hAnsi="Times New Roman" w:cs="Times New Roman" w:eastAsiaTheme="minorEastAsia"/>
                <w:sz w:val="21"/>
                <w:szCs w:val="21"/>
              </w:rPr>
            </w:pPr>
          </w:p>
        </w:tc>
        <w:tc>
          <w:tcPr>
            <w:tcW w:w="1589" w:type="dxa"/>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lang w:eastAsia="zh-CN"/>
              </w:rPr>
              <w:t>玻璃</w:t>
            </w:r>
            <w:r>
              <w:rPr>
                <w:rFonts w:hint="default" w:ascii="Times New Roman" w:hAnsi="Times New Roman" w:cs="Times New Roman" w:eastAsiaTheme="minorEastAsia"/>
                <w:color w:val="auto"/>
                <w:kern w:val="2"/>
                <w:sz w:val="21"/>
                <w:szCs w:val="21"/>
                <w:lang w:val="en-US" w:eastAsia="zh-CN"/>
              </w:rPr>
              <w:t>/陶瓷纤维</w:t>
            </w:r>
            <w:r>
              <w:rPr>
                <w:rFonts w:hint="default" w:ascii="Times New Roman" w:hAnsi="Times New Roman" w:cs="Times New Roman" w:eastAsiaTheme="minorEastAsia"/>
                <w:color w:val="auto"/>
                <w:kern w:val="2"/>
                <w:sz w:val="21"/>
                <w:szCs w:val="21"/>
              </w:rPr>
              <w:t>废气排放口（DA00</w:t>
            </w:r>
            <w:r>
              <w:rPr>
                <w:rFonts w:hint="default" w:ascii="Times New Roman" w:hAnsi="Times New Roman" w:cs="Times New Roman" w:eastAsiaTheme="minorEastAsia"/>
                <w:color w:val="auto"/>
                <w:kern w:val="2"/>
                <w:sz w:val="21"/>
                <w:szCs w:val="21"/>
                <w:lang w:val="en-US" w:eastAsia="zh-CN"/>
              </w:rPr>
              <w:t>5</w:t>
            </w:r>
            <w:r>
              <w:rPr>
                <w:rFonts w:hint="default" w:ascii="Times New Roman" w:hAnsi="Times New Roman" w:cs="Times New Roman" w:eastAsiaTheme="minorEastAsia"/>
                <w:color w:val="auto"/>
                <w:kern w:val="2"/>
                <w:sz w:val="21"/>
                <w:szCs w:val="21"/>
              </w:rPr>
              <w:t>）</w:t>
            </w:r>
          </w:p>
        </w:tc>
        <w:tc>
          <w:tcPr>
            <w:tcW w:w="1423" w:type="dxa"/>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颗粒物</w:t>
            </w:r>
          </w:p>
        </w:tc>
        <w:tc>
          <w:tcPr>
            <w:tcW w:w="2308" w:type="dxa"/>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风机风量</w:t>
            </w:r>
            <w:r>
              <w:rPr>
                <w:rFonts w:hint="default" w:ascii="Times New Roman" w:hAnsi="Times New Roman" w:cs="Times New Roman" w:eastAsiaTheme="minorEastAsia"/>
                <w:color w:val="auto"/>
                <w:kern w:val="2"/>
                <w:sz w:val="21"/>
                <w:szCs w:val="21"/>
                <w:lang w:val="en-US" w:eastAsia="zh-CN"/>
              </w:rPr>
              <w:t>130</w:t>
            </w:r>
            <w:r>
              <w:rPr>
                <w:rFonts w:hint="default" w:ascii="Times New Roman" w:hAnsi="Times New Roman" w:cs="Times New Roman" w:eastAsiaTheme="minorEastAsia"/>
                <w:color w:val="auto"/>
                <w:kern w:val="2"/>
                <w:sz w:val="21"/>
                <w:szCs w:val="21"/>
              </w:rPr>
              <w:t>00m³/h，集气罩+袋式除尘</w:t>
            </w:r>
            <w:r>
              <w:rPr>
                <w:rFonts w:hint="default" w:ascii="Times New Roman" w:hAnsi="Times New Roman" w:eastAsia="宋体" w:cs="Times New Roman"/>
                <w:color w:val="auto"/>
                <w:kern w:val="2"/>
                <w:sz w:val="21"/>
                <w:szCs w:val="21"/>
                <w:lang w:bidi="ar"/>
              </w:rPr>
              <w:t>+25m高</w:t>
            </w:r>
            <w:r>
              <w:rPr>
                <w:rFonts w:hint="default" w:ascii="Times New Roman" w:hAnsi="Times New Roman" w:cs="Times New Roman" w:eastAsiaTheme="minorEastAsia"/>
                <w:color w:val="auto"/>
                <w:kern w:val="2"/>
                <w:sz w:val="21"/>
                <w:szCs w:val="21"/>
              </w:rPr>
              <w:t>DA00</w:t>
            </w:r>
            <w:r>
              <w:rPr>
                <w:rFonts w:hint="default" w:ascii="Times New Roman" w:hAnsi="Times New Roman" w:cs="Times New Roman" w:eastAsiaTheme="minorEastAsia"/>
                <w:color w:val="auto"/>
                <w:kern w:val="2"/>
                <w:sz w:val="21"/>
                <w:szCs w:val="21"/>
                <w:lang w:val="en-US" w:eastAsia="zh-CN"/>
              </w:rPr>
              <w:t>5</w:t>
            </w:r>
            <w:r>
              <w:rPr>
                <w:rFonts w:hint="default" w:ascii="Times New Roman" w:hAnsi="Times New Roman" w:eastAsia="宋体" w:cs="Times New Roman"/>
                <w:color w:val="auto"/>
                <w:kern w:val="2"/>
                <w:sz w:val="21"/>
                <w:szCs w:val="21"/>
                <w:lang w:bidi="ar"/>
              </w:rPr>
              <w:t>排气筒</w:t>
            </w:r>
            <w:r>
              <w:rPr>
                <w:rFonts w:hint="default" w:ascii="Times New Roman" w:hAnsi="Times New Roman" w:cs="Times New Roman" w:eastAsiaTheme="minorEastAsia"/>
                <w:color w:val="auto"/>
                <w:kern w:val="2"/>
                <w:sz w:val="21"/>
                <w:szCs w:val="21"/>
              </w:rPr>
              <w:t>（新建）</w:t>
            </w:r>
          </w:p>
        </w:tc>
        <w:tc>
          <w:tcPr>
            <w:tcW w:w="2903" w:type="dxa"/>
            <w:gridSpan w:val="2"/>
            <w:vAlign w:val="center"/>
          </w:tcPr>
          <w:p>
            <w:pPr>
              <w:adjustRightInd/>
              <w:snapToGrid/>
              <w:spacing w:after="0" w:line="350" w:lineRule="exact"/>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spacing w:val="-6"/>
                <w:kern w:val="2"/>
                <w:sz w:val="21"/>
                <w:szCs w:val="21"/>
              </w:rPr>
              <w:t>DB50/418-2016《大气污染物综合排放标准》表1中排放限值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continue"/>
            <w:vAlign w:val="center"/>
          </w:tcPr>
          <w:p>
            <w:pPr>
              <w:spacing w:after="0" w:line="350" w:lineRule="exact"/>
              <w:jc w:val="center"/>
              <w:rPr>
                <w:rFonts w:hint="default" w:ascii="Times New Roman" w:hAnsi="Times New Roman" w:cs="Times New Roman" w:eastAsiaTheme="minorEastAsia"/>
                <w:sz w:val="21"/>
                <w:szCs w:val="21"/>
              </w:rPr>
            </w:pPr>
          </w:p>
        </w:tc>
        <w:tc>
          <w:tcPr>
            <w:tcW w:w="1589" w:type="dxa"/>
            <w:vMerge w:val="restart"/>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无组织</w:t>
            </w:r>
          </w:p>
        </w:tc>
        <w:tc>
          <w:tcPr>
            <w:tcW w:w="1423" w:type="dxa"/>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颗粒物</w:t>
            </w:r>
          </w:p>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非甲烷总烃</w:t>
            </w:r>
          </w:p>
        </w:tc>
        <w:tc>
          <w:tcPr>
            <w:tcW w:w="2308" w:type="dxa"/>
            <w:vMerge w:val="restart"/>
            <w:vAlign w:val="center"/>
          </w:tcPr>
          <w:p>
            <w:pPr>
              <w:adjustRightInd/>
              <w:snapToGrid/>
              <w:spacing w:after="0" w:line="350" w:lineRule="exact"/>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加强收集设施设备维修保养、厂房通风</w:t>
            </w:r>
          </w:p>
        </w:tc>
        <w:tc>
          <w:tcPr>
            <w:tcW w:w="2903" w:type="dxa"/>
            <w:gridSpan w:val="2"/>
            <w:vAlign w:val="center"/>
          </w:tcPr>
          <w:p>
            <w:pPr>
              <w:adjustRightInd/>
              <w:snapToGrid/>
              <w:spacing w:after="0" w:line="350" w:lineRule="exact"/>
              <w:rPr>
                <w:rFonts w:hint="default" w:ascii="Times New Roman" w:hAnsi="Times New Roman" w:cs="Times New Roman" w:eastAsiaTheme="minorEastAsia"/>
                <w:color w:val="auto"/>
                <w:spacing w:val="-6"/>
                <w:kern w:val="2"/>
                <w:sz w:val="21"/>
                <w:szCs w:val="21"/>
              </w:rPr>
            </w:pPr>
            <w:r>
              <w:rPr>
                <w:rFonts w:hint="default" w:ascii="Times New Roman" w:hAnsi="Times New Roman" w:cs="Times New Roman" w:eastAsiaTheme="minorEastAsia"/>
                <w:color w:val="auto"/>
                <w:spacing w:val="-6"/>
                <w:kern w:val="2"/>
                <w:sz w:val="21"/>
                <w:szCs w:val="21"/>
              </w:rPr>
              <w:t>DB50/418-2016《大气污染物综合排放标准》表1中排放限值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Merge w:val="continue"/>
            <w:vAlign w:val="center"/>
          </w:tcPr>
          <w:p>
            <w:pPr>
              <w:spacing w:after="0" w:line="350" w:lineRule="exact"/>
              <w:jc w:val="center"/>
              <w:rPr>
                <w:rFonts w:hint="default" w:ascii="Times New Roman" w:hAnsi="Times New Roman" w:cs="Times New Roman" w:eastAsiaTheme="minorEastAsia"/>
                <w:sz w:val="21"/>
                <w:szCs w:val="21"/>
              </w:rPr>
            </w:pPr>
          </w:p>
        </w:tc>
        <w:tc>
          <w:tcPr>
            <w:tcW w:w="1589" w:type="dxa"/>
            <w:vMerge w:val="continue"/>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p>
        </w:tc>
        <w:tc>
          <w:tcPr>
            <w:tcW w:w="1423" w:type="dxa"/>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二硫化碳、氨</w:t>
            </w:r>
          </w:p>
          <w:p>
            <w:pPr>
              <w:adjustRightInd/>
              <w:snapToGrid/>
              <w:spacing w:after="0" w:line="350" w:lineRule="exact"/>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臭气浓度</w:t>
            </w:r>
          </w:p>
        </w:tc>
        <w:tc>
          <w:tcPr>
            <w:tcW w:w="2308" w:type="dxa"/>
            <w:vMerge w:val="continue"/>
            <w:vAlign w:val="center"/>
          </w:tcPr>
          <w:p>
            <w:pPr>
              <w:adjustRightInd/>
              <w:snapToGrid/>
              <w:spacing w:after="0" w:line="350" w:lineRule="exact"/>
              <w:jc w:val="center"/>
              <w:rPr>
                <w:rFonts w:hint="default" w:ascii="Times New Roman" w:hAnsi="Times New Roman" w:cs="Times New Roman" w:eastAsiaTheme="minorEastAsia"/>
                <w:kern w:val="2"/>
                <w:sz w:val="21"/>
                <w:szCs w:val="21"/>
              </w:rPr>
            </w:pPr>
          </w:p>
        </w:tc>
        <w:tc>
          <w:tcPr>
            <w:tcW w:w="2903" w:type="dxa"/>
            <w:gridSpan w:val="2"/>
            <w:vAlign w:val="center"/>
          </w:tcPr>
          <w:p>
            <w:pPr>
              <w:adjustRightInd/>
              <w:snapToGrid/>
              <w:spacing w:after="0" w:line="350" w:lineRule="exact"/>
              <w:rPr>
                <w:rFonts w:hint="default" w:ascii="Times New Roman" w:hAnsi="Times New Roman" w:cs="Times New Roman" w:eastAsiaTheme="minorEastAsia"/>
                <w:spacing w:val="-6"/>
                <w:kern w:val="2"/>
                <w:sz w:val="21"/>
                <w:szCs w:val="21"/>
              </w:rPr>
            </w:pPr>
            <w:r>
              <w:rPr>
                <w:rFonts w:hint="default" w:ascii="Times New Roman" w:hAnsi="Times New Roman" w:cs="Times New Roman" w:eastAsiaTheme="minorEastAsia"/>
                <w:spacing w:val="-6"/>
                <w:kern w:val="2"/>
                <w:sz w:val="21"/>
                <w:szCs w:val="21"/>
              </w:rPr>
              <w:t>GB14554-93《恶臭污染物排放标准》表1中二级排放限值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地表水</w:t>
            </w:r>
          </w:p>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w:t>
            </w:r>
          </w:p>
        </w:tc>
        <w:tc>
          <w:tcPr>
            <w:tcW w:w="1589"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生化池</w:t>
            </w:r>
          </w:p>
        </w:tc>
        <w:tc>
          <w:tcPr>
            <w:tcW w:w="1423"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COD</w:t>
            </w:r>
          </w:p>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BOD</w:t>
            </w:r>
            <w:r>
              <w:rPr>
                <w:rFonts w:hint="default" w:ascii="Times New Roman" w:hAnsi="Times New Roman" w:cs="Times New Roman" w:eastAsiaTheme="minorEastAsia"/>
                <w:sz w:val="21"/>
                <w:szCs w:val="21"/>
                <w:vertAlign w:val="subscript"/>
              </w:rPr>
              <w:t>5</w:t>
            </w:r>
          </w:p>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SS</w:t>
            </w:r>
          </w:p>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-N</w:t>
            </w:r>
          </w:p>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石油类</w:t>
            </w:r>
          </w:p>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总磷</w:t>
            </w:r>
          </w:p>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动植物油类</w:t>
            </w:r>
          </w:p>
        </w:tc>
        <w:tc>
          <w:tcPr>
            <w:tcW w:w="2308"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食堂废水需先经隔油池预处理后，与生活污水、地面清洁用水经新建生化池处理后（处理规模60m³/d）→市政污水管网→农创园污水处理厂</w:t>
            </w:r>
          </w:p>
        </w:tc>
        <w:tc>
          <w:tcPr>
            <w:tcW w:w="2903" w:type="dxa"/>
            <w:gridSpan w:val="2"/>
            <w:vAlign w:val="center"/>
          </w:tcPr>
          <w:p>
            <w:pPr>
              <w:spacing w:after="0" w:line="350" w:lineRule="exact"/>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lang w:bidi="ar"/>
              </w:rPr>
              <w:t>GB8978-1996《污水综合排放标准》表4中三级标准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018"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声环境</w:t>
            </w:r>
          </w:p>
        </w:tc>
        <w:tc>
          <w:tcPr>
            <w:tcW w:w="1589" w:type="dxa"/>
            <w:vAlign w:val="center"/>
          </w:tcPr>
          <w:p>
            <w:pPr>
              <w:spacing w:after="0" w:line="35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生产设备及</w:t>
            </w:r>
          </w:p>
          <w:p>
            <w:pPr>
              <w:spacing w:after="0" w:line="35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配套设备</w:t>
            </w:r>
          </w:p>
        </w:tc>
        <w:tc>
          <w:tcPr>
            <w:tcW w:w="1423" w:type="dxa"/>
            <w:vAlign w:val="center"/>
          </w:tcPr>
          <w:p>
            <w:pPr>
              <w:spacing w:after="0" w:line="35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设备噪声</w:t>
            </w:r>
          </w:p>
        </w:tc>
        <w:tc>
          <w:tcPr>
            <w:tcW w:w="2308" w:type="dxa"/>
            <w:vAlign w:val="center"/>
          </w:tcPr>
          <w:p>
            <w:pPr>
              <w:spacing w:after="0" w:line="350" w:lineRule="exact"/>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rPr>
              <w:t>低噪声设备，基础减振、柔性连接，建筑隔声，加强设备维保</w:t>
            </w:r>
          </w:p>
        </w:tc>
        <w:tc>
          <w:tcPr>
            <w:tcW w:w="2903" w:type="dxa"/>
            <w:gridSpan w:val="2"/>
            <w:vAlign w:val="center"/>
          </w:tcPr>
          <w:p>
            <w:pPr>
              <w:spacing w:after="0" w:line="350" w:lineRule="exact"/>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rPr>
              <w:t>GB12348-2008《工业企业厂界环境噪声排放标准》表1中3类标准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67" w:hRule="atLeast"/>
          <w:jc w:val="center"/>
        </w:trPr>
        <w:tc>
          <w:tcPr>
            <w:tcW w:w="1018"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电磁辐射</w:t>
            </w:r>
          </w:p>
        </w:tc>
        <w:tc>
          <w:tcPr>
            <w:tcW w:w="1589" w:type="dxa"/>
            <w:vAlign w:val="center"/>
          </w:tcPr>
          <w:p>
            <w:pPr>
              <w:spacing w:after="0" w:line="35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w:t>
            </w:r>
          </w:p>
        </w:tc>
        <w:tc>
          <w:tcPr>
            <w:tcW w:w="1423" w:type="dxa"/>
            <w:vAlign w:val="center"/>
          </w:tcPr>
          <w:p>
            <w:pPr>
              <w:spacing w:after="0" w:line="35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w:t>
            </w:r>
          </w:p>
        </w:tc>
        <w:tc>
          <w:tcPr>
            <w:tcW w:w="2308" w:type="dxa"/>
            <w:vAlign w:val="center"/>
          </w:tcPr>
          <w:p>
            <w:pPr>
              <w:spacing w:after="0" w:line="35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w:t>
            </w:r>
          </w:p>
        </w:tc>
        <w:tc>
          <w:tcPr>
            <w:tcW w:w="2903" w:type="dxa"/>
            <w:gridSpan w:val="2"/>
            <w:vAlign w:val="center"/>
          </w:tcPr>
          <w:p>
            <w:pPr>
              <w:spacing w:after="0" w:line="35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gridAfter w:val="1"/>
          <w:wAfter w:w="15" w:type="dxa"/>
          <w:trHeight w:val="3930" w:hRule="atLeast"/>
          <w:jc w:val="center"/>
        </w:trPr>
        <w:tc>
          <w:tcPr>
            <w:tcW w:w="1018" w:type="dxa"/>
            <w:vAlign w:val="center"/>
          </w:tcPr>
          <w:p>
            <w:pPr>
              <w:spacing w:after="0"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固体废物</w:t>
            </w:r>
          </w:p>
        </w:tc>
        <w:tc>
          <w:tcPr>
            <w:tcW w:w="8208" w:type="dxa"/>
            <w:gridSpan w:val="4"/>
            <w:vAlign w:val="center"/>
          </w:tcPr>
          <w:p>
            <w:pPr>
              <w:spacing w:after="0" w:line="350" w:lineRule="exact"/>
              <w:rPr>
                <w:rFonts w:hint="default" w:ascii="Times New Roman" w:hAnsi="Times New Roman" w:eastAsia="宋体" w:cs="Times New Roman"/>
                <w:spacing w:val="-6"/>
                <w:sz w:val="21"/>
                <w:szCs w:val="21"/>
                <w:lang w:bidi="ar"/>
              </w:rPr>
            </w:pPr>
            <w:r>
              <w:rPr>
                <w:rFonts w:hint="default" w:ascii="Times New Roman" w:hAnsi="Times New Roman" w:eastAsia="宋体" w:cs="Times New Roman"/>
                <w:spacing w:val="-6"/>
                <w:sz w:val="21"/>
                <w:szCs w:val="21"/>
                <w:lang w:bidi="ar"/>
              </w:rPr>
              <w:t>一般工业固废：新建一般固废暂存间（面积10㎡），满足六防“防风、防晒、防雨、防漏、防渗、防腐”的环保要求规范建设；分类暂存，定期外运综合利用。</w:t>
            </w:r>
          </w:p>
          <w:p>
            <w:pPr>
              <w:spacing w:after="0" w:line="350" w:lineRule="exact"/>
              <w:rPr>
                <w:rFonts w:hint="default" w:ascii="Times New Roman" w:hAnsi="Times New Roman" w:eastAsia="宋体" w:cs="Times New Roman"/>
                <w:spacing w:val="-6"/>
                <w:sz w:val="21"/>
                <w:szCs w:val="21"/>
                <w:lang w:bidi="ar"/>
              </w:rPr>
            </w:pPr>
            <w:r>
              <w:rPr>
                <w:rFonts w:hint="default" w:ascii="Times New Roman" w:hAnsi="Times New Roman" w:eastAsia="宋体" w:cs="Times New Roman"/>
                <w:spacing w:val="-6"/>
                <w:sz w:val="21"/>
                <w:szCs w:val="21"/>
                <w:lang w:bidi="ar"/>
              </w:rPr>
              <w:t>危险废物：主要包括废活性炭、废润滑油、废油桶以及废含油抹布，经收集后分类暂存于危废贮存点，定期交有资质单位处理。项目危废贮存点位于1F东北侧，约10m</w:t>
            </w:r>
            <w:r>
              <w:rPr>
                <w:rFonts w:hint="default" w:ascii="Times New Roman" w:hAnsi="Times New Roman" w:eastAsia="宋体" w:cs="Times New Roman"/>
                <w:spacing w:val="-6"/>
                <w:sz w:val="21"/>
                <w:szCs w:val="21"/>
                <w:vertAlign w:val="superscript"/>
                <w:lang w:bidi="ar"/>
              </w:rPr>
              <w:t>2</w:t>
            </w:r>
            <w:r>
              <w:rPr>
                <w:rFonts w:hint="default" w:ascii="Times New Roman" w:hAnsi="Times New Roman" w:eastAsia="宋体" w:cs="Times New Roman"/>
                <w:spacing w:val="-6"/>
                <w:sz w:val="21"/>
                <w:szCs w:val="21"/>
                <w:lang w:bidi="ar"/>
              </w:rPr>
              <w:t>，暂存间应做好“防风、防晒、防雨、防漏、防渗、防腐”措施，并设标志牌。</w:t>
            </w:r>
          </w:p>
          <w:p>
            <w:pPr>
              <w:spacing w:after="0" w:line="350" w:lineRule="exact"/>
              <w:rPr>
                <w:rFonts w:hint="default" w:ascii="Times New Roman" w:hAnsi="Times New Roman" w:cs="Times New Roman" w:eastAsiaTheme="minorEastAsia"/>
                <w:sz w:val="21"/>
                <w:szCs w:val="21"/>
              </w:rPr>
            </w:pPr>
            <w:r>
              <w:rPr>
                <w:rFonts w:hint="default" w:ascii="Times New Roman" w:hAnsi="Times New Roman" w:eastAsia="宋体" w:cs="Times New Roman"/>
                <w:spacing w:val="-6"/>
                <w:sz w:val="21"/>
                <w:szCs w:val="21"/>
                <w:lang w:bidi="ar"/>
              </w:rPr>
              <w:t>生活垃圾：依托厂区生活垃圾收集点暂存，交由环卫部门处置。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gridAfter w:val="1"/>
          <w:wAfter w:w="15" w:type="dxa"/>
          <w:trHeight w:val="4294" w:hRule="atLeast"/>
          <w:jc w:val="center"/>
        </w:trPr>
        <w:tc>
          <w:tcPr>
            <w:tcW w:w="1018"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土壤及地下水污染防治措施</w:t>
            </w:r>
          </w:p>
        </w:tc>
        <w:tc>
          <w:tcPr>
            <w:tcW w:w="8208" w:type="dxa"/>
            <w:gridSpan w:val="4"/>
            <w:vAlign w:val="center"/>
          </w:tcPr>
          <w:p>
            <w:pPr>
              <w:spacing w:after="0" w:line="350" w:lineRule="exact"/>
              <w:rPr>
                <w:rFonts w:hint="default" w:ascii="Times New Roman" w:hAnsi="Times New Roman" w:eastAsia="宋体" w:cs="Times New Roman"/>
                <w:sz w:val="21"/>
                <w:szCs w:val="21"/>
                <w:lang w:bidi="ar"/>
              </w:rPr>
            </w:pPr>
            <w:r>
              <w:rPr>
                <w:rFonts w:hint="default" w:ascii="Times New Roman" w:hAnsi="Times New Roman" w:eastAsia="宋体" w:cs="Times New Roman"/>
                <w:sz w:val="21"/>
                <w:szCs w:val="21"/>
                <w:lang w:bidi="ar"/>
              </w:rPr>
              <w:t>按照“源头控制、分区防控、污染监控、应急响应”的地下水污染防治总体原则，项目将从污染物的产生、入渗、扩散采取全方位的控制措施。</w:t>
            </w:r>
          </w:p>
          <w:p>
            <w:pPr>
              <w:spacing w:after="0" w:line="350" w:lineRule="exact"/>
              <w:rPr>
                <w:rFonts w:hint="default" w:ascii="Times New Roman" w:hAnsi="Times New Roman" w:eastAsia="宋体" w:cs="Times New Roman"/>
                <w:sz w:val="21"/>
                <w:szCs w:val="21"/>
                <w:lang w:bidi="ar"/>
              </w:rPr>
            </w:pPr>
            <w:r>
              <w:rPr>
                <w:rFonts w:hint="default" w:ascii="Times New Roman" w:hAnsi="Times New Roman" w:eastAsia="宋体" w:cs="Times New Roman"/>
                <w:sz w:val="21"/>
                <w:szCs w:val="21"/>
                <w:lang w:bidi="ar"/>
              </w:rPr>
              <w:t>重点防渗区：</w:t>
            </w:r>
            <w:r>
              <w:rPr>
                <w:rFonts w:hint="default" w:ascii="Times New Roman" w:hAnsi="Times New Roman" w:cs="Times New Roman" w:eastAsiaTheme="minorEastAsia"/>
                <w:sz w:val="21"/>
                <w:szCs w:val="21"/>
              </w:rPr>
              <w:t>油料存放区</w:t>
            </w:r>
            <w:r>
              <w:rPr>
                <w:rFonts w:hint="default" w:ascii="Times New Roman" w:hAnsi="Times New Roman" w:eastAsia="宋体" w:cs="Times New Roman"/>
                <w:sz w:val="21"/>
                <w:szCs w:val="21"/>
                <w:lang w:bidi="ar"/>
              </w:rPr>
              <w:t>、危废贮存点。防渗技术要求：等效黏土防渗层Mb≥6.0m，K≤1×10</w:t>
            </w:r>
            <w:r>
              <w:rPr>
                <w:rFonts w:hint="default" w:ascii="Times New Roman" w:hAnsi="Times New Roman" w:eastAsia="宋体" w:cs="Times New Roman"/>
                <w:sz w:val="21"/>
                <w:szCs w:val="21"/>
                <w:vertAlign w:val="superscript"/>
                <w:lang w:bidi="ar"/>
              </w:rPr>
              <w:t>-7</w:t>
            </w:r>
            <w:r>
              <w:rPr>
                <w:rFonts w:hint="default" w:ascii="Times New Roman" w:hAnsi="Times New Roman" w:eastAsia="宋体" w:cs="Times New Roman"/>
                <w:sz w:val="21"/>
                <w:szCs w:val="21"/>
                <w:lang w:bidi="ar"/>
              </w:rPr>
              <w:t>cm/s。</w:t>
            </w:r>
          </w:p>
          <w:p>
            <w:pPr>
              <w:spacing w:after="0" w:line="350" w:lineRule="exact"/>
              <w:rPr>
                <w:rFonts w:hint="default" w:ascii="Times New Roman" w:hAnsi="Times New Roman" w:eastAsia="宋体" w:cs="Times New Roman"/>
                <w:sz w:val="21"/>
                <w:szCs w:val="21"/>
                <w:lang w:bidi="ar"/>
              </w:rPr>
            </w:pPr>
            <w:r>
              <w:rPr>
                <w:rFonts w:hint="default" w:ascii="Times New Roman" w:hAnsi="Times New Roman" w:eastAsia="宋体" w:cs="Times New Roman"/>
                <w:spacing w:val="-6"/>
                <w:sz w:val="21"/>
                <w:szCs w:val="21"/>
                <w:lang w:bidi="ar"/>
              </w:rPr>
              <w:t>一般防渗区：注塑区、车用橡胶圈生产区、机修房、固体物料存放区、一般固废暂存间。防渗技术要求：等效黏土防渗层Mb≥1.5m，K≤1×10</w:t>
            </w:r>
            <w:r>
              <w:rPr>
                <w:rFonts w:hint="default" w:ascii="Times New Roman" w:hAnsi="Times New Roman" w:eastAsia="宋体" w:cs="Times New Roman"/>
                <w:spacing w:val="-6"/>
                <w:sz w:val="21"/>
                <w:szCs w:val="21"/>
                <w:vertAlign w:val="superscript"/>
                <w:lang w:bidi="ar"/>
              </w:rPr>
              <w:t>-7</w:t>
            </w:r>
            <w:r>
              <w:rPr>
                <w:rFonts w:hint="default" w:ascii="Times New Roman" w:hAnsi="Times New Roman" w:eastAsia="宋体" w:cs="Times New Roman"/>
                <w:spacing w:val="-6"/>
                <w:sz w:val="21"/>
                <w:szCs w:val="21"/>
                <w:lang w:bidi="ar"/>
              </w:rPr>
              <w:t>cm/s。</w:t>
            </w:r>
          </w:p>
          <w:p>
            <w:pPr>
              <w:spacing w:after="0" w:line="350" w:lineRule="exact"/>
              <w:rPr>
                <w:rFonts w:hint="default" w:ascii="Times New Roman" w:hAnsi="Times New Roman" w:eastAsia="宋体" w:cs="Times New Roman"/>
                <w:sz w:val="24"/>
                <w:szCs w:val="24"/>
                <w:lang w:bidi="ar"/>
              </w:rPr>
            </w:pPr>
            <w:r>
              <w:rPr>
                <w:rFonts w:hint="default" w:ascii="Times New Roman" w:hAnsi="Times New Roman" w:eastAsia="宋体" w:cs="Times New Roman"/>
                <w:sz w:val="21"/>
                <w:szCs w:val="21"/>
                <w:lang w:bidi="ar"/>
              </w:rPr>
              <w:t>简单防渗区：线束车间、隔热垫生产区、车窗升降机生产区、修边室、模具存放区、半成品胶料存放区、库房。防渗技术要求：一般地面硬化。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gridAfter w:val="1"/>
          <w:wAfter w:w="15" w:type="dxa"/>
          <w:trHeight w:val="1477" w:hRule="atLeast"/>
          <w:jc w:val="center"/>
        </w:trPr>
        <w:tc>
          <w:tcPr>
            <w:tcW w:w="1018"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生态保护</w:t>
            </w:r>
          </w:p>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措施</w:t>
            </w:r>
          </w:p>
        </w:tc>
        <w:tc>
          <w:tcPr>
            <w:tcW w:w="8208" w:type="dxa"/>
            <w:gridSpan w:val="4"/>
            <w:vAlign w:val="center"/>
          </w:tcPr>
          <w:p>
            <w:pPr>
              <w:spacing w:after="0" w:line="350" w:lineRule="exact"/>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gridAfter w:val="1"/>
          <w:wAfter w:w="15" w:type="dxa"/>
          <w:trHeight w:val="3027" w:hRule="atLeast"/>
          <w:jc w:val="center"/>
        </w:trPr>
        <w:tc>
          <w:tcPr>
            <w:tcW w:w="1018"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环境风险防范措施</w:t>
            </w:r>
          </w:p>
        </w:tc>
        <w:tc>
          <w:tcPr>
            <w:tcW w:w="8208" w:type="dxa"/>
            <w:gridSpan w:val="4"/>
            <w:vAlign w:val="center"/>
          </w:tcPr>
          <w:p>
            <w:pPr>
              <w:spacing w:after="0" w:line="350" w:lineRule="exact"/>
              <w:rPr>
                <w:rFonts w:hint="default" w:ascii="Times New Roman" w:hAnsi="Times New Roman" w:eastAsia="宋体" w:cs="Times New Roman"/>
                <w:bCs/>
                <w:sz w:val="21"/>
                <w:szCs w:val="21"/>
              </w:rPr>
            </w:pPr>
            <w:r>
              <w:rPr>
                <w:rFonts w:hint="default" w:ascii="Times New Roman" w:hAnsi="Times New Roman" w:eastAsia="宋体" w:cs="Times New Roman"/>
                <w:kern w:val="2"/>
                <w:sz w:val="21"/>
                <w:szCs w:val="21"/>
                <w:lang w:bidi="ar"/>
              </w:rPr>
              <w:t>严禁烟火，</w:t>
            </w:r>
            <w:r>
              <w:rPr>
                <w:rFonts w:hint="default" w:ascii="Times New Roman" w:hAnsi="Times New Roman" w:eastAsia="宋体" w:cs="Times New Roman"/>
                <w:bCs/>
                <w:kern w:val="2"/>
                <w:sz w:val="21"/>
                <w:szCs w:val="21"/>
                <w:lang w:bidi="ar"/>
              </w:rPr>
              <w:t>规范张贴各类标识标牌；</w:t>
            </w:r>
            <w:r>
              <w:rPr>
                <w:rFonts w:hint="default" w:ascii="Times New Roman" w:hAnsi="Times New Roman" w:eastAsia="宋体" w:cs="Times New Roman"/>
                <w:kern w:val="2"/>
                <w:sz w:val="21"/>
                <w:szCs w:val="21"/>
                <w:lang w:bidi="ar"/>
              </w:rPr>
              <w:t>设置</w:t>
            </w:r>
            <w:r>
              <w:rPr>
                <w:rFonts w:hint="default" w:ascii="Times New Roman" w:hAnsi="Times New Roman" w:eastAsia="宋体" w:cs="Times New Roman"/>
                <w:bCs/>
                <w:kern w:val="2"/>
                <w:sz w:val="21"/>
                <w:szCs w:val="21"/>
                <w:lang w:bidi="ar"/>
              </w:rPr>
              <w:t>应急照明、灯光疏散指示标志、消防器材、个人防护用具和</w:t>
            </w:r>
            <w:r>
              <w:rPr>
                <w:rFonts w:hint="default" w:ascii="Times New Roman" w:hAnsi="Times New Roman" w:eastAsia="宋体" w:cs="Times New Roman"/>
                <w:kern w:val="2"/>
                <w:sz w:val="21"/>
                <w:szCs w:val="21"/>
                <w:lang w:bidi="ar"/>
              </w:rPr>
              <w:t>急救药箱；</w:t>
            </w:r>
            <w:r>
              <w:rPr>
                <w:rFonts w:hint="default" w:ascii="Times New Roman" w:hAnsi="Times New Roman" w:eastAsia="宋体" w:cs="Times New Roman"/>
                <w:bCs/>
                <w:kern w:val="2"/>
                <w:sz w:val="21"/>
                <w:szCs w:val="21"/>
                <w:lang w:bidi="ar"/>
              </w:rPr>
              <w:t>加强房间通风换气</w:t>
            </w:r>
            <w:r>
              <w:rPr>
                <w:rFonts w:hint="default" w:ascii="Times New Roman" w:hAnsi="Times New Roman" w:eastAsia="宋体" w:cs="Times New Roman"/>
                <w:kern w:val="2"/>
                <w:sz w:val="21"/>
                <w:szCs w:val="21"/>
                <w:lang w:bidi="ar"/>
              </w:rPr>
              <w:t>；</w:t>
            </w:r>
            <w:r>
              <w:rPr>
                <w:rFonts w:hint="default" w:ascii="Times New Roman" w:hAnsi="Times New Roman" w:eastAsia="宋体" w:cs="Times New Roman"/>
                <w:bCs/>
                <w:kern w:val="2"/>
                <w:sz w:val="21"/>
                <w:szCs w:val="21"/>
                <w:lang w:bidi="ar"/>
              </w:rPr>
              <w:t>车间地坪硬化；油料存放区和危废贮存点存放桶装物料放置于托盘内，托盘容积满足其存放单桶液体物料的最大存放量，托盘材质需与物料相容</w:t>
            </w:r>
            <w:r>
              <w:rPr>
                <w:rFonts w:hint="default" w:ascii="Times New Roman" w:hAnsi="Times New Roman" w:cs="Times New Roman" w:eastAsiaTheme="minorEastAsia"/>
                <w:sz w:val="21"/>
                <w:szCs w:val="21"/>
              </w:rPr>
              <w:t>；</w:t>
            </w:r>
            <w:r>
              <w:rPr>
                <w:rFonts w:hint="default" w:ascii="Times New Roman" w:hAnsi="Times New Roman" w:eastAsia="宋体" w:cs="Times New Roman"/>
                <w:kern w:val="2"/>
                <w:sz w:val="21"/>
                <w:szCs w:val="21"/>
                <w:lang w:bidi="ar"/>
              </w:rPr>
              <w:t>建立健全各项规章制度、操作规程，建立并记录各类台账。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gridAfter w:val="1"/>
          <w:wAfter w:w="15" w:type="dxa"/>
          <w:trHeight w:val="13844" w:hRule="atLeast"/>
          <w:jc w:val="center"/>
        </w:trPr>
        <w:tc>
          <w:tcPr>
            <w:tcW w:w="1018" w:type="dxa"/>
            <w:vAlign w:val="center"/>
          </w:tcPr>
          <w:p>
            <w:pPr>
              <w:spacing w:after="0" w:line="35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其他环境管理要求</w:t>
            </w:r>
          </w:p>
        </w:tc>
        <w:tc>
          <w:tcPr>
            <w:tcW w:w="8208" w:type="dxa"/>
            <w:gridSpan w:val="4"/>
            <w:vAlign w:val="center"/>
          </w:tcPr>
          <w:p>
            <w:pPr>
              <w:spacing w:after="0" w:line="350" w:lineRule="exac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（1）环保管理台账</w:t>
            </w:r>
          </w:p>
          <w:p>
            <w:pPr>
              <w:spacing w:after="0" w:line="350" w:lineRule="exact"/>
              <w:ind w:firstLine="420" w:firstLineChars="20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fldChar w:fldCharType="begin"/>
            </w:r>
            <w:r>
              <w:rPr>
                <w:rFonts w:hint="default" w:ascii="Times New Roman" w:hAnsi="Times New Roman" w:cs="Times New Roman" w:eastAsiaTheme="minorEastAsia"/>
                <w:sz w:val="21"/>
                <w:szCs w:val="21"/>
              </w:rPr>
              <w:instrText xml:space="preserve"> = 1 \* GB3 \* MERGEFORMAT </w:instrText>
            </w:r>
            <w:r>
              <w:rPr>
                <w:rFonts w:hint="default" w:ascii="Times New Roman" w:hAnsi="Times New Roman" w:cs="Times New Roman" w:eastAsiaTheme="minorEastAsia"/>
                <w:sz w:val="21"/>
                <w:szCs w:val="21"/>
              </w:rPr>
              <w:fldChar w:fldCharType="separate"/>
            </w:r>
            <w:r>
              <w:rPr>
                <w:rFonts w:hint="default" w:ascii="Times New Roman" w:hAnsi="Times New Roman" w:cs="Times New Roman"/>
                <w:sz w:val="21"/>
                <w:szCs w:val="21"/>
              </w:rPr>
              <w:t>①</w:t>
            </w:r>
            <w:r>
              <w:rPr>
                <w:rFonts w:hint="default" w:ascii="Times New Roman" w:hAnsi="Times New Roman" w:cs="Times New Roman" w:eastAsiaTheme="minorEastAsia"/>
                <w:sz w:val="21"/>
                <w:szCs w:val="21"/>
              </w:rPr>
              <w:fldChar w:fldCharType="end"/>
            </w:r>
            <w:r>
              <w:rPr>
                <w:rFonts w:hint="default" w:ascii="Times New Roman" w:hAnsi="Times New Roman" w:cs="Times New Roman" w:eastAsiaTheme="minorEastAsia"/>
                <w:sz w:val="21"/>
                <w:szCs w:val="21"/>
              </w:rPr>
              <w:t>生产设施运行台账：记录内容为原辅料、燃料采购信息，累计生产时间、生产负荷、主要产品产量、原辅料及燃料使用情况；台账保存至少3年。</w:t>
            </w:r>
          </w:p>
          <w:p>
            <w:pPr>
              <w:spacing w:after="0" w:line="350" w:lineRule="exact"/>
              <w:ind w:firstLine="420" w:firstLineChars="20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fldChar w:fldCharType="begin"/>
            </w:r>
            <w:r>
              <w:rPr>
                <w:rFonts w:hint="default" w:ascii="Times New Roman" w:hAnsi="Times New Roman" w:cs="Times New Roman" w:eastAsiaTheme="minorEastAsia"/>
                <w:sz w:val="21"/>
                <w:szCs w:val="21"/>
              </w:rPr>
              <w:instrText xml:space="preserve"> = 2 \* GB3 \* MERGEFORMAT </w:instrText>
            </w:r>
            <w:r>
              <w:rPr>
                <w:rFonts w:hint="default" w:ascii="Times New Roman" w:hAnsi="Times New Roman" w:cs="Times New Roman" w:eastAsiaTheme="minorEastAsia"/>
                <w:sz w:val="21"/>
                <w:szCs w:val="21"/>
              </w:rPr>
              <w:fldChar w:fldCharType="separate"/>
            </w:r>
            <w:r>
              <w:rPr>
                <w:rFonts w:hint="default" w:ascii="Times New Roman" w:hAnsi="Times New Roman" w:cs="Times New Roman"/>
                <w:sz w:val="21"/>
                <w:szCs w:val="21"/>
              </w:rPr>
              <w:t>②</w:t>
            </w:r>
            <w:r>
              <w:rPr>
                <w:rFonts w:hint="default" w:ascii="Times New Roman" w:hAnsi="Times New Roman" w:cs="Times New Roman" w:eastAsiaTheme="minorEastAsia"/>
                <w:sz w:val="21"/>
                <w:szCs w:val="21"/>
              </w:rPr>
              <w:fldChar w:fldCharType="end"/>
            </w:r>
            <w:r>
              <w:rPr>
                <w:rFonts w:hint="default" w:ascii="Times New Roman" w:hAnsi="Times New Roman" w:cs="Times New Roman" w:eastAsiaTheme="minorEastAsia"/>
                <w:sz w:val="21"/>
                <w:szCs w:val="21"/>
              </w:rPr>
              <w:t>污染物排放台账：包括排污单元名称、排污口编号、使用的计量方式、排污口位置等基本信息；记录污染物的产生、排放台账，并纳入企业公开内容，定期向生态环境部门和周边企业、公众公布主要污染物排放和环境管理情况；台账保存至少3年。</w:t>
            </w:r>
          </w:p>
          <w:p>
            <w:pPr>
              <w:spacing w:after="0" w:line="350" w:lineRule="exac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（2）环境信息公开</w:t>
            </w:r>
          </w:p>
          <w:p>
            <w:pPr>
              <w:spacing w:after="0" w:line="350" w:lineRule="exact"/>
              <w:ind w:firstLine="420" w:firstLineChars="20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根据</w:t>
            </w:r>
            <w:r>
              <w:rPr>
                <w:rFonts w:hint="default" w:ascii="Times New Roman" w:hAnsi="Times New Roman" w:eastAsia="宋体" w:cs="Times New Roman"/>
                <w:kern w:val="2"/>
                <w:sz w:val="21"/>
                <w:szCs w:val="21"/>
                <w:lang w:bidi="ar"/>
              </w:rPr>
              <w:t>《企业环境信息依法披露管理办法》</w:t>
            </w:r>
            <w:r>
              <w:rPr>
                <w:rFonts w:hint="default" w:ascii="Times New Roman" w:hAnsi="Times New Roman" w:cs="Times New Roman" w:eastAsiaTheme="minorEastAsia"/>
                <w:sz w:val="21"/>
                <w:szCs w:val="21"/>
              </w:rPr>
              <w:t>，排污单位应当通过其网站、企业事业单位环境信息公开平台或者当地报刊等便于公众知晓的方式公开环境信息。</w:t>
            </w:r>
          </w:p>
          <w:p>
            <w:pPr>
              <w:spacing w:after="0" w:line="350" w:lineRule="exact"/>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（3）排放口规范化建设</w:t>
            </w:r>
          </w:p>
          <w:p>
            <w:pPr>
              <w:spacing w:after="0" w:line="350" w:lineRule="exact"/>
              <w:ind w:firstLine="420" w:firstLineChars="200"/>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fldChar w:fldCharType="begin"/>
            </w:r>
            <w:r>
              <w:rPr>
                <w:rFonts w:hint="default" w:ascii="Times New Roman" w:hAnsi="Times New Roman" w:cs="Times New Roman" w:eastAsiaTheme="minorEastAsia"/>
                <w:kern w:val="2"/>
                <w:sz w:val="21"/>
                <w:szCs w:val="21"/>
              </w:rPr>
              <w:instrText xml:space="preserve"> = 1 \* GB3 \* MERGEFORMAT </w:instrText>
            </w:r>
            <w:r>
              <w:rPr>
                <w:rFonts w:hint="default" w:ascii="Times New Roman" w:hAnsi="Times New Roman" w:cs="Times New Roman" w:eastAsiaTheme="minorEastAsia"/>
                <w:kern w:val="2"/>
                <w:sz w:val="21"/>
                <w:szCs w:val="21"/>
              </w:rPr>
              <w:fldChar w:fldCharType="separate"/>
            </w:r>
            <w:r>
              <w:rPr>
                <w:rFonts w:hint="default" w:ascii="Times New Roman" w:hAnsi="Times New Roman" w:cs="Times New Roman"/>
                <w:sz w:val="21"/>
                <w:szCs w:val="21"/>
              </w:rPr>
              <w:t>①</w:t>
            </w:r>
            <w:r>
              <w:rPr>
                <w:rFonts w:hint="default" w:ascii="Times New Roman" w:hAnsi="Times New Roman" w:cs="Times New Roman" w:eastAsiaTheme="minorEastAsia"/>
                <w:kern w:val="2"/>
                <w:sz w:val="21"/>
                <w:szCs w:val="21"/>
              </w:rPr>
              <w:fldChar w:fldCharType="end"/>
            </w:r>
            <w:r>
              <w:rPr>
                <w:rFonts w:hint="default" w:ascii="Times New Roman" w:hAnsi="Times New Roman" w:cs="Times New Roman" w:eastAsiaTheme="minorEastAsia"/>
                <w:kern w:val="2"/>
                <w:sz w:val="21"/>
                <w:szCs w:val="21"/>
              </w:rPr>
              <w:t>废气：</w:t>
            </w:r>
            <w:r>
              <w:rPr>
                <w:rFonts w:hint="default" w:ascii="Times New Roman" w:hAnsi="Times New Roman" w:cs="Times New Roman" w:eastAsiaTheme="minorEastAsia"/>
                <w:sz w:val="21"/>
                <w:szCs w:val="21"/>
              </w:rPr>
              <w:t>有组织排放的废气。对其排气筒数量、高度和泄露情况进行整治，进行编号并设置标志牌。排气筒应设置便于人工采样、监测的采样口，采样口的设置应符合《污染源监测技术规范》要求。根据GB/T16157-1996《固定污染源排气中颗粒物测定与气态污染源采样方法》，废气排污口采样孔设置的位置应该是“距弯头、阀门、变径下游方向不小于6倍直径，上游方向不小于3倍直径”。如果是矩形烟道的，其当量直径D=2AB/（A+B），式中A、B为边长。采样口位置无法满足规范要求的，其位置由当地环境监测部门确认。采样口必须设置常备电源。</w:t>
            </w:r>
          </w:p>
          <w:p>
            <w:pPr>
              <w:spacing w:after="0" w:line="350" w:lineRule="exact"/>
              <w:ind w:firstLine="412" w:firstLineChars="200"/>
              <w:rPr>
                <w:rFonts w:hint="default" w:ascii="Times New Roman" w:hAnsi="Times New Roman" w:cs="Times New Roman" w:eastAsiaTheme="minorEastAsia"/>
                <w:spacing w:val="-2"/>
                <w:sz w:val="21"/>
                <w:szCs w:val="21"/>
              </w:rPr>
            </w:pPr>
            <w:r>
              <w:rPr>
                <w:rFonts w:hint="default" w:ascii="Times New Roman" w:hAnsi="Times New Roman" w:cs="Times New Roman" w:eastAsiaTheme="minorEastAsia"/>
                <w:spacing w:val="-2"/>
                <w:kern w:val="2"/>
                <w:sz w:val="21"/>
                <w:szCs w:val="21"/>
              </w:rPr>
              <w:fldChar w:fldCharType="begin"/>
            </w:r>
            <w:r>
              <w:rPr>
                <w:rFonts w:hint="default" w:ascii="Times New Roman" w:hAnsi="Times New Roman" w:cs="Times New Roman" w:eastAsiaTheme="minorEastAsia"/>
                <w:spacing w:val="-2"/>
                <w:kern w:val="2"/>
                <w:sz w:val="21"/>
                <w:szCs w:val="21"/>
              </w:rPr>
              <w:instrText xml:space="preserve"> = 2 \* GB3 \* MERGEFORMAT </w:instrText>
            </w:r>
            <w:r>
              <w:rPr>
                <w:rFonts w:hint="default" w:ascii="Times New Roman" w:hAnsi="Times New Roman" w:cs="Times New Roman" w:eastAsiaTheme="minorEastAsia"/>
                <w:spacing w:val="-2"/>
                <w:kern w:val="2"/>
                <w:sz w:val="21"/>
                <w:szCs w:val="21"/>
              </w:rPr>
              <w:fldChar w:fldCharType="separate"/>
            </w:r>
            <w:r>
              <w:rPr>
                <w:rFonts w:hint="default" w:ascii="Times New Roman" w:hAnsi="Times New Roman" w:cs="Times New Roman"/>
                <w:sz w:val="21"/>
                <w:szCs w:val="21"/>
              </w:rPr>
              <w:t>②</w:t>
            </w:r>
            <w:r>
              <w:rPr>
                <w:rFonts w:hint="default" w:ascii="Times New Roman" w:hAnsi="Times New Roman" w:cs="Times New Roman" w:eastAsiaTheme="minorEastAsia"/>
                <w:spacing w:val="-2"/>
                <w:kern w:val="2"/>
                <w:sz w:val="21"/>
                <w:szCs w:val="21"/>
              </w:rPr>
              <w:fldChar w:fldCharType="end"/>
            </w:r>
            <w:r>
              <w:rPr>
                <w:rFonts w:hint="default" w:ascii="Times New Roman" w:hAnsi="Times New Roman" w:cs="Times New Roman" w:eastAsiaTheme="minorEastAsia"/>
                <w:spacing w:val="-2"/>
                <w:kern w:val="2"/>
                <w:sz w:val="21"/>
                <w:szCs w:val="21"/>
              </w:rPr>
              <w:t>固体废物：</w:t>
            </w:r>
            <w:r>
              <w:rPr>
                <w:rFonts w:hint="default" w:ascii="Times New Roman" w:hAnsi="Times New Roman" w:cs="Times New Roman" w:eastAsiaTheme="minorEastAsia"/>
                <w:spacing w:val="-2"/>
                <w:sz w:val="21"/>
                <w:szCs w:val="21"/>
              </w:rPr>
              <w:t>一般固体废弃物应设置专用贮存场所（设施），设置标志牌。危险废物应设置专用贮存场所（设施），并必须有防扬散、防流失以及“六防”（防风、防雨、防晒、防漏、防渗、防腐）等防治措施，设置警告性环境保护图形标志牌。</w:t>
            </w:r>
          </w:p>
          <w:p>
            <w:pPr>
              <w:spacing w:after="0" w:line="350" w:lineRule="exact"/>
              <w:ind w:firstLine="420" w:firstLineChars="200"/>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fldChar w:fldCharType="begin"/>
            </w:r>
            <w:r>
              <w:rPr>
                <w:rFonts w:hint="default" w:ascii="Times New Roman" w:hAnsi="Times New Roman" w:cs="Times New Roman" w:eastAsiaTheme="minorEastAsia"/>
                <w:kern w:val="2"/>
                <w:sz w:val="21"/>
                <w:szCs w:val="21"/>
              </w:rPr>
              <w:instrText xml:space="preserve"> = 3 \* GB3 \* MERGEFORMAT </w:instrText>
            </w:r>
            <w:r>
              <w:rPr>
                <w:rFonts w:hint="default" w:ascii="Times New Roman" w:hAnsi="Times New Roman" w:cs="Times New Roman" w:eastAsiaTheme="minorEastAsia"/>
                <w:kern w:val="2"/>
                <w:sz w:val="21"/>
                <w:szCs w:val="21"/>
              </w:rPr>
              <w:fldChar w:fldCharType="separate"/>
            </w:r>
            <w:r>
              <w:rPr>
                <w:rFonts w:hint="default" w:ascii="Times New Roman" w:hAnsi="Times New Roman" w:cs="Times New Roman"/>
                <w:sz w:val="21"/>
                <w:szCs w:val="21"/>
              </w:rPr>
              <w:t>③</w:t>
            </w:r>
            <w:r>
              <w:rPr>
                <w:rFonts w:hint="default" w:ascii="Times New Roman" w:hAnsi="Times New Roman" w:cs="Times New Roman" w:eastAsiaTheme="minorEastAsia"/>
                <w:kern w:val="2"/>
                <w:sz w:val="21"/>
                <w:szCs w:val="21"/>
              </w:rPr>
              <w:fldChar w:fldCharType="end"/>
            </w:r>
            <w:r>
              <w:rPr>
                <w:rFonts w:hint="default" w:ascii="Times New Roman" w:hAnsi="Times New Roman" w:cs="Times New Roman" w:eastAsiaTheme="minorEastAsia"/>
                <w:kern w:val="2"/>
                <w:sz w:val="21"/>
                <w:szCs w:val="21"/>
              </w:rPr>
              <w:t>噪声：</w:t>
            </w:r>
            <w:r>
              <w:rPr>
                <w:rFonts w:hint="default" w:ascii="Times New Roman" w:hAnsi="Times New Roman" w:cs="Times New Roman" w:eastAsiaTheme="minorEastAsia"/>
                <w:sz w:val="21"/>
                <w:szCs w:val="21"/>
              </w:rPr>
              <w:t>工业企业厂界噪声测点应在法定厂界外1m，高度1.2m以上的噪声敏感处。在固定噪声源厂界噪声敏感、且对外界影响最大处设置该噪声源的监测点。噪声标志牌立于测点处牌。</w:t>
            </w:r>
          </w:p>
          <w:p>
            <w:pPr>
              <w:spacing w:after="0" w:line="350" w:lineRule="exact"/>
              <w:rPr>
                <w:rFonts w:hint="default" w:ascii="Times New Roman" w:hAnsi="Times New Roman" w:eastAsia="宋体" w:cs="Times New Roman"/>
                <w:kern w:val="2"/>
                <w:sz w:val="21"/>
                <w:szCs w:val="21"/>
                <w:lang w:bidi="ar"/>
              </w:rPr>
            </w:pPr>
            <w:r>
              <w:rPr>
                <w:rFonts w:hint="default" w:ascii="Times New Roman" w:hAnsi="Times New Roman" w:cs="Times New Roman" w:eastAsiaTheme="minorEastAsia"/>
                <w:kern w:val="2"/>
                <w:sz w:val="21"/>
                <w:szCs w:val="21"/>
              </w:rPr>
              <w:fldChar w:fldCharType="begin"/>
            </w:r>
            <w:r>
              <w:rPr>
                <w:rFonts w:hint="default" w:ascii="Times New Roman" w:hAnsi="Times New Roman" w:cs="Times New Roman" w:eastAsiaTheme="minorEastAsia"/>
                <w:kern w:val="2"/>
                <w:sz w:val="21"/>
                <w:szCs w:val="21"/>
              </w:rPr>
              <w:instrText xml:space="preserve"> = 4 \* GB3 \* MERGEFORMAT </w:instrText>
            </w:r>
            <w:r>
              <w:rPr>
                <w:rFonts w:hint="default" w:ascii="Times New Roman" w:hAnsi="Times New Roman" w:cs="Times New Roman" w:eastAsiaTheme="minorEastAsia"/>
                <w:kern w:val="2"/>
                <w:sz w:val="21"/>
                <w:szCs w:val="21"/>
              </w:rPr>
              <w:fldChar w:fldCharType="separate"/>
            </w:r>
            <w:r>
              <w:rPr>
                <w:rFonts w:hint="default" w:ascii="Times New Roman" w:hAnsi="Times New Roman" w:cs="Times New Roman"/>
                <w:sz w:val="21"/>
                <w:szCs w:val="21"/>
              </w:rPr>
              <w:t>④</w:t>
            </w:r>
            <w:r>
              <w:rPr>
                <w:rFonts w:hint="default" w:ascii="Times New Roman" w:hAnsi="Times New Roman" w:cs="Times New Roman" w:eastAsiaTheme="minorEastAsia"/>
                <w:kern w:val="2"/>
                <w:sz w:val="21"/>
                <w:szCs w:val="21"/>
              </w:rPr>
              <w:fldChar w:fldCharType="end"/>
            </w:r>
            <w:r>
              <w:rPr>
                <w:rFonts w:hint="default" w:ascii="Times New Roman" w:hAnsi="Times New Roman" w:cs="Times New Roman" w:eastAsiaTheme="minorEastAsia"/>
                <w:kern w:val="2"/>
                <w:sz w:val="21"/>
                <w:szCs w:val="21"/>
              </w:rPr>
              <w:t>排污口立标要求：</w:t>
            </w:r>
            <w:r>
              <w:rPr>
                <w:rFonts w:hint="default" w:ascii="Times New Roman" w:hAnsi="Times New Roman" w:cs="Times New Roman" w:eastAsiaTheme="minorEastAsia"/>
                <w:sz w:val="21"/>
                <w:szCs w:val="21"/>
              </w:rPr>
              <w:t>排污口标志牌是对排污单位排放污染物实施监测采样和监督管理的法定标志。标志牌设置应距污染物排污口（源）及固体废物贮存（处置）场或采样、监测点附近且醒目处，并能长久保留。</w:t>
            </w:r>
          </w:p>
        </w:tc>
      </w:tr>
    </w:tbl>
    <w:p>
      <w:pPr>
        <w:spacing w:after="0"/>
        <w:rPr>
          <w:rFonts w:hint="default" w:ascii="Times New Roman" w:hAnsi="Times New Roman" w:eastAsia="宋体" w:cs="Times New Roman"/>
          <w:b/>
          <w:sz w:val="28"/>
          <w:szCs w:val="28"/>
        </w:rPr>
        <w:sectPr>
          <w:pgSz w:w="11906" w:h="16838"/>
          <w:pgMar w:top="1417" w:right="1417" w:bottom="1417" w:left="1417" w:header="1134" w:footer="1021" w:gutter="0"/>
          <w:cols w:space="708" w:num="1"/>
          <w:docGrid w:linePitch="360" w:charSpace="0"/>
        </w:sectPr>
      </w:pPr>
    </w:p>
    <w:p>
      <w:pPr>
        <w:pStyle w:val="2"/>
        <w:spacing w:before="0" w:after="0" w:line="24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六、结论</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57" w:type="dxa"/>
          <w:bottom w:w="0" w:type="dxa"/>
          <w:right w:w="57" w:type="dxa"/>
        </w:tblCellMar>
      </w:tblPr>
      <w:tblGrid>
        <w:gridCol w:w="91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57" w:type="dxa"/>
            <w:bottom w:w="0" w:type="dxa"/>
            <w:right w:w="57" w:type="dxa"/>
          </w:tblCellMar>
        </w:tblPrEx>
        <w:trPr>
          <w:trHeight w:val="13493" w:hRule="atLeast"/>
          <w:jc w:val="center"/>
        </w:trPr>
        <w:tc>
          <w:tcPr>
            <w:tcW w:w="9298" w:type="dxa"/>
          </w:tcPr>
          <w:p>
            <w:pPr>
              <w:spacing w:after="0" w:line="420" w:lineRule="exact"/>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t>博盟年产200万台套新能源汽车配件项目一期项目选址位于重庆市合川区草街街道农创路(</w:t>
            </w:r>
            <w:r>
              <w:rPr>
                <w:rFonts w:hint="default" w:ascii="Times New Roman" w:hAnsi="Times New Roman" w:eastAsia="宋体" w:cs="Times New Roman"/>
                <w:sz w:val="24"/>
                <w:lang w:val="en-US" w:eastAsia="zh-CN"/>
              </w:rPr>
              <w:t>HC23-111-3号地块</w:t>
            </w:r>
            <w:r>
              <w:rPr>
                <w:rFonts w:hint="default" w:ascii="Times New Roman" w:hAnsi="Times New Roman" w:eastAsia="宋体" w:cs="Times New Roman"/>
                <w:sz w:val="24"/>
              </w:rPr>
              <w:t>)，项目符合国家产业政策、选址合理、用地性质符合规划。项目采用的工艺技术和设备符合清洁生产要求；所采用的污染防治措施技术经济可行，项目严格按照评价提出的污染防治措施和环境风险防范措施及应急预案后，排放的污染物对周围环境影响较小，环境风险可控。因此，从环境保护角度分析，项目建设可行。</w:t>
            </w:r>
          </w:p>
          <w:p>
            <w:pPr>
              <w:spacing w:after="0" w:line="420" w:lineRule="exact"/>
              <w:ind w:firstLine="562" w:firstLineChars="200"/>
              <w:rPr>
                <w:rFonts w:hint="default" w:ascii="Times New Roman" w:hAnsi="Times New Roman" w:eastAsia="宋体" w:cs="Times New Roman"/>
                <w:b/>
                <w:kern w:val="2"/>
                <w:sz w:val="28"/>
                <w:szCs w:val="28"/>
              </w:rPr>
            </w:pPr>
          </w:p>
        </w:tc>
      </w:tr>
    </w:tbl>
    <w:p>
      <w:pPr>
        <w:spacing w:after="0"/>
        <w:rPr>
          <w:rFonts w:hint="default" w:ascii="Times New Roman" w:hAnsi="Times New Roman" w:eastAsia="宋体" w:cs="Times New Roman"/>
          <w:b/>
          <w:sz w:val="28"/>
          <w:szCs w:val="28"/>
        </w:rPr>
        <w:sectPr>
          <w:pgSz w:w="11906" w:h="16838"/>
          <w:pgMar w:top="1417" w:right="1417" w:bottom="1417" w:left="1417" w:header="1134" w:footer="1021" w:gutter="0"/>
          <w:cols w:space="708" w:num="1"/>
          <w:docGrid w:linePitch="360" w:charSpace="0"/>
        </w:sectPr>
      </w:pPr>
    </w:p>
    <w:p>
      <w:pPr>
        <w:pStyle w:val="2"/>
        <w:spacing w:before="0" w:after="0" w:line="240" w:lineRule="auto"/>
        <w:rPr>
          <w:rFonts w:hint="default" w:ascii="Times New Roman" w:hAnsi="Times New Roman" w:eastAsia="宋体" w:cs="Times New Roman"/>
          <w:sz w:val="32"/>
          <w:szCs w:val="32"/>
        </w:rPr>
      </w:pPr>
      <w:r>
        <w:rPr>
          <w:rFonts w:hint="default" w:ascii="Times New Roman" w:hAnsi="Times New Roman" w:eastAsia="宋体" w:cs="Times New Roman"/>
          <w:sz w:val="28"/>
          <w:szCs w:val="28"/>
        </w:rPr>
        <w:t xml:space="preserve">附表                                   </w:t>
      </w:r>
      <w:r>
        <w:rPr>
          <w:rFonts w:hint="default" w:ascii="Times New Roman" w:hAnsi="Times New Roman" w:eastAsia="宋体" w:cs="Times New Roman"/>
          <w:sz w:val="32"/>
          <w:szCs w:val="32"/>
        </w:rPr>
        <w:t>建设项目污染物排放量汇总表</w:t>
      </w:r>
    </w:p>
    <w:tbl>
      <w:tblPr>
        <w:tblStyle w:val="30"/>
        <w:tblW w:w="521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642"/>
        <w:gridCol w:w="2593"/>
        <w:gridCol w:w="1861"/>
        <w:gridCol w:w="1213"/>
        <w:gridCol w:w="1811"/>
        <w:gridCol w:w="1770"/>
        <w:gridCol w:w="1776"/>
        <w:gridCol w:w="1969"/>
        <w:gridCol w:w="1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tcBorders>
              <w:top w:val="single" w:color="auto" w:sz="12" w:space="0"/>
              <w:bottom w:val="single" w:color="auto" w:sz="6" w:space="0"/>
              <w:tl2br w:val="single" w:color="auto" w:sz="4" w:space="0"/>
            </w:tcBorders>
            <w:tcMar>
              <w:top w:w="0" w:type="dxa"/>
              <w:left w:w="0" w:type="dxa"/>
              <w:bottom w:w="0" w:type="dxa"/>
              <w:right w:w="0" w:type="dxa"/>
            </w:tcMar>
            <w:vAlign w:val="center"/>
          </w:tcPr>
          <w:p>
            <w:pPr>
              <w:widowControl w:val="0"/>
              <w:adjustRightInd/>
              <w:snapToGrid/>
              <w:spacing w:after="0"/>
              <w:jc w:val="right"/>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项目</w:t>
            </w:r>
          </w:p>
          <w:p>
            <w:pPr>
              <w:widowControl w:val="0"/>
              <w:adjustRightInd/>
              <w:snapToGrid/>
              <w:spacing w:after="0"/>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分类</w:t>
            </w:r>
          </w:p>
        </w:tc>
        <w:tc>
          <w:tcPr>
            <w:tcW w:w="2588"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污染物名称</w:t>
            </w:r>
          </w:p>
        </w:tc>
        <w:tc>
          <w:tcPr>
            <w:tcW w:w="185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现有工程排放量（固废产生量）</w:t>
            </w:r>
            <w:r>
              <w:rPr>
                <w:rFonts w:hint="default" w:ascii="Times New Roman" w:hAnsi="Times New Roman" w:cs="Times New Roman" w:eastAsiaTheme="minorEastAsia"/>
                <w:snapToGrid w:val="0"/>
                <w:kern w:val="21"/>
                <w:sz w:val="21"/>
                <w:szCs w:val="21"/>
              </w:rPr>
              <w:fldChar w:fldCharType="begin"/>
            </w:r>
            <w:r>
              <w:rPr>
                <w:rFonts w:hint="default" w:ascii="Times New Roman" w:hAnsi="Times New Roman" w:cs="Times New Roman" w:eastAsiaTheme="minorEastAsia"/>
                <w:snapToGrid w:val="0"/>
                <w:kern w:val="21"/>
                <w:sz w:val="21"/>
                <w:szCs w:val="21"/>
              </w:rPr>
              <w:instrText xml:space="preserve"> = 1 \* GB3 \* MERGEFORMAT </w:instrText>
            </w:r>
            <w:r>
              <w:rPr>
                <w:rFonts w:hint="default" w:ascii="Times New Roman" w:hAnsi="Times New Roman" w:cs="Times New Roman" w:eastAsiaTheme="minorEastAsia"/>
                <w:snapToGrid w:val="0"/>
                <w:kern w:val="21"/>
                <w:sz w:val="21"/>
                <w:szCs w:val="21"/>
              </w:rPr>
              <w:fldChar w:fldCharType="separate"/>
            </w:r>
            <w:r>
              <w:rPr>
                <w:rFonts w:hint="default" w:ascii="Times New Roman" w:hAnsi="Times New Roman" w:eastAsia="宋体" w:cs="Times New Roman"/>
                <w:kern w:val="2"/>
                <w:sz w:val="21"/>
                <w:szCs w:val="21"/>
              </w:rPr>
              <w:t>①</w:t>
            </w:r>
            <w:r>
              <w:rPr>
                <w:rFonts w:hint="default" w:ascii="Times New Roman" w:hAnsi="Times New Roman" w:cs="Times New Roman" w:eastAsiaTheme="minorEastAsia"/>
                <w:snapToGrid w:val="0"/>
                <w:kern w:val="21"/>
                <w:sz w:val="21"/>
                <w:szCs w:val="21"/>
              </w:rPr>
              <w:fldChar w:fldCharType="end"/>
            </w:r>
          </w:p>
        </w:tc>
        <w:tc>
          <w:tcPr>
            <w:tcW w:w="1210"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现有工程许可排放量</w:t>
            </w:r>
            <w:r>
              <w:rPr>
                <w:rFonts w:hint="default" w:ascii="Times New Roman" w:hAnsi="Times New Roman" w:cs="Times New Roman" w:eastAsiaTheme="minorEastAsia"/>
                <w:snapToGrid w:val="0"/>
                <w:kern w:val="21"/>
                <w:sz w:val="21"/>
                <w:szCs w:val="21"/>
              </w:rPr>
              <w:fldChar w:fldCharType="begin"/>
            </w:r>
            <w:r>
              <w:rPr>
                <w:rFonts w:hint="default" w:ascii="Times New Roman" w:hAnsi="Times New Roman" w:cs="Times New Roman" w:eastAsiaTheme="minorEastAsia"/>
                <w:snapToGrid w:val="0"/>
                <w:kern w:val="21"/>
                <w:sz w:val="21"/>
                <w:szCs w:val="21"/>
              </w:rPr>
              <w:instrText xml:space="preserve"> = 2 \* GB3 \* MERGEFORMAT </w:instrText>
            </w:r>
            <w:r>
              <w:rPr>
                <w:rFonts w:hint="default" w:ascii="Times New Roman" w:hAnsi="Times New Roman" w:cs="Times New Roman" w:eastAsiaTheme="minorEastAsia"/>
                <w:snapToGrid w:val="0"/>
                <w:kern w:val="21"/>
                <w:sz w:val="21"/>
                <w:szCs w:val="21"/>
              </w:rPr>
              <w:fldChar w:fldCharType="separate"/>
            </w:r>
            <w:r>
              <w:rPr>
                <w:rFonts w:hint="default" w:ascii="Times New Roman" w:hAnsi="Times New Roman" w:eastAsia="宋体" w:cs="Times New Roman"/>
                <w:snapToGrid w:val="0"/>
                <w:kern w:val="21"/>
                <w:sz w:val="21"/>
                <w:szCs w:val="21"/>
              </w:rPr>
              <w:t>②</w:t>
            </w:r>
            <w:r>
              <w:rPr>
                <w:rFonts w:hint="default" w:ascii="Times New Roman" w:hAnsi="Times New Roman" w:cs="Times New Roman" w:eastAsiaTheme="minorEastAsia"/>
                <w:snapToGrid w:val="0"/>
                <w:kern w:val="21"/>
                <w:sz w:val="21"/>
                <w:szCs w:val="21"/>
              </w:rPr>
              <w:fldChar w:fldCharType="end"/>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在建工程排放量（固废产生量）</w:t>
            </w:r>
            <w:r>
              <w:rPr>
                <w:rFonts w:hint="default" w:ascii="Times New Roman" w:hAnsi="Times New Roman" w:cs="Times New Roman" w:eastAsiaTheme="minorEastAsia"/>
                <w:snapToGrid w:val="0"/>
                <w:kern w:val="21"/>
                <w:sz w:val="21"/>
                <w:szCs w:val="21"/>
              </w:rPr>
              <w:fldChar w:fldCharType="begin"/>
            </w:r>
            <w:r>
              <w:rPr>
                <w:rFonts w:hint="default" w:ascii="Times New Roman" w:hAnsi="Times New Roman" w:cs="Times New Roman" w:eastAsiaTheme="minorEastAsia"/>
                <w:snapToGrid w:val="0"/>
                <w:kern w:val="21"/>
                <w:sz w:val="21"/>
                <w:szCs w:val="21"/>
              </w:rPr>
              <w:instrText xml:space="preserve"> = 3 \* GB3 \* MERGEFORMAT </w:instrText>
            </w:r>
            <w:r>
              <w:rPr>
                <w:rFonts w:hint="default" w:ascii="Times New Roman" w:hAnsi="Times New Roman" w:cs="Times New Roman" w:eastAsiaTheme="minorEastAsia"/>
                <w:snapToGrid w:val="0"/>
                <w:kern w:val="21"/>
                <w:sz w:val="21"/>
                <w:szCs w:val="21"/>
              </w:rPr>
              <w:fldChar w:fldCharType="separate"/>
            </w:r>
            <w:r>
              <w:rPr>
                <w:rFonts w:hint="default" w:ascii="Times New Roman" w:hAnsi="Times New Roman" w:eastAsia="宋体" w:cs="Times New Roman"/>
                <w:kern w:val="2"/>
                <w:sz w:val="21"/>
                <w:szCs w:val="21"/>
              </w:rPr>
              <w:t>③</w:t>
            </w:r>
            <w:r>
              <w:rPr>
                <w:rFonts w:hint="default" w:ascii="Times New Roman" w:hAnsi="Times New Roman" w:cs="Times New Roman" w:eastAsiaTheme="minorEastAsia"/>
                <w:snapToGrid w:val="0"/>
                <w:kern w:val="21"/>
                <w:sz w:val="21"/>
                <w:szCs w:val="21"/>
              </w:rPr>
              <w:fldChar w:fldCharType="end"/>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本项目排放量（固废产生量）</w:t>
            </w:r>
            <w:r>
              <w:rPr>
                <w:rFonts w:hint="default" w:ascii="Times New Roman" w:hAnsi="Times New Roman" w:cs="Times New Roman" w:eastAsiaTheme="minorEastAsia"/>
                <w:snapToGrid w:val="0"/>
                <w:kern w:val="21"/>
                <w:sz w:val="21"/>
                <w:szCs w:val="21"/>
              </w:rPr>
              <w:fldChar w:fldCharType="begin"/>
            </w:r>
            <w:r>
              <w:rPr>
                <w:rFonts w:hint="default" w:ascii="Times New Roman" w:hAnsi="Times New Roman" w:cs="Times New Roman" w:eastAsiaTheme="minorEastAsia"/>
                <w:snapToGrid w:val="0"/>
                <w:kern w:val="21"/>
                <w:sz w:val="21"/>
                <w:szCs w:val="21"/>
              </w:rPr>
              <w:instrText xml:space="preserve"> = 4 \* GB3 \* MERGEFORMAT </w:instrText>
            </w:r>
            <w:r>
              <w:rPr>
                <w:rFonts w:hint="default" w:ascii="Times New Roman" w:hAnsi="Times New Roman" w:cs="Times New Roman" w:eastAsiaTheme="minorEastAsia"/>
                <w:snapToGrid w:val="0"/>
                <w:kern w:val="21"/>
                <w:sz w:val="21"/>
                <w:szCs w:val="21"/>
              </w:rPr>
              <w:fldChar w:fldCharType="separate"/>
            </w:r>
            <w:r>
              <w:rPr>
                <w:rFonts w:hint="default" w:ascii="Times New Roman" w:hAnsi="Times New Roman" w:eastAsia="宋体" w:cs="Times New Roman"/>
                <w:kern w:val="2"/>
                <w:sz w:val="21"/>
                <w:szCs w:val="21"/>
              </w:rPr>
              <w:t>④</w:t>
            </w:r>
            <w:r>
              <w:rPr>
                <w:rFonts w:hint="default" w:ascii="Times New Roman" w:hAnsi="Times New Roman" w:cs="Times New Roman" w:eastAsiaTheme="minorEastAsia"/>
                <w:snapToGrid w:val="0"/>
                <w:kern w:val="21"/>
                <w:sz w:val="21"/>
                <w:szCs w:val="21"/>
              </w:rPr>
              <w:fldChar w:fldCharType="end"/>
            </w:r>
          </w:p>
        </w:tc>
        <w:tc>
          <w:tcPr>
            <w:tcW w:w="1772"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spacing w:val="-11"/>
                <w:kern w:val="21"/>
                <w:sz w:val="21"/>
                <w:szCs w:val="21"/>
              </w:rPr>
              <w:t>以新带老削减量（扩建项目不填）</w:t>
            </w:r>
            <w:r>
              <w:rPr>
                <w:rFonts w:hint="default" w:ascii="Times New Roman" w:hAnsi="Times New Roman" w:cs="Times New Roman" w:eastAsiaTheme="minorEastAsia"/>
                <w:snapToGrid w:val="0"/>
                <w:spacing w:val="-11"/>
                <w:kern w:val="21"/>
                <w:sz w:val="21"/>
                <w:szCs w:val="21"/>
              </w:rPr>
              <w:fldChar w:fldCharType="begin"/>
            </w:r>
            <w:r>
              <w:rPr>
                <w:rFonts w:hint="default" w:ascii="Times New Roman" w:hAnsi="Times New Roman" w:cs="Times New Roman" w:eastAsiaTheme="minorEastAsia"/>
                <w:snapToGrid w:val="0"/>
                <w:spacing w:val="-11"/>
                <w:kern w:val="21"/>
                <w:sz w:val="21"/>
                <w:szCs w:val="21"/>
              </w:rPr>
              <w:instrText xml:space="preserve"> = 5 \* GB3 \* MERGEFORMAT </w:instrText>
            </w:r>
            <w:r>
              <w:rPr>
                <w:rFonts w:hint="default" w:ascii="Times New Roman" w:hAnsi="Times New Roman" w:cs="Times New Roman" w:eastAsiaTheme="minorEastAsia"/>
                <w:snapToGrid w:val="0"/>
                <w:spacing w:val="-11"/>
                <w:kern w:val="21"/>
                <w:sz w:val="21"/>
                <w:szCs w:val="21"/>
              </w:rPr>
              <w:fldChar w:fldCharType="separate"/>
            </w:r>
            <w:r>
              <w:rPr>
                <w:rFonts w:hint="default" w:ascii="Times New Roman" w:hAnsi="Times New Roman" w:eastAsia="宋体" w:cs="Times New Roman"/>
                <w:spacing w:val="-11"/>
                <w:kern w:val="2"/>
                <w:sz w:val="21"/>
                <w:szCs w:val="21"/>
              </w:rPr>
              <w:t>⑤</w:t>
            </w:r>
            <w:r>
              <w:rPr>
                <w:rFonts w:hint="default" w:ascii="Times New Roman" w:hAnsi="Times New Roman" w:cs="Times New Roman" w:eastAsiaTheme="minorEastAsia"/>
                <w:snapToGrid w:val="0"/>
                <w:spacing w:val="-11"/>
                <w:kern w:val="21"/>
                <w:sz w:val="21"/>
                <w:szCs w:val="21"/>
              </w:rPr>
              <w:fldChar w:fldCharType="end"/>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spacing w:val="-17"/>
                <w:kern w:val="21"/>
                <w:sz w:val="21"/>
                <w:szCs w:val="21"/>
              </w:rPr>
              <w:t>本项目建成后全厂排放量（固废产生量）</w:t>
            </w:r>
            <w:r>
              <w:rPr>
                <w:rFonts w:hint="default" w:ascii="Times New Roman" w:hAnsi="Times New Roman" w:cs="Times New Roman" w:eastAsiaTheme="minorEastAsia"/>
                <w:snapToGrid w:val="0"/>
                <w:spacing w:val="-17"/>
                <w:kern w:val="21"/>
                <w:sz w:val="21"/>
                <w:szCs w:val="21"/>
              </w:rPr>
              <w:fldChar w:fldCharType="begin"/>
            </w:r>
            <w:r>
              <w:rPr>
                <w:rFonts w:hint="default" w:ascii="Times New Roman" w:hAnsi="Times New Roman" w:cs="Times New Roman" w:eastAsiaTheme="minorEastAsia"/>
                <w:snapToGrid w:val="0"/>
                <w:spacing w:val="-17"/>
                <w:kern w:val="21"/>
                <w:sz w:val="21"/>
                <w:szCs w:val="21"/>
              </w:rPr>
              <w:instrText xml:space="preserve"> = 6 \* GB3 \* MERGEFORMAT </w:instrText>
            </w:r>
            <w:r>
              <w:rPr>
                <w:rFonts w:hint="default" w:ascii="Times New Roman" w:hAnsi="Times New Roman" w:cs="Times New Roman" w:eastAsiaTheme="minorEastAsia"/>
                <w:snapToGrid w:val="0"/>
                <w:spacing w:val="-17"/>
                <w:kern w:val="21"/>
                <w:sz w:val="21"/>
                <w:szCs w:val="21"/>
              </w:rPr>
              <w:fldChar w:fldCharType="separate"/>
            </w:r>
            <w:r>
              <w:rPr>
                <w:rFonts w:hint="default" w:ascii="Times New Roman" w:hAnsi="Times New Roman" w:eastAsia="宋体" w:cs="Times New Roman"/>
                <w:spacing w:val="-17"/>
                <w:kern w:val="2"/>
                <w:sz w:val="21"/>
                <w:szCs w:val="21"/>
              </w:rPr>
              <w:t>⑥</w:t>
            </w:r>
            <w:r>
              <w:rPr>
                <w:rFonts w:hint="default" w:ascii="Times New Roman" w:hAnsi="Times New Roman" w:cs="Times New Roman" w:eastAsiaTheme="minorEastAsia"/>
                <w:snapToGrid w:val="0"/>
                <w:spacing w:val="-17"/>
                <w:kern w:val="21"/>
                <w:sz w:val="21"/>
                <w:szCs w:val="21"/>
              </w:rPr>
              <w:fldChar w:fldCharType="end"/>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变化量</w:t>
            </w:r>
            <w:r>
              <w:rPr>
                <w:rFonts w:hint="default" w:ascii="Times New Roman" w:hAnsi="Times New Roman" w:cs="Times New Roman" w:eastAsiaTheme="minorEastAsia"/>
                <w:snapToGrid w:val="0"/>
                <w:kern w:val="21"/>
                <w:sz w:val="21"/>
                <w:szCs w:val="21"/>
              </w:rPr>
              <w:fldChar w:fldCharType="begin"/>
            </w:r>
            <w:r>
              <w:rPr>
                <w:rFonts w:hint="default" w:ascii="Times New Roman" w:hAnsi="Times New Roman" w:cs="Times New Roman" w:eastAsiaTheme="minorEastAsia"/>
                <w:snapToGrid w:val="0"/>
                <w:kern w:val="21"/>
                <w:sz w:val="21"/>
                <w:szCs w:val="21"/>
              </w:rPr>
              <w:instrText xml:space="preserve"> = 7 \* GB3 \* MERGEFORMAT </w:instrText>
            </w:r>
            <w:r>
              <w:rPr>
                <w:rFonts w:hint="default" w:ascii="Times New Roman" w:hAnsi="Times New Roman" w:cs="Times New Roman" w:eastAsiaTheme="minorEastAsia"/>
                <w:snapToGrid w:val="0"/>
                <w:kern w:val="21"/>
                <w:sz w:val="21"/>
                <w:szCs w:val="21"/>
              </w:rPr>
              <w:fldChar w:fldCharType="separate"/>
            </w:r>
            <w:r>
              <w:rPr>
                <w:rFonts w:hint="default" w:ascii="Times New Roman" w:hAnsi="Times New Roman" w:eastAsia="宋体" w:cs="Times New Roman"/>
                <w:kern w:val="2"/>
                <w:sz w:val="21"/>
                <w:szCs w:val="21"/>
              </w:rPr>
              <w:t>⑦</w:t>
            </w:r>
            <w:r>
              <w:rPr>
                <w:rFonts w:hint="default" w:ascii="Times New Roman" w:hAnsi="Times New Roman" w:cs="Times New Roman" w:eastAsiaTheme="minorEastAsia"/>
                <w:snapToGrid w:val="0"/>
                <w:kern w:val="21"/>
                <w:sz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restart"/>
            <w:tcBorders>
              <w:top w:val="single" w:color="auto" w:sz="6" w:space="0"/>
            </w:tcBorders>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废气</w:t>
            </w: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颗粒物</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lang w:val="en-US" w:eastAsia="zh-CN"/>
              </w:rPr>
            </w:pPr>
            <w:r>
              <w:rPr>
                <w:rFonts w:hint="default" w:ascii="Times New Roman" w:hAnsi="Times New Roman" w:cs="Times New Roman" w:eastAsiaTheme="minorEastAsia"/>
                <w:kern w:val="2"/>
                <w:sz w:val="21"/>
                <w:szCs w:val="21"/>
              </w:rPr>
              <w:t>0.0</w:t>
            </w:r>
            <w:r>
              <w:rPr>
                <w:rFonts w:hint="default" w:ascii="Times New Roman" w:hAnsi="Times New Roman" w:cs="Times New Roman" w:eastAsiaTheme="minorEastAsia"/>
                <w:kern w:val="2"/>
                <w:sz w:val="21"/>
                <w:szCs w:val="21"/>
                <w:lang w:val="en-US" w:eastAsia="zh-CN"/>
              </w:rPr>
              <w:t>50</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rPr>
              <w:t>0.0</w:t>
            </w:r>
            <w:r>
              <w:rPr>
                <w:rFonts w:hint="default" w:ascii="Times New Roman" w:hAnsi="Times New Roman" w:eastAsia="宋体" w:cs="Times New Roman"/>
                <w:kern w:val="2"/>
                <w:sz w:val="21"/>
                <w:szCs w:val="21"/>
                <w:lang w:val="en-US" w:eastAsia="zh-CN"/>
              </w:rPr>
              <w:t>50</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eastAsia="宋体" w:cs="Times New Roman"/>
                <w:snapToGrid w:val="0"/>
                <w:kern w:val="21"/>
                <w:sz w:val="21"/>
                <w:szCs w:val="21"/>
                <w:lang w:val="en-US" w:eastAsia="zh-CN"/>
              </w:rPr>
            </w:pPr>
            <w:r>
              <w:rPr>
                <w:rFonts w:hint="default" w:ascii="Times New Roman" w:hAnsi="Times New Roman" w:eastAsia="宋体" w:cs="Times New Roman"/>
                <w:kern w:val="2"/>
                <w:sz w:val="21"/>
                <w:szCs w:val="21"/>
              </w:rPr>
              <w:t>+0.0</w:t>
            </w:r>
            <w:r>
              <w:rPr>
                <w:rFonts w:hint="default" w:ascii="Times New Roman" w:hAnsi="Times New Roman" w:eastAsia="宋体" w:cs="Times New Roman"/>
                <w:kern w:val="2"/>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非甲烷总烃</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kern w:val="2"/>
                <w:sz w:val="21"/>
                <w:szCs w:val="21"/>
              </w:rPr>
              <w:t>0.110</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rPr>
              <w:t>0.110</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kern w:val="2"/>
                <w:sz w:val="21"/>
                <w:szCs w:val="21"/>
              </w:rPr>
              <w:t>+0.110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二硫化碳</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kern w:val="2"/>
                <w:sz w:val="21"/>
                <w:szCs w:val="21"/>
              </w:rPr>
              <w:t>0.025</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rPr>
              <w:t>0.025</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kern w:val="2"/>
                <w:sz w:val="21"/>
                <w:szCs w:val="21"/>
              </w:rPr>
              <w:t>+0.025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color w:val="auto"/>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氨</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80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rPr>
              <w:t>0.00</w:t>
            </w:r>
            <w:r>
              <w:rPr>
                <w:rFonts w:hint="default" w:ascii="Times New Roman" w:hAnsi="Times New Roman" w:cs="Times New Roman" w:eastAsiaTheme="minorEastAsia"/>
                <w:color w:val="auto"/>
                <w:kern w:val="2"/>
                <w:sz w:val="21"/>
                <w:szCs w:val="21"/>
                <w:lang w:val="en-US" w:eastAsia="zh-CN"/>
              </w:rPr>
              <w:t>2</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rPr>
              <w:t>0.00</w:t>
            </w:r>
            <w:r>
              <w:rPr>
                <w:rFonts w:hint="default" w:ascii="Times New Roman" w:hAnsi="Times New Roman" w:cs="Times New Roman" w:eastAsiaTheme="minorEastAsia"/>
                <w:color w:val="auto"/>
                <w:kern w:val="2"/>
                <w:sz w:val="21"/>
                <w:szCs w:val="21"/>
                <w:lang w:val="en-US" w:eastAsia="zh-CN"/>
              </w:rPr>
              <w:t>2</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eastAsia="宋体" w:cs="Times New Roman"/>
                <w:color w:val="auto"/>
                <w:kern w:val="2"/>
                <w:sz w:val="21"/>
                <w:szCs w:val="21"/>
              </w:rPr>
              <w:t>+</w:t>
            </w:r>
            <w:r>
              <w:rPr>
                <w:rFonts w:hint="default" w:ascii="Times New Roman" w:hAnsi="Times New Roman" w:cs="Times New Roman" w:eastAsiaTheme="minorEastAsia"/>
                <w:color w:val="auto"/>
                <w:kern w:val="2"/>
                <w:sz w:val="21"/>
                <w:szCs w:val="21"/>
              </w:rPr>
              <w:t>0.00</w:t>
            </w:r>
            <w:r>
              <w:rPr>
                <w:rFonts w:hint="default" w:ascii="Times New Roman" w:hAnsi="Times New Roman" w:cs="Times New Roman" w:eastAsiaTheme="minorEastAsia"/>
                <w:color w:val="auto"/>
                <w:kern w:val="2"/>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restart"/>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废水</w:t>
            </w: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COD</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0.984</w:t>
            </w:r>
          </w:p>
        </w:tc>
        <w:tc>
          <w:tcPr>
            <w:tcW w:w="1772"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eastAsia="宋体" w:cs="Times New Roman"/>
                <w:kern w:val="2"/>
                <w:sz w:val="21"/>
                <w:szCs w:val="21"/>
              </w:rPr>
              <w:t>0.984</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eastAsia="宋体" w:cs="Times New Roman"/>
                <w:kern w:val="2"/>
                <w:sz w:val="21"/>
                <w:szCs w:val="21"/>
              </w:rPr>
              <w:t>+0.984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BOD</w:t>
            </w:r>
            <w:r>
              <w:rPr>
                <w:rFonts w:hint="default" w:ascii="Times New Roman" w:hAnsi="Times New Roman" w:cs="Times New Roman" w:eastAsiaTheme="minorEastAsia"/>
                <w:sz w:val="21"/>
                <w:szCs w:val="21"/>
                <w:vertAlign w:val="subscript"/>
              </w:rPr>
              <w:t>5</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0.625</w:t>
            </w:r>
          </w:p>
        </w:tc>
        <w:tc>
          <w:tcPr>
            <w:tcW w:w="1772"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rPr>
              <w:t>0.625</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rPr>
              <w:t>+0.625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SS</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0.625</w:t>
            </w:r>
          </w:p>
        </w:tc>
        <w:tc>
          <w:tcPr>
            <w:tcW w:w="1772"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rPr>
              <w:t>0.625</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rPr>
              <w:t>+0.625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-N</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0.119</w:t>
            </w:r>
          </w:p>
        </w:tc>
        <w:tc>
          <w:tcPr>
            <w:tcW w:w="1772"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rPr>
              <w:t>0.369</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rPr>
              <w:t>+0.119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TP</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0.0610</w:t>
            </w:r>
          </w:p>
        </w:tc>
        <w:tc>
          <w:tcPr>
            <w:tcW w:w="1772"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rPr>
              <w:t>0.0610</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rPr>
              <w:t>+0.0610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动植物油</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0.167</w:t>
            </w:r>
          </w:p>
        </w:tc>
        <w:tc>
          <w:tcPr>
            <w:tcW w:w="1772"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rPr>
              <w:t>0.167</w:t>
            </w:r>
          </w:p>
        </w:tc>
        <w:tc>
          <w:tcPr>
            <w:tcW w:w="1006"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rPr>
              <w:t>+0.167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restart"/>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一般工业固体废物</w:t>
            </w: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废包装袋/箱</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z w:val="21"/>
                <w:szCs w:val="21"/>
              </w:rPr>
              <w:t>5.0</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5.0</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eastAsia="宋体" w:cs="Times New Roman"/>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eastAsia="宋体" w:cs="Times New Roman"/>
                <w:kern w:val="2"/>
                <w:sz w:val="21"/>
                <w:szCs w:val="21"/>
                <w:lang w:bidi="ar"/>
              </w:rPr>
            </w:pPr>
            <w:r>
              <w:rPr>
                <w:rFonts w:hint="default" w:ascii="Times New Roman" w:hAnsi="Times New Roman" w:eastAsia="宋体" w:cs="Times New Roman"/>
                <w:kern w:val="2"/>
                <w:sz w:val="21"/>
                <w:szCs w:val="21"/>
                <w:lang w:bidi="ar"/>
              </w:rPr>
              <w:t>玻璃纤维碎屑</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0.5</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kern w:val="21"/>
                <w:sz w:val="21"/>
                <w:szCs w:val="21"/>
              </w:rPr>
            </w:pP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sz w:val="21"/>
                <w:szCs w:val="21"/>
              </w:rPr>
            </w:pPr>
            <w:r>
              <w:rPr>
                <w:rFonts w:hint="default" w:ascii="Times New Roman" w:hAnsi="Times New Roman" w:eastAsia="宋体" w:cs="Times New Roman"/>
                <w:sz w:val="21"/>
                <w:szCs w:val="21"/>
              </w:rPr>
              <w:t>0.5</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废PET膜及硅胶</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bCs/>
                <w:sz w:val="21"/>
                <w:szCs w:val="21"/>
              </w:rPr>
              <w:t>0.5</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0.5</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eastAsia="宋体" w:cs="Times New Roman"/>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废离型纸</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bCs/>
                <w:sz w:val="21"/>
                <w:szCs w:val="21"/>
              </w:rPr>
              <w:t>0.06</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0.06</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eastAsia="宋体" w:cs="Times New Roman"/>
                <w:sz w:val="21"/>
                <w:szCs w:val="21"/>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kern w:val="2"/>
                <w:sz w:val="21"/>
                <w:szCs w:val="21"/>
                <w:lang w:bidi="ar"/>
              </w:rPr>
              <w:t>密封圈边角料、不合格品</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bCs/>
                <w:sz w:val="21"/>
                <w:szCs w:val="21"/>
              </w:rPr>
              <w:t>84</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84</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eastAsia="宋体" w:cs="Times New Roman"/>
                <w:sz w:val="21"/>
                <w:szCs w:val="21"/>
              </w:rPr>
              <w:t>+84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废布袋</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0.02</w:t>
            </w:r>
          </w:p>
        </w:tc>
        <w:tc>
          <w:tcPr>
            <w:tcW w:w="1772"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sz w:val="21"/>
                <w:szCs w:val="21"/>
              </w:rPr>
            </w:pPr>
            <w:r>
              <w:rPr>
                <w:rFonts w:hint="default" w:ascii="Times New Roman" w:hAnsi="Times New Roman" w:eastAsia="宋体" w:cs="Times New Roman"/>
                <w:sz w:val="21"/>
                <w:szCs w:val="21"/>
              </w:rPr>
              <w:t>0.02</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sz w:val="21"/>
                <w:szCs w:val="21"/>
              </w:rPr>
            </w:pPr>
            <w:r>
              <w:rPr>
                <w:rFonts w:hint="default" w:ascii="Times New Roman" w:hAnsi="Times New Roman" w:eastAsia="宋体" w:cs="Times New Roman"/>
                <w:sz w:val="21"/>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报废模具</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0.5</w:t>
            </w:r>
          </w:p>
        </w:tc>
        <w:tc>
          <w:tcPr>
            <w:tcW w:w="1772"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sz w:val="21"/>
                <w:szCs w:val="21"/>
              </w:rPr>
            </w:pPr>
            <w:r>
              <w:rPr>
                <w:rFonts w:hint="default" w:ascii="Times New Roman" w:hAnsi="Times New Roman" w:eastAsia="宋体" w:cs="Times New Roman"/>
                <w:sz w:val="21"/>
                <w:szCs w:val="21"/>
              </w:rPr>
              <w:t>0.5</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bCs/>
                <w:sz w:val="21"/>
                <w:szCs w:val="21"/>
              </w:rPr>
            </w:pPr>
            <w:r>
              <w:rPr>
                <w:rFonts w:hint="default" w:ascii="Times New Roman" w:hAnsi="Times New Roman" w:eastAsia="宋体" w:cs="Times New Roman"/>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restart"/>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危险废物</w:t>
            </w: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废弃油桶</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bCs/>
                <w:sz w:val="21"/>
                <w:szCs w:val="21"/>
              </w:rPr>
              <w:t>0.5</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0.5</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eastAsia="宋体" w:cs="Times New Roman"/>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废液压油</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bCs/>
                <w:sz w:val="21"/>
                <w:szCs w:val="21"/>
              </w:rPr>
              <w:t>0.07</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0.07</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eastAsia="宋体" w:cs="Times New Roman"/>
                <w:sz w:val="21"/>
                <w:szCs w:val="21"/>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废活性炭</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z w:val="21"/>
                <w:szCs w:val="21"/>
              </w:rPr>
              <w:t>2.111</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2.111</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eastAsia="宋体" w:cs="Times New Roman"/>
                <w:sz w:val="21"/>
                <w:szCs w:val="21"/>
              </w:rPr>
              <w:t>+</w:t>
            </w:r>
            <w:r>
              <w:rPr>
                <w:rFonts w:hint="default" w:ascii="Times New Roman" w:hAnsi="Times New Roman" w:cs="Times New Roman" w:eastAsiaTheme="minorEastAsia"/>
                <w:sz w:val="21"/>
                <w:szCs w:val="21"/>
              </w:rPr>
              <w:t>2.111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641" w:type="dxa"/>
            <w:vMerge w:val="continue"/>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p>
        </w:tc>
        <w:tc>
          <w:tcPr>
            <w:tcW w:w="2588"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含油棉纱手套</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z w:val="21"/>
                <w:szCs w:val="21"/>
              </w:rPr>
              <w:t>0.01</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0.01</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eastAsia="宋体" w:cs="Times New Roman"/>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7" w:hRule="atLeast"/>
          <w:jc w:val="center"/>
        </w:trPr>
        <w:tc>
          <w:tcPr>
            <w:tcW w:w="3229" w:type="dxa"/>
            <w:gridSpan w:val="2"/>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生活垃圾</w:t>
            </w:r>
          </w:p>
        </w:tc>
        <w:tc>
          <w:tcPr>
            <w:tcW w:w="1857"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210"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807" w:type="dxa"/>
            <w:tcMar>
              <w:top w:w="0" w:type="dxa"/>
              <w:left w:w="0" w:type="dxa"/>
              <w:bottom w:w="0" w:type="dxa"/>
              <w:right w:w="0" w:type="dxa"/>
            </w:tcMar>
            <w:vAlign w:val="center"/>
          </w:tcPr>
          <w:p>
            <w:pPr>
              <w:widowControl w:val="0"/>
              <w:adjustRightInd/>
              <w:snapToGrid/>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cs="Times New Roman" w:eastAsiaTheme="minorEastAsia"/>
                <w:snapToGrid w:val="0"/>
                <w:kern w:val="21"/>
                <w:sz w:val="21"/>
                <w:szCs w:val="21"/>
              </w:rPr>
              <w:t>/</w:t>
            </w:r>
          </w:p>
        </w:tc>
        <w:tc>
          <w:tcPr>
            <w:tcW w:w="176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z w:val="21"/>
                <w:szCs w:val="21"/>
              </w:rPr>
              <w:t>45</w:t>
            </w:r>
          </w:p>
        </w:tc>
        <w:tc>
          <w:tcPr>
            <w:tcW w:w="1772"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sz w:val="21"/>
                <w:szCs w:val="21"/>
              </w:rPr>
            </w:pPr>
            <w:r>
              <w:rPr>
                <w:rFonts w:hint="default" w:ascii="Times New Roman" w:hAnsi="Times New Roman" w:cs="Times New Roman" w:eastAsiaTheme="minorEastAsia"/>
                <w:snapToGrid w:val="0"/>
                <w:kern w:val="21"/>
                <w:sz w:val="21"/>
                <w:szCs w:val="21"/>
              </w:rPr>
              <w:t>/</w:t>
            </w:r>
          </w:p>
        </w:tc>
        <w:tc>
          <w:tcPr>
            <w:tcW w:w="1965"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45</w:t>
            </w:r>
          </w:p>
        </w:tc>
        <w:tc>
          <w:tcPr>
            <w:tcW w:w="1006" w:type="dxa"/>
            <w:tcMar>
              <w:top w:w="0" w:type="dxa"/>
              <w:left w:w="0" w:type="dxa"/>
              <w:bottom w:w="0" w:type="dxa"/>
              <w:right w:w="0" w:type="dxa"/>
            </w:tcMar>
            <w:vAlign w:val="center"/>
          </w:tcPr>
          <w:p>
            <w:pPr>
              <w:spacing w:after="0"/>
              <w:jc w:val="center"/>
              <w:rPr>
                <w:rFonts w:hint="default" w:ascii="Times New Roman" w:hAnsi="Times New Roman" w:cs="Times New Roman" w:eastAsiaTheme="minorEastAsia"/>
                <w:snapToGrid w:val="0"/>
                <w:kern w:val="21"/>
                <w:sz w:val="21"/>
                <w:szCs w:val="21"/>
              </w:rPr>
            </w:pPr>
            <w:r>
              <w:rPr>
                <w:rFonts w:hint="default" w:ascii="Times New Roman" w:hAnsi="Times New Roman" w:eastAsia="宋体" w:cs="Times New Roman"/>
                <w:sz w:val="21"/>
                <w:szCs w:val="21"/>
              </w:rPr>
              <w:t>+45</w:t>
            </w:r>
          </w:p>
        </w:tc>
      </w:tr>
    </w:tbl>
    <w:p>
      <w:pPr>
        <w:spacing w:after="0" w:line="300" w:lineRule="exact"/>
        <w:rPr>
          <w:rFonts w:hint="default" w:ascii="Times New Roman" w:hAnsi="Times New Roman" w:eastAsia="宋体" w:cs="Times New Roman"/>
          <w:snapToGrid w:val="0"/>
          <w:spacing w:val="-6"/>
          <w:kern w:val="21"/>
          <w:sz w:val="21"/>
          <w:szCs w:val="21"/>
        </w:rPr>
        <w:sectPr>
          <w:pgSz w:w="16838" w:h="11906" w:orient="landscape"/>
          <w:pgMar w:top="1417" w:right="1417" w:bottom="1417" w:left="1417" w:header="1134" w:footer="1021" w:gutter="0"/>
          <w:cols w:space="708" w:num="1"/>
          <w:docGrid w:linePitch="360" w:charSpace="0"/>
        </w:sectPr>
      </w:pPr>
      <w:r>
        <w:rPr>
          <w:rFonts w:hint="default" w:ascii="Times New Roman" w:hAnsi="Times New Roman" w:eastAsia="宋体" w:cs="Times New Roman"/>
          <w:snapToGrid w:val="0"/>
          <w:kern w:val="21"/>
          <w:sz w:val="21"/>
          <w:szCs w:val="21"/>
        </w:rPr>
        <w:t>注：</w:t>
      </w:r>
      <w:r>
        <w:rPr>
          <w:rFonts w:hint="default" w:ascii="Times New Roman" w:hAnsi="Times New Roman" w:eastAsia="宋体" w:cs="Times New Roman"/>
          <w:snapToGrid w:val="0"/>
          <w:kern w:val="21"/>
          <w:sz w:val="21"/>
          <w:szCs w:val="21"/>
        </w:rPr>
        <w:fldChar w:fldCharType="begin"/>
      </w:r>
      <w:r>
        <w:rPr>
          <w:rFonts w:hint="default" w:ascii="Times New Roman" w:hAnsi="Times New Roman" w:eastAsia="宋体" w:cs="Times New Roman"/>
          <w:snapToGrid w:val="0"/>
          <w:kern w:val="21"/>
          <w:sz w:val="21"/>
          <w:szCs w:val="21"/>
        </w:rPr>
        <w:instrText xml:space="preserve"> = 1 \* GB2 \* MERGEFORMAT </w:instrText>
      </w:r>
      <w:r>
        <w:rPr>
          <w:rFonts w:hint="default" w:ascii="Times New Roman" w:hAnsi="Times New Roman" w:eastAsia="宋体" w:cs="Times New Roman"/>
          <w:snapToGrid w:val="0"/>
          <w:kern w:val="21"/>
          <w:sz w:val="21"/>
          <w:szCs w:val="21"/>
        </w:rPr>
        <w:fldChar w:fldCharType="separate"/>
      </w:r>
      <w:r>
        <w:rPr>
          <w:rFonts w:hint="default" w:ascii="Times New Roman" w:hAnsi="Times New Roman" w:eastAsia="宋体" w:cs="Times New Roman"/>
        </w:rPr>
        <w:t>⑴</w:t>
      </w:r>
      <w:r>
        <w:rPr>
          <w:rFonts w:hint="default" w:ascii="Times New Roman" w:hAnsi="Times New Roman" w:eastAsia="宋体" w:cs="Times New Roman"/>
          <w:snapToGrid w:val="0"/>
          <w:kern w:val="21"/>
          <w:sz w:val="21"/>
          <w:szCs w:val="21"/>
        </w:rPr>
        <w:fldChar w:fldCharType="end"/>
      </w:r>
      <w:r>
        <w:rPr>
          <w:rFonts w:hint="default" w:ascii="Times New Roman" w:hAnsi="Times New Roman" w:eastAsia="宋体" w:cs="Times New Roman"/>
          <w:snapToGrid w:val="0"/>
          <w:spacing w:val="-16"/>
          <w:kern w:val="21"/>
          <w:sz w:val="21"/>
          <w:szCs w:val="21"/>
        </w:rPr>
        <w:fldChar w:fldCharType="begin"/>
      </w:r>
      <w:r>
        <w:rPr>
          <w:rFonts w:hint="default" w:ascii="Times New Roman" w:hAnsi="Times New Roman" w:eastAsia="宋体" w:cs="Times New Roman"/>
          <w:snapToGrid w:val="0"/>
          <w:spacing w:val="-16"/>
          <w:kern w:val="21"/>
          <w:sz w:val="21"/>
          <w:szCs w:val="21"/>
        </w:rPr>
        <w:instrText xml:space="preserve"> = 6 \* GB3 \* MERGEFORMAT </w:instrText>
      </w:r>
      <w:r>
        <w:rPr>
          <w:rFonts w:hint="default" w:ascii="Times New Roman" w:hAnsi="Times New Roman" w:eastAsia="宋体" w:cs="Times New Roman"/>
          <w:snapToGrid w:val="0"/>
          <w:spacing w:val="-16"/>
          <w:kern w:val="21"/>
          <w:sz w:val="21"/>
          <w:szCs w:val="21"/>
        </w:rPr>
        <w:fldChar w:fldCharType="separate"/>
      </w:r>
      <w:r>
        <w:rPr>
          <w:rFonts w:hint="default" w:ascii="Times New Roman" w:hAnsi="Times New Roman" w:eastAsia="宋体" w:cs="Times New Roman"/>
          <w:sz w:val="21"/>
          <w:szCs w:val="21"/>
        </w:rPr>
        <w:t>⑥</w:t>
      </w:r>
      <w:r>
        <w:rPr>
          <w:rFonts w:hint="default" w:ascii="Times New Roman" w:hAnsi="Times New Roman" w:eastAsia="宋体" w:cs="Times New Roman"/>
          <w:snapToGrid w:val="0"/>
          <w:spacing w:val="-16"/>
          <w:kern w:val="21"/>
          <w:sz w:val="21"/>
          <w:szCs w:val="21"/>
        </w:rPr>
        <w:fldChar w:fldCharType="end"/>
      </w:r>
      <w:r>
        <w:rPr>
          <w:rFonts w:hint="default" w:ascii="Times New Roman" w:hAnsi="Times New Roman" w:eastAsia="宋体" w:cs="Times New Roman"/>
          <w:snapToGrid w:val="0"/>
          <w:spacing w:val="-16"/>
          <w:kern w:val="21"/>
          <w:sz w:val="21"/>
          <w:szCs w:val="21"/>
        </w:rPr>
        <w:t>=</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1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sz w:val="21"/>
          <w:szCs w:val="21"/>
        </w:rPr>
        <w:t>①</w:t>
      </w:r>
      <w:r>
        <w:rPr>
          <w:rFonts w:hint="default" w:ascii="Times New Roman" w:hAnsi="Times New Roman" w:eastAsia="宋体" w:cs="Times New Roman"/>
          <w:snapToGrid w:val="0"/>
          <w:spacing w:val="-6"/>
          <w:kern w:val="21"/>
          <w:sz w:val="21"/>
          <w:szCs w:val="21"/>
        </w:rPr>
        <w:fldChar w:fldCharType="end"/>
      </w:r>
      <w:r>
        <w:rPr>
          <w:rFonts w:hint="default" w:ascii="Times New Roman" w:hAnsi="Times New Roman" w:eastAsia="宋体" w:cs="Times New Roman"/>
          <w:snapToGrid w:val="0"/>
          <w:spacing w:val="-6"/>
          <w:kern w:val="21"/>
          <w:sz w:val="21"/>
          <w:szCs w:val="21"/>
        </w:rPr>
        <w:t>+</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3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sz w:val="21"/>
          <w:szCs w:val="21"/>
        </w:rPr>
        <w:t>③</w:t>
      </w:r>
      <w:r>
        <w:rPr>
          <w:rFonts w:hint="default" w:ascii="Times New Roman" w:hAnsi="Times New Roman" w:eastAsia="宋体" w:cs="Times New Roman"/>
          <w:snapToGrid w:val="0"/>
          <w:spacing w:val="-6"/>
          <w:kern w:val="21"/>
          <w:sz w:val="21"/>
          <w:szCs w:val="21"/>
        </w:rPr>
        <w:fldChar w:fldCharType="end"/>
      </w:r>
      <w:r>
        <w:rPr>
          <w:rFonts w:hint="default" w:ascii="Times New Roman" w:hAnsi="Times New Roman" w:eastAsia="宋体" w:cs="Times New Roman"/>
          <w:snapToGrid w:val="0"/>
          <w:spacing w:val="-6"/>
          <w:kern w:val="21"/>
          <w:sz w:val="21"/>
          <w:szCs w:val="21"/>
        </w:rPr>
        <w:t>+</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4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sz w:val="21"/>
          <w:szCs w:val="21"/>
        </w:rPr>
        <w:t>④</w:t>
      </w:r>
      <w:r>
        <w:rPr>
          <w:rFonts w:hint="default" w:ascii="Times New Roman" w:hAnsi="Times New Roman" w:eastAsia="宋体" w:cs="Times New Roman"/>
          <w:snapToGrid w:val="0"/>
          <w:spacing w:val="-6"/>
          <w:kern w:val="21"/>
          <w:sz w:val="21"/>
          <w:szCs w:val="21"/>
        </w:rPr>
        <w:fldChar w:fldCharType="end"/>
      </w:r>
      <w:r>
        <w:rPr>
          <w:rFonts w:hint="default" w:ascii="Times New Roman" w:hAnsi="Times New Roman" w:eastAsia="宋体" w:cs="Times New Roman"/>
          <w:snapToGrid w:val="0"/>
          <w:spacing w:val="-6"/>
          <w:kern w:val="21"/>
          <w:sz w:val="21"/>
          <w:szCs w:val="21"/>
        </w:rPr>
        <w:t>-</w:t>
      </w:r>
      <w:r>
        <w:rPr>
          <w:rFonts w:hint="default" w:ascii="Times New Roman" w:hAnsi="Times New Roman" w:eastAsia="宋体" w:cs="Times New Roman"/>
          <w:snapToGrid w:val="0"/>
          <w:spacing w:val="-16"/>
          <w:kern w:val="21"/>
          <w:sz w:val="21"/>
          <w:szCs w:val="21"/>
        </w:rPr>
        <w:fldChar w:fldCharType="begin"/>
      </w:r>
      <w:r>
        <w:rPr>
          <w:rFonts w:hint="default" w:ascii="Times New Roman" w:hAnsi="Times New Roman" w:eastAsia="宋体" w:cs="Times New Roman"/>
          <w:snapToGrid w:val="0"/>
          <w:spacing w:val="-16"/>
          <w:kern w:val="21"/>
          <w:sz w:val="21"/>
          <w:szCs w:val="21"/>
        </w:rPr>
        <w:instrText xml:space="preserve"> = 5 \* GB3 \* MERGEFORMAT </w:instrText>
      </w:r>
      <w:r>
        <w:rPr>
          <w:rFonts w:hint="default" w:ascii="Times New Roman" w:hAnsi="Times New Roman" w:eastAsia="宋体" w:cs="Times New Roman"/>
          <w:snapToGrid w:val="0"/>
          <w:spacing w:val="-16"/>
          <w:kern w:val="21"/>
          <w:sz w:val="21"/>
          <w:szCs w:val="21"/>
        </w:rPr>
        <w:fldChar w:fldCharType="separate"/>
      </w:r>
      <w:r>
        <w:rPr>
          <w:rFonts w:hint="default" w:ascii="Times New Roman" w:hAnsi="Times New Roman" w:eastAsia="宋体" w:cs="Times New Roman"/>
          <w:sz w:val="21"/>
          <w:szCs w:val="21"/>
        </w:rPr>
        <w:t>⑤</w:t>
      </w:r>
      <w:r>
        <w:rPr>
          <w:rFonts w:hint="default" w:ascii="Times New Roman" w:hAnsi="Times New Roman" w:eastAsia="宋体" w:cs="Times New Roman"/>
          <w:snapToGrid w:val="0"/>
          <w:spacing w:val="-16"/>
          <w:kern w:val="21"/>
          <w:sz w:val="21"/>
          <w:szCs w:val="21"/>
        </w:rPr>
        <w:fldChar w:fldCharType="end"/>
      </w:r>
      <w:r>
        <w:rPr>
          <w:rFonts w:hint="default" w:ascii="Times New Roman" w:hAnsi="Times New Roman" w:eastAsia="宋体" w:cs="Times New Roman"/>
          <w:snapToGrid w:val="0"/>
          <w:spacing w:val="-16"/>
          <w:kern w:val="21"/>
          <w:sz w:val="21"/>
          <w:szCs w:val="21"/>
        </w:rPr>
        <w:t>；</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7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sz w:val="21"/>
          <w:szCs w:val="21"/>
        </w:rPr>
        <w:t>⑦</w:t>
      </w:r>
      <w:r>
        <w:rPr>
          <w:rFonts w:hint="default" w:ascii="Times New Roman" w:hAnsi="Times New Roman" w:eastAsia="宋体" w:cs="Times New Roman"/>
          <w:snapToGrid w:val="0"/>
          <w:spacing w:val="-6"/>
          <w:kern w:val="21"/>
          <w:sz w:val="21"/>
          <w:szCs w:val="21"/>
        </w:rPr>
        <w:fldChar w:fldCharType="end"/>
      </w:r>
      <w:r>
        <w:rPr>
          <w:rFonts w:hint="default" w:ascii="Times New Roman" w:hAnsi="Times New Roman" w:eastAsia="宋体" w:cs="Times New Roman"/>
          <w:snapToGrid w:val="0"/>
          <w:spacing w:val="-6"/>
          <w:kern w:val="21"/>
          <w:sz w:val="21"/>
          <w:szCs w:val="21"/>
        </w:rPr>
        <w:t>=</w:t>
      </w:r>
      <w:r>
        <w:rPr>
          <w:rFonts w:hint="default" w:ascii="Times New Roman" w:hAnsi="Times New Roman" w:eastAsia="宋体" w:cs="Times New Roman"/>
          <w:snapToGrid w:val="0"/>
          <w:spacing w:val="-16"/>
          <w:kern w:val="21"/>
          <w:sz w:val="21"/>
          <w:szCs w:val="21"/>
        </w:rPr>
        <w:fldChar w:fldCharType="begin"/>
      </w:r>
      <w:r>
        <w:rPr>
          <w:rFonts w:hint="default" w:ascii="Times New Roman" w:hAnsi="Times New Roman" w:eastAsia="宋体" w:cs="Times New Roman"/>
          <w:snapToGrid w:val="0"/>
          <w:spacing w:val="-16"/>
          <w:kern w:val="21"/>
          <w:sz w:val="21"/>
          <w:szCs w:val="21"/>
        </w:rPr>
        <w:instrText xml:space="preserve"> = 6 \* GB3 \* MERGEFORMAT </w:instrText>
      </w:r>
      <w:r>
        <w:rPr>
          <w:rFonts w:hint="default" w:ascii="Times New Roman" w:hAnsi="Times New Roman" w:eastAsia="宋体" w:cs="Times New Roman"/>
          <w:snapToGrid w:val="0"/>
          <w:spacing w:val="-16"/>
          <w:kern w:val="21"/>
          <w:sz w:val="21"/>
          <w:szCs w:val="21"/>
        </w:rPr>
        <w:fldChar w:fldCharType="separate"/>
      </w:r>
      <w:r>
        <w:rPr>
          <w:rFonts w:hint="default" w:ascii="Times New Roman" w:hAnsi="Times New Roman" w:eastAsia="宋体" w:cs="Times New Roman"/>
          <w:sz w:val="21"/>
          <w:szCs w:val="21"/>
        </w:rPr>
        <w:t>⑥</w:t>
      </w:r>
      <w:r>
        <w:rPr>
          <w:rFonts w:hint="default" w:ascii="Times New Roman" w:hAnsi="Times New Roman" w:eastAsia="宋体" w:cs="Times New Roman"/>
          <w:snapToGrid w:val="0"/>
          <w:spacing w:val="-16"/>
          <w:kern w:val="21"/>
          <w:sz w:val="21"/>
          <w:szCs w:val="21"/>
        </w:rPr>
        <w:fldChar w:fldCharType="end"/>
      </w:r>
      <w:r>
        <w:rPr>
          <w:rFonts w:hint="default" w:ascii="Times New Roman" w:hAnsi="Times New Roman" w:eastAsia="宋体" w:cs="Times New Roman"/>
          <w:snapToGrid w:val="0"/>
          <w:spacing w:val="-16"/>
          <w:kern w:val="21"/>
          <w:sz w:val="21"/>
          <w:szCs w:val="21"/>
        </w:rPr>
        <w:t>-</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1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sz w:val="21"/>
          <w:szCs w:val="21"/>
        </w:rPr>
        <w:t>①</w:t>
      </w:r>
      <w:r>
        <w:rPr>
          <w:rFonts w:hint="default" w:ascii="Times New Roman" w:hAnsi="Times New Roman" w:eastAsia="宋体" w:cs="Times New Roman"/>
          <w:snapToGrid w:val="0"/>
          <w:spacing w:val="-6"/>
          <w:kern w:val="21"/>
          <w:sz w:val="21"/>
          <w:szCs w:val="21"/>
        </w:rPr>
        <w:fldChar w:fldCharType="end"/>
      </w:r>
      <w:r>
        <w:rPr>
          <w:rFonts w:hint="default" w:ascii="Times New Roman" w:hAnsi="Times New Roman" w:eastAsia="宋体" w:cs="Times New Roman"/>
          <w:snapToGrid w:val="0"/>
          <w:spacing w:val="-6"/>
          <w:kern w:val="21"/>
          <w:sz w:val="21"/>
          <w:szCs w:val="21"/>
        </w:rPr>
        <w:t>。</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2 \* GB2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rPr>
        <w:t>⑵</w:t>
      </w:r>
      <w:r>
        <w:rPr>
          <w:rFonts w:hint="default" w:ascii="Times New Roman" w:hAnsi="Times New Roman" w:eastAsia="宋体" w:cs="Times New Roman"/>
          <w:snapToGrid w:val="0"/>
          <w:spacing w:val="-6"/>
          <w:kern w:val="21"/>
          <w:sz w:val="21"/>
          <w:szCs w:val="21"/>
        </w:rPr>
        <w:fldChar w:fldCharType="end"/>
      </w:r>
      <w:r>
        <w:rPr>
          <w:rFonts w:hint="default" w:ascii="Times New Roman" w:hAnsi="Times New Roman" w:eastAsia="宋体" w:cs="Times New Roman"/>
          <w:snapToGrid w:val="0"/>
          <w:spacing w:val="-6"/>
          <w:kern w:val="21"/>
          <w:sz w:val="21"/>
          <w:szCs w:val="21"/>
        </w:rPr>
        <w:t>单位：t/a</w:t>
      </w:r>
    </w:p>
    <w:p>
      <w:pPr>
        <w:pStyle w:val="2"/>
        <w:spacing w:before="0" w:after="0" w:line="24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附图与附件清单</w:t>
      </w:r>
    </w:p>
    <w:p>
      <w:pPr>
        <w:pStyle w:val="25"/>
        <w:spacing w:line="420" w:lineRule="exact"/>
        <w:rPr>
          <w:rFonts w:hint="default" w:ascii="Times New Roman" w:hAnsi="Times New Roman" w:cs="Times New Roman"/>
          <w:b/>
          <w:szCs w:val="24"/>
        </w:rPr>
      </w:pPr>
      <w:r>
        <w:rPr>
          <w:rFonts w:hint="default" w:ascii="Times New Roman" w:hAnsi="Times New Roman" w:cs="Times New Roman"/>
          <w:b/>
          <w:szCs w:val="24"/>
        </w:rPr>
        <w:t>附图</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附图1  地理位置示意图</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附图2-1 项目平面布置示意图（1F)</w:t>
      </w:r>
    </w:p>
    <w:p>
      <w:pPr>
        <w:pStyle w:val="25"/>
        <w:spacing w:line="420" w:lineRule="exact"/>
        <w:ind w:firstLine="480" w:firstLineChars="200"/>
        <w:rPr>
          <w:rFonts w:hint="default" w:ascii="Times New Roman" w:hAnsi="Times New Roman" w:cs="Times New Roman"/>
          <w:b/>
          <w:bCs/>
          <w:szCs w:val="24"/>
        </w:rPr>
      </w:pPr>
      <w:r>
        <w:rPr>
          <w:rFonts w:hint="default" w:ascii="Times New Roman" w:hAnsi="Times New Roman" w:cs="Times New Roman"/>
          <w:szCs w:val="24"/>
        </w:rPr>
        <w:t>附图2-2 项目平面布置示意图（2F)</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附图2-3 项目平面布置示意图（3F)</w:t>
      </w:r>
    </w:p>
    <w:p>
      <w:pPr>
        <w:pStyle w:val="25"/>
        <w:spacing w:line="420" w:lineRule="exact"/>
        <w:ind w:firstLine="480" w:firstLineChars="200"/>
        <w:rPr>
          <w:rFonts w:hint="default" w:ascii="Times New Roman" w:hAnsi="Times New Roman" w:cs="Times New Roman"/>
          <w:bCs/>
          <w:szCs w:val="24"/>
        </w:rPr>
      </w:pPr>
      <w:r>
        <w:rPr>
          <w:rFonts w:hint="default" w:ascii="Times New Roman" w:hAnsi="Times New Roman" w:cs="Times New Roman"/>
          <w:szCs w:val="24"/>
        </w:rPr>
        <w:t>附图3  给排水管网总图（含重点防渗区）</w:t>
      </w:r>
    </w:p>
    <w:p>
      <w:pPr>
        <w:pStyle w:val="25"/>
        <w:spacing w:line="420" w:lineRule="exact"/>
        <w:ind w:firstLine="480" w:firstLineChars="200"/>
        <w:rPr>
          <w:rFonts w:hint="default" w:ascii="Times New Roman" w:hAnsi="Times New Roman" w:cs="Times New Roman"/>
          <w:bCs/>
          <w:szCs w:val="24"/>
        </w:rPr>
      </w:pPr>
      <w:r>
        <w:rPr>
          <w:rFonts w:hint="default" w:ascii="Times New Roman" w:hAnsi="Times New Roman" w:cs="Times New Roman"/>
          <w:szCs w:val="24"/>
        </w:rPr>
        <w:t>附图4  环境保护目标分布图</w:t>
      </w:r>
    </w:p>
    <w:p>
      <w:pPr>
        <w:pStyle w:val="25"/>
        <w:spacing w:line="420" w:lineRule="exact"/>
        <w:ind w:firstLine="480" w:firstLineChars="200"/>
        <w:rPr>
          <w:rFonts w:hint="default" w:ascii="Times New Roman" w:hAnsi="Times New Roman" w:cs="Times New Roman"/>
          <w:bCs/>
          <w:szCs w:val="24"/>
        </w:rPr>
      </w:pPr>
      <w:r>
        <w:rPr>
          <w:rFonts w:hint="default" w:ascii="Times New Roman" w:hAnsi="Times New Roman" w:cs="Times New Roman"/>
          <w:bCs/>
          <w:szCs w:val="24"/>
        </w:rPr>
        <w:t xml:space="preserve">附图5  </w:t>
      </w:r>
      <w:r>
        <w:rPr>
          <w:rFonts w:hint="default" w:ascii="Times New Roman" w:hAnsi="Times New Roman" w:cs="Times New Roman"/>
          <w:szCs w:val="24"/>
        </w:rPr>
        <w:t>园区规划图</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bCs/>
          <w:szCs w:val="24"/>
        </w:rPr>
        <w:t>附图6  生态红线图</w:t>
      </w:r>
    </w:p>
    <w:p>
      <w:pPr>
        <w:pStyle w:val="25"/>
        <w:spacing w:line="420" w:lineRule="exact"/>
        <w:ind w:firstLine="480" w:firstLineChars="200"/>
        <w:rPr>
          <w:rFonts w:hint="default" w:ascii="Times New Roman" w:hAnsi="Times New Roman" w:cs="Times New Roman"/>
          <w:bCs/>
          <w:szCs w:val="24"/>
        </w:rPr>
      </w:pPr>
      <w:r>
        <w:rPr>
          <w:rFonts w:hint="default" w:ascii="Times New Roman" w:hAnsi="Times New Roman" w:cs="Times New Roman"/>
          <w:szCs w:val="24"/>
        </w:rPr>
        <w:t xml:space="preserve">附图7  </w:t>
      </w:r>
      <w:r>
        <w:rPr>
          <w:rFonts w:hint="default" w:ascii="Times New Roman" w:hAnsi="Times New Roman" w:cs="Times New Roman"/>
          <w:bCs/>
          <w:szCs w:val="24"/>
        </w:rPr>
        <w:t>相邻企业分布图</w:t>
      </w:r>
    </w:p>
    <w:p>
      <w:pPr>
        <w:pStyle w:val="25"/>
        <w:spacing w:line="420" w:lineRule="exact"/>
        <w:ind w:firstLine="480" w:firstLineChars="200"/>
        <w:rPr>
          <w:rFonts w:hint="default" w:ascii="Times New Roman" w:hAnsi="Times New Roman" w:cs="Times New Roman"/>
          <w:bCs/>
          <w:szCs w:val="24"/>
        </w:rPr>
      </w:pPr>
      <w:r>
        <w:rPr>
          <w:rFonts w:hint="default" w:ascii="Times New Roman" w:hAnsi="Times New Roman" w:cs="Times New Roman"/>
          <w:bCs/>
          <w:szCs w:val="24"/>
        </w:rPr>
        <w:t>附图8-1 废气收集处理示意图（1F)</w:t>
      </w:r>
    </w:p>
    <w:p>
      <w:pPr>
        <w:pStyle w:val="25"/>
        <w:spacing w:line="420" w:lineRule="exact"/>
        <w:ind w:firstLine="480" w:firstLineChars="200"/>
        <w:rPr>
          <w:rFonts w:hint="default" w:ascii="Times New Roman" w:hAnsi="Times New Roman" w:cs="Times New Roman"/>
          <w:bCs/>
          <w:szCs w:val="24"/>
        </w:rPr>
      </w:pPr>
      <w:r>
        <w:rPr>
          <w:rFonts w:hint="default" w:ascii="Times New Roman" w:hAnsi="Times New Roman" w:cs="Times New Roman"/>
          <w:bCs/>
          <w:szCs w:val="24"/>
        </w:rPr>
        <w:t>附图8-2 废气收集处理示意图（2F)</w:t>
      </w:r>
    </w:p>
    <w:p>
      <w:pPr>
        <w:pStyle w:val="25"/>
        <w:spacing w:line="420" w:lineRule="exact"/>
        <w:ind w:firstLine="480" w:firstLineChars="200"/>
        <w:rPr>
          <w:rFonts w:hint="default" w:ascii="Times New Roman" w:hAnsi="Times New Roman" w:cs="Times New Roman"/>
          <w:bCs/>
          <w:szCs w:val="24"/>
        </w:rPr>
      </w:pPr>
      <w:r>
        <w:rPr>
          <w:rFonts w:hint="default" w:ascii="Times New Roman" w:hAnsi="Times New Roman" w:cs="Times New Roman"/>
          <w:bCs/>
          <w:szCs w:val="24"/>
        </w:rPr>
        <w:t>附图8-</w:t>
      </w:r>
      <w:r>
        <w:rPr>
          <w:rFonts w:hint="default" w:ascii="Times New Roman" w:hAnsi="Times New Roman" w:cs="Times New Roman"/>
          <w:bCs/>
          <w:szCs w:val="24"/>
          <w:lang w:val="en-US" w:eastAsia="zh-CN"/>
        </w:rPr>
        <w:t>3</w:t>
      </w:r>
      <w:r>
        <w:rPr>
          <w:rFonts w:hint="default" w:ascii="Times New Roman" w:hAnsi="Times New Roman" w:cs="Times New Roman"/>
          <w:bCs/>
          <w:szCs w:val="24"/>
        </w:rPr>
        <w:t xml:space="preserve"> 废气收集处理示意图（</w:t>
      </w:r>
      <w:r>
        <w:rPr>
          <w:rFonts w:hint="default" w:ascii="Times New Roman" w:hAnsi="Times New Roman" w:cs="Times New Roman"/>
          <w:bCs/>
          <w:szCs w:val="24"/>
          <w:lang w:val="en-US" w:eastAsia="zh-CN"/>
        </w:rPr>
        <w:t>3</w:t>
      </w:r>
      <w:r>
        <w:rPr>
          <w:rFonts w:hint="default" w:ascii="Times New Roman" w:hAnsi="Times New Roman" w:cs="Times New Roman"/>
          <w:bCs/>
          <w:szCs w:val="24"/>
        </w:rPr>
        <w:t>F)</w:t>
      </w:r>
    </w:p>
    <w:p>
      <w:pPr>
        <w:pStyle w:val="25"/>
        <w:spacing w:line="420" w:lineRule="exact"/>
        <w:rPr>
          <w:rFonts w:hint="default" w:ascii="Times New Roman" w:hAnsi="Times New Roman" w:cs="Times New Roman"/>
          <w:b/>
          <w:szCs w:val="24"/>
        </w:rPr>
      </w:pPr>
      <w:r>
        <w:rPr>
          <w:rFonts w:hint="default" w:ascii="Times New Roman" w:hAnsi="Times New Roman" w:cs="Times New Roman"/>
          <w:b/>
          <w:szCs w:val="24"/>
        </w:rPr>
        <w:t>附件</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附件1  重庆市企业投资项目备案证</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附件2  土地不动产权证</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附件3  《三线一单检测分析报告》</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附件4  规划环评审查意见</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附件5  营业执照</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附件6  《检测报告》</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附件7  规资局空间检测分析报告</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附件8  合川高新区项目投资协议</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附件9-1  ATS HPL(WD)多用途润滑脂 --MSDS</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附件9-2  聚异丁烯 MSDS报告</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附件9-3  促进剂CZ MSDS报告</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附件9-4  石蜡质量检验单</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附件10-1 关于完善《博盟年产200万台套新能源汽车配件项目》项目行业类别确认的请示</w:t>
      </w:r>
    </w:p>
    <w:p>
      <w:pPr>
        <w:pStyle w:val="25"/>
        <w:spacing w:line="420" w:lineRule="exact"/>
        <w:ind w:firstLine="480" w:firstLineChars="200"/>
        <w:rPr>
          <w:rFonts w:hint="default" w:ascii="Times New Roman" w:hAnsi="Times New Roman" w:cs="Times New Roman"/>
          <w:szCs w:val="24"/>
        </w:rPr>
      </w:pPr>
      <w:r>
        <w:rPr>
          <w:rFonts w:hint="default" w:ascii="Times New Roman" w:hAnsi="Times New Roman" w:cs="Times New Roman"/>
          <w:szCs w:val="24"/>
        </w:rPr>
        <w:t>附件10</w:t>
      </w:r>
      <w:r>
        <w:rPr>
          <w:rFonts w:hint="default" w:ascii="Times New Roman" w:hAnsi="Times New Roman" w:cs="Times New Roman"/>
          <w:szCs w:val="24"/>
          <w:lang w:val="en-US" w:eastAsia="zh-CN"/>
        </w:rPr>
        <w:t>-2</w:t>
      </w:r>
      <w:r>
        <w:rPr>
          <w:rFonts w:hint="default" w:ascii="Times New Roman" w:hAnsi="Times New Roman" w:cs="Times New Roman"/>
          <w:szCs w:val="24"/>
        </w:rPr>
        <w:t xml:space="preserve">  重庆市合川区经济和信息化委员会关于《博盟年产 200万台套新能源汽车配件项目》项目行业类别事宜的答复函</w:t>
      </w:r>
    </w:p>
    <w:p>
      <w:pPr>
        <w:pStyle w:val="25"/>
        <w:spacing w:line="420" w:lineRule="exact"/>
        <w:ind w:firstLine="480" w:firstLineChars="200"/>
        <w:rPr>
          <w:rFonts w:hint="default" w:ascii="Times New Roman" w:hAnsi="Times New Roman" w:cs="Times New Roman"/>
          <w:szCs w:val="24"/>
        </w:rPr>
        <w:sectPr>
          <w:pgSz w:w="11906" w:h="16838"/>
          <w:pgMar w:top="1417" w:right="1417" w:bottom="1417" w:left="1417" w:header="1134" w:footer="1021" w:gutter="0"/>
          <w:cols w:space="708" w:num="1"/>
          <w:docGrid w:linePitch="360" w:charSpace="0"/>
        </w:sectPr>
      </w:pPr>
    </w:p>
    <w:p>
      <w:pPr>
        <w:pStyle w:val="25"/>
        <w:spacing w:line="240" w:lineRule="auto"/>
        <w:ind w:firstLine="480" w:firstLineChars="200"/>
        <w:jc w:val="center"/>
        <w:rPr>
          <w:rFonts w:hint="default" w:ascii="Times New Roman" w:hAnsi="Times New Roman" w:cs="Times New Roman"/>
          <w:szCs w:val="24"/>
        </w:rPr>
      </w:pPr>
      <w:r>
        <w:drawing>
          <wp:inline distT="0" distB="0" distL="114300" distR="114300">
            <wp:extent cx="7440930" cy="6117590"/>
            <wp:effectExtent l="0" t="0" r="7620" b="16510"/>
            <wp:docPr id="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true"/>
                    </pic:cNvPicPr>
                  </pic:nvPicPr>
                  <pic:blipFill>
                    <a:blip r:embed="rId38"/>
                    <a:stretch>
                      <a:fillRect/>
                    </a:stretch>
                  </pic:blipFill>
                  <pic:spPr>
                    <a:xfrm>
                      <a:off x="0" y="0"/>
                      <a:ext cx="7440930" cy="6117590"/>
                    </a:xfrm>
                    <a:prstGeom prst="rect">
                      <a:avLst/>
                    </a:prstGeom>
                    <a:noFill/>
                    <a:ln>
                      <a:noFill/>
                    </a:ln>
                  </pic:spPr>
                </pic:pic>
              </a:graphicData>
            </a:graphic>
          </wp:inline>
        </w:drawing>
      </w:r>
    </w:p>
    <w:sectPr>
      <w:pgSz w:w="16838" w:h="11906" w:orient="landscape"/>
      <w:pgMar w:top="1417" w:right="1417" w:bottom="1417" w:left="1417" w:header="1134" w:footer="1021"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Tahoma">
    <w:altName w:val="DejaVu Sans"/>
    <w:panose1 w:val="020B0604030504040204"/>
    <w:charset w:val="00"/>
    <w:family w:val="swiss"/>
    <w:pitch w:val="default"/>
    <w:sig w:usb0="00000000" w:usb1="00000000" w:usb2="00000029" w:usb3="00000000" w:csb0="200101FF" w:csb1="20280000"/>
  </w:font>
  <w:font w:name="微软雅黑">
    <w:altName w:val="方正黑体_GBK"/>
    <w:panose1 w:val="020B0503020204020204"/>
    <w:charset w:val="86"/>
    <w:family w:val="swiss"/>
    <w:pitch w:val="default"/>
    <w:sig w:usb0="00000000" w:usb1="00000000" w:usb2="00000016" w:usb3="00000000" w:csb0="0004001F" w:csb1="00000000"/>
  </w:font>
  <w:font w:name="Dutch801 Rm BT">
    <w:altName w:val="Noto Serif"/>
    <w:panose1 w:val="02020603060505020304"/>
    <w:charset w:val="00"/>
    <w:family w:val="roman"/>
    <w:pitch w:val="default"/>
    <w:sig w:usb0="00000000" w:usb1="00000000" w:usb2="00000000" w:usb3="00000000" w:csb0="00000000" w:csb1="00000000"/>
  </w:font>
  <w:font w:name="Cambria">
    <w:altName w:val="Noto Sans Syriac Eastern"/>
    <w:panose1 w:val="02040503050406030204"/>
    <w:charset w:val="00"/>
    <w:family w:val="roman"/>
    <w:pitch w:val="default"/>
    <w:sig w:usb0="00000000" w:usb1="00000000" w:usb2="00000000" w:usb3="00000000" w:csb0="2000019F" w:csb1="00000000"/>
  </w:font>
  <w:font w:name="仿宋_GB2312">
    <w:altName w:val="方正仿宋_GBK"/>
    <w:panose1 w:val="00000000000000000000"/>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楷体_GB2312">
    <w:altName w:val="方正楷体_GBK"/>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Helvetica">
    <w:altName w:val="汉仪仿宋S"/>
    <w:panose1 w:val="00000000000000000000"/>
    <w:charset w:val="00"/>
    <w:family w:val="auto"/>
    <w:pitch w:val="default"/>
    <w:sig w:usb0="00000000" w:usb1="00000000" w:usb2="00000000" w:usb3="00000000" w:csb0="00000000" w:csb1="00000000"/>
  </w:font>
  <w:font w:name="Cambria Math">
    <w:altName w:val="DejaVu Math TeX Gyre"/>
    <w:panose1 w:val="02040503050406030204"/>
    <w:charset w:val="00"/>
    <w:family w:val="roman"/>
    <w:pitch w:val="default"/>
    <w:sig w:usb0="00000000" w:usb1="00000000" w:usb2="00000000" w:usb3="00000000" w:csb0="2000019F" w:csb1="00000000"/>
  </w:font>
  <w:font w:name="方正小标宋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汉仪仿宋S">
    <w:panose1 w:val="00020600040101000101"/>
    <w:charset w:val="86"/>
    <w:family w:val="auto"/>
    <w:pitch w:val="default"/>
    <w:sig w:usb0="A00002BF" w:usb1="38CF7CFA" w:usb2="00000016" w:usb3="00000000" w:csb0="0004009F"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91317"/>
    </w:sdtPr>
    <w:sdtEndPr>
      <w:rPr>
        <w:rFonts w:ascii="Times New Roman" w:hAnsi="Times New Roman" w:cs="Times New Roman"/>
      </w:rPr>
    </w:sdtEndPr>
    <w:sdtContent>
      <w:p>
        <w:pPr>
          <w:pStyle w:val="19"/>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22</w:t>
        </w:r>
        <w:r>
          <w:rPr>
            <w:rFonts w:ascii="Times New Roman" w:hAnsi="Times New Roman" w:cs="Times New Roma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C47599"/>
    <w:multiLevelType w:val="singleLevel"/>
    <w:tmpl w:val="96C47599"/>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B0B08BB1"/>
    <w:multiLevelType w:val="singleLevel"/>
    <w:tmpl w:val="B0B08BB1"/>
    <w:lvl w:ilvl="0" w:tentative="0">
      <w:start w:val="1"/>
      <w:numFmt w:val="decimal"/>
      <w:suff w:val="nothing"/>
      <w:lvlText w:val="（%1）"/>
      <w:lvlJc w:val="left"/>
    </w:lvl>
  </w:abstractNum>
  <w:abstractNum w:abstractNumId="2">
    <w:nsid w:val="C1832817"/>
    <w:multiLevelType w:val="singleLevel"/>
    <w:tmpl w:val="C1832817"/>
    <w:lvl w:ilvl="0" w:tentative="0">
      <w:start w:val="2"/>
      <w:numFmt w:val="decimal"/>
      <w:lvlText w:val="(%1)"/>
      <w:lvlJc w:val="left"/>
      <w:pPr>
        <w:tabs>
          <w:tab w:val="left" w:pos="312"/>
        </w:tabs>
        <w:ind w:left="420" w:firstLine="0"/>
      </w:pPr>
    </w:lvl>
  </w:abstractNum>
  <w:abstractNum w:abstractNumId="3">
    <w:nsid w:val="CC848CB1"/>
    <w:multiLevelType w:val="singleLevel"/>
    <w:tmpl w:val="CC848CB1"/>
    <w:lvl w:ilvl="0" w:tentative="0">
      <w:start w:val="5"/>
      <w:numFmt w:val="chineseCounting"/>
      <w:suff w:val="nothing"/>
      <w:lvlText w:val="%1、"/>
      <w:lvlJc w:val="left"/>
      <w:rPr>
        <w:rFonts w:hint="eastAsia"/>
      </w:rPr>
    </w:lvl>
  </w:abstractNum>
  <w:abstractNum w:abstractNumId="4">
    <w:nsid w:val="D60F4B00"/>
    <w:multiLevelType w:val="singleLevel"/>
    <w:tmpl w:val="D60F4B00"/>
    <w:lvl w:ilvl="0" w:tentative="0">
      <w:start w:val="1"/>
      <w:numFmt w:val="decimal"/>
      <w:suff w:val="nothing"/>
      <w:lvlText w:val="（%1）"/>
      <w:lvlJc w:val="left"/>
    </w:lvl>
  </w:abstractNum>
  <w:abstractNum w:abstractNumId="5">
    <w:nsid w:val="10996EDD"/>
    <w:multiLevelType w:val="multilevel"/>
    <w:tmpl w:val="10996EDD"/>
    <w:lvl w:ilvl="0" w:tentative="0">
      <w:start w:val="1"/>
      <w:numFmt w:val="decimal"/>
      <w:pStyle w:val="97"/>
      <w:lvlText w:val="(%1)"/>
      <w:lvlJc w:val="left"/>
      <w:pPr>
        <w:ind w:left="1080" w:hanging="420"/>
      </w:pPr>
      <w:rPr>
        <w:rFonts w:hint="eastAsia"/>
        <w:lang w:val="en-US"/>
      </w:rPr>
    </w:lvl>
    <w:lvl w:ilvl="1" w:tentative="0">
      <w:start w:val="1"/>
      <w:numFmt w:val="decimalEnclosedCircle"/>
      <w:lvlText w:val="%2"/>
      <w:lvlJc w:val="left"/>
      <w:pPr>
        <w:ind w:left="958" w:hanging="360"/>
      </w:pPr>
      <w:rPr>
        <w:rFonts w:hint="default"/>
      </w:rPr>
    </w:lvl>
    <w:lvl w:ilvl="2" w:tentative="0">
      <w:start w:val="1"/>
      <w:numFmt w:val="lowerRoman"/>
      <w:lvlText w:val="%3."/>
      <w:lvlJc w:val="right"/>
      <w:pPr>
        <w:ind w:left="1438" w:hanging="420"/>
      </w:pPr>
    </w:lvl>
    <w:lvl w:ilvl="3" w:tentative="0">
      <w:start w:val="1"/>
      <w:numFmt w:val="decimal"/>
      <w:lvlText w:val="%4."/>
      <w:lvlJc w:val="left"/>
      <w:pPr>
        <w:ind w:left="1858" w:hanging="420"/>
      </w:pPr>
    </w:lvl>
    <w:lvl w:ilvl="4" w:tentative="0">
      <w:start w:val="1"/>
      <w:numFmt w:val="lowerLetter"/>
      <w:lvlText w:val="%5)"/>
      <w:lvlJc w:val="left"/>
      <w:pPr>
        <w:ind w:left="2278" w:hanging="420"/>
      </w:pPr>
    </w:lvl>
    <w:lvl w:ilvl="5" w:tentative="0">
      <w:start w:val="1"/>
      <w:numFmt w:val="lowerRoman"/>
      <w:lvlText w:val="%6."/>
      <w:lvlJc w:val="right"/>
      <w:pPr>
        <w:ind w:left="2698" w:hanging="420"/>
      </w:pPr>
    </w:lvl>
    <w:lvl w:ilvl="6" w:tentative="0">
      <w:start w:val="1"/>
      <w:numFmt w:val="decimal"/>
      <w:lvlText w:val="%7."/>
      <w:lvlJc w:val="left"/>
      <w:pPr>
        <w:ind w:left="3118" w:hanging="420"/>
      </w:pPr>
    </w:lvl>
    <w:lvl w:ilvl="7" w:tentative="0">
      <w:start w:val="1"/>
      <w:numFmt w:val="lowerLetter"/>
      <w:lvlText w:val="%8)"/>
      <w:lvlJc w:val="left"/>
      <w:pPr>
        <w:ind w:left="3538" w:hanging="420"/>
      </w:pPr>
    </w:lvl>
    <w:lvl w:ilvl="8" w:tentative="0">
      <w:start w:val="1"/>
      <w:numFmt w:val="lowerRoman"/>
      <w:lvlText w:val="%9."/>
      <w:lvlJc w:val="right"/>
      <w:pPr>
        <w:ind w:left="3958" w:hanging="420"/>
      </w:pPr>
    </w:lvl>
  </w:abstractNum>
  <w:abstractNum w:abstractNumId="6">
    <w:nsid w:val="711E3D78"/>
    <w:multiLevelType w:val="singleLevel"/>
    <w:tmpl w:val="711E3D78"/>
    <w:lvl w:ilvl="0" w:tentative="0">
      <w:start w:val="1"/>
      <w:numFmt w:val="decimal"/>
      <w:suff w:val="nothing"/>
      <w:lvlText w:val="（%1）"/>
      <w:lvlJc w:val="left"/>
    </w:lvl>
  </w:abstractNum>
  <w:num w:numId="1">
    <w:abstractNumId w:val="0"/>
  </w:num>
  <w:num w:numId="2">
    <w:abstractNumId w:val="5"/>
  </w:num>
  <w:num w:numId="3">
    <w:abstractNumId w:val="2"/>
  </w:num>
  <w:num w:numId="4">
    <w:abstractNumId w:val="1"/>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false"/>
  <w:bordersDoNotSurroundFooter w:val="false"/>
  <w:hideSpellingErrors/>
  <w:documentProtection w:enforcement="0"/>
  <w:defaultTabStop w:val="720"/>
  <w:drawingGridHorizontalSpacing w:val="110"/>
  <w:displayHorizontalDrawingGridEvery w:val="1"/>
  <w:displayVerticalDrawingGridEvery w:val="1"/>
  <w:noPunctuationKerning w:val="true"/>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kYTRhODg5ZmI5NzJmYzkwMjZjNjcxZmRmMDc3NTIifQ=="/>
  </w:docVars>
  <w:rsids>
    <w:rsidRoot w:val="00172A27"/>
    <w:rsid w:val="00000392"/>
    <w:rsid w:val="000007AD"/>
    <w:rsid w:val="00000836"/>
    <w:rsid w:val="0000088A"/>
    <w:rsid w:val="00000CD2"/>
    <w:rsid w:val="00000F0D"/>
    <w:rsid w:val="00000F1B"/>
    <w:rsid w:val="00000F61"/>
    <w:rsid w:val="0000117B"/>
    <w:rsid w:val="000011DF"/>
    <w:rsid w:val="00001256"/>
    <w:rsid w:val="00001416"/>
    <w:rsid w:val="000019A0"/>
    <w:rsid w:val="00001D81"/>
    <w:rsid w:val="00001ED3"/>
    <w:rsid w:val="000021D7"/>
    <w:rsid w:val="000026AF"/>
    <w:rsid w:val="000030D5"/>
    <w:rsid w:val="0000320D"/>
    <w:rsid w:val="00003589"/>
    <w:rsid w:val="000036EC"/>
    <w:rsid w:val="000037FE"/>
    <w:rsid w:val="00004567"/>
    <w:rsid w:val="0000462A"/>
    <w:rsid w:val="00004CD9"/>
    <w:rsid w:val="00005183"/>
    <w:rsid w:val="000053E9"/>
    <w:rsid w:val="0000554C"/>
    <w:rsid w:val="00005923"/>
    <w:rsid w:val="00005C34"/>
    <w:rsid w:val="00006037"/>
    <w:rsid w:val="000062F5"/>
    <w:rsid w:val="0000677F"/>
    <w:rsid w:val="000067C7"/>
    <w:rsid w:val="00006B10"/>
    <w:rsid w:val="00006D81"/>
    <w:rsid w:val="00006DDB"/>
    <w:rsid w:val="00006E96"/>
    <w:rsid w:val="0000712E"/>
    <w:rsid w:val="000074FD"/>
    <w:rsid w:val="000077CE"/>
    <w:rsid w:val="00007D6C"/>
    <w:rsid w:val="00007DF8"/>
    <w:rsid w:val="00010191"/>
    <w:rsid w:val="00010234"/>
    <w:rsid w:val="0001043E"/>
    <w:rsid w:val="000105B7"/>
    <w:rsid w:val="000107EC"/>
    <w:rsid w:val="00011756"/>
    <w:rsid w:val="000117EC"/>
    <w:rsid w:val="00012067"/>
    <w:rsid w:val="00012096"/>
    <w:rsid w:val="000122F6"/>
    <w:rsid w:val="00012866"/>
    <w:rsid w:val="00012973"/>
    <w:rsid w:val="00013982"/>
    <w:rsid w:val="00013A17"/>
    <w:rsid w:val="00013EB0"/>
    <w:rsid w:val="00014271"/>
    <w:rsid w:val="000143A2"/>
    <w:rsid w:val="000143C6"/>
    <w:rsid w:val="000143D3"/>
    <w:rsid w:val="000144F7"/>
    <w:rsid w:val="000146D7"/>
    <w:rsid w:val="000148D4"/>
    <w:rsid w:val="00014B3B"/>
    <w:rsid w:val="00014D0F"/>
    <w:rsid w:val="00014E69"/>
    <w:rsid w:val="0001534F"/>
    <w:rsid w:val="000154AF"/>
    <w:rsid w:val="000159F7"/>
    <w:rsid w:val="00015A15"/>
    <w:rsid w:val="00015AD3"/>
    <w:rsid w:val="00015DF5"/>
    <w:rsid w:val="0001618A"/>
    <w:rsid w:val="00016BB9"/>
    <w:rsid w:val="00016DC6"/>
    <w:rsid w:val="00016F5C"/>
    <w:rsid w:val="00017B14"/>
    <w:rsid w:val="00017BE1"/>
    <w:rsid w:val="00017D74"/>
    <w:rsid w:val="00017E52"/>
    <w:rsid w:val="000202EF"/>
    <w:rsid w:val="00021616"/>
    <w:rsid w:val="000217D0"/>
    <w:rsid w:val="00021F02"/>
    <w:rsid w:val="00022342"/>
    <w:rsid w:val="000223D1"/>
    <w:rsid w:val="00022BB1"/>
    <w:rsid w:val="00022BBF"/>
    <w:rsid w:val="00022C11"/>
    <w:rsid w:val="00022C50"/>
    <w:rsid w:val="00022D4D"/>
    <w:rsid w:val="00022FD6"/>
    <w:rsid w:val="0002363F"/>
    <w:rsid w:val="00023775"/>
    <w:rsid w:val="00023B4C"/>
    <w:rsid w:val="00024019"/>
    <w:rsid w:val="000240E5"/>
    <w:rsid w:val="00024322"/>
    <w:rsid w:val="00024427"/>
    <w:rsid w:val="00024910"/>
    <w:rsid w:val="00024922"/>
    <w:rsid w:val="00025311"/>
    <w:rsid w:val="00025512"/>
    <w:rsid w:val="00025E98"/>
    <w:rsid w:val="00026655"/>
    <w:rsid w:val="00026768"/>
    <w:rsid w:val="00026A80"/>
    <w:rsid w:val="00026C29"/>
    <w:rsid w:val="00026F1D"/>
    <w:rsid w:val="00026F96"/>
    <w:rsid w:val="00027E23"/>
    <w:rsid w:val="000300E2"/>
    <w:rsid w:val="00030F87"/>
    <w:rsid w:val="000310DF"/>
    <w:rsid w:val="0003134C"/>
    <w:rsid w:val="00031B6F"/>
    <w:rsid w:val="00031EB5"/>
    <w:rsid w:val="00031F55"/>
    <w:rsid w:val="00032023"/>
    <w:rsid w:val="0003281A"/>
    <w:rsid w:val="00032830"/>
    <w:rsid w:val="00032DB4"/>
    <w:rsid w:val="00033157"/>
    <w:rsid w:val="00033271"/>
    <w:rsid w:val="00033353"/>
    <w:rsid w:val="000335B3"/>
    <w:rsid w:val="000337B2"/>
    <w:rsid w:val="00033D1B"/>
    <w:rsid w:val="00034604"/>
    <w:rsid w:val="0003476E"/>
    <w:rsid w:val="00034A2B"/>
    <w:rsid w:val="00034B76"/>
    <w:rsid w:val="00035414"/>
    <w:rsid w:val="0003574B"/>
    <w:rsid w:val="000357D9"/>
    <w:rsid w:val="0003590B"/>
    <w:rsid w:val="00035B0C"/>
    <w:rsid w:val="00035C63"/>
    <w:rsid w:val="00035CFF"/>
    <w:rsid w:val="00035E8B"/>
    <w:rsid w:val="000364BD"/>
    <w:rsid w:val="0003656D"/>
    <w:rsid w:val="000368C6"/>
    <w:rsid w:val="00036D4C"/>
    <w:rsid w:val="00036E83"/>
    <w:rsid w:val="00036E84"/>
    <w:rsid w:val="000370E1"/>
    <w:rsid w:val="00037202"/>
    <w:rsid w:val="00037280"/>
    <w:rsid w:val="000379B9"/>
    <w:rsid w:val="00037A0B"/>
    <w:rsid w:val="00037F20"/>
    <w:rsid w:val="000403A2"/>
    <w:rsid w:val="000405B3"/>
    <w:rsid w:val="00040955"/>
    <w:rsid w:val="00040A86"/>
    <w:rsid w:val="00041149"/>
    <w:rsid w:val="00041479"/>
    <w:rsid w:val="0004197E"/>
    <w:rsid w:val="00041ABC"/>
    <w:rsid w:val="00041B3D"/>
    <w:rsid w:val="00041D31"/>
    <w:rsid w:val="00041EBE"/>
    <w:rsid w:val="00042018"/>
    <w:rsid w:val="00042146"/>
    <w:rsid w:val="0004223F"/>
    <w:rsid w:val="00042299"/>
    <w:rsid w:val="0004238F"/>
    <w:rsid w:val="00043244"/>
    <w:rsid w:val="00043631"/>
    <w:rsid w:val="0004395A"/>
    <w:rsid w:val="00043AF7"/>
    <w:rsid w:val="00043C45"/>
    <w:rsid w:val="00043DD2"/>
    <w:rsid w:val="00043E13"/>
    <w:rsid w:val="00043EBF"/>
    <w:rsid w:val="00044051"/>
    <w:rsid w:val="00044078"/>
    <w:rsid w:val="00044545"/>
    <w:rsid w:val="00044A25"/>
    <w:rsid w:val="00044D56"/>
    <w:rsid w:val="00044ED1"/>
    <w:rsid w:val="0004583F"/>
    <w:rsid w:val="00045C62"/>
    <w:rsid w:val="00045F3C"/>
    <w:rsid w:val="00046727"/>
    <w:rsid w:val="000467DF"/>
    <w:rsid w:val="0004698A"/>
    <w:rsid w:val="00046ADB"/>
    <w:rsid w:val="00047084"/>
    <w:rsid w:val="00047C66"/>
    <w:rsid w:val="00047F0B"/>
    <w:rsid w:val="00047F13"/>
    <w:rsid w:val="00050213"/>
    <w:rsid w:val="0005054E"/>
    <w:rsid w:val="00050997"/>
    <w:rsid w:val="000509E7"/>
    <w:rsid w:val="00050EFC"/>
    <w:rsid w:val="000511AF"/>
    <w:rsid w:val="00051221"/>
    <w:rsid w:val="000512FA"/>
    <w:rsid w:val="00051351"/>
    <w:rsid w:val="0005178A"/>
    <w:rsid w:val="00051A83"/>
    <w:rsid w:val="00051D77"/>
    <w:rsid w:val="0005216C"/>
    <w:rsid w:val="0005260F"/>
    <w:rsid w:val="00052E3D"/>
    <w:rsid w:val="0005314B"/>
    <w:rsid w:val="00053341"/>
    <w:rsid w:val="000533D2"/>
    <w:rsid w:val="00054084"/>
    <w:rsid w:val="00054664"/>
    <w:rsid w:val="00054819"/>
    <w:rsid w:val="00054E92"/>
    <w:rsid w:val="00054EE3"/>
    <w:rsid w:val="00055377"/>
    <w:rsid w:val="0005543A"/>
    <w:rsid w:val="00055569"/>
    <w:rsid w:val="0005566F"/>
    <w:rsid w:val="000558E8"/>
    <w:rsid w:val="0005597B"/>
    <w:rsid w:val="00055C2F"/>
    <w:rsid w:val="000561D6"/>
    <w:rsid w:val="00056238"/>
    <w:rsid w:val="00056326"/>
    <w:rsid w:val="0005649F"/>
    <w:rsid w:val="0005650A"/>
    <w:rsid w:val="000569F0"/>
    <w:rsid w:val="000571D2"/>
    <w:rsid w:val="0005739D"/>
    <w:rsid w:val="0005773C"/>
    <w:rsid w:val="00060544"/>
    <w:rsid w:val="00060977"/>
    <w:rsid w:val="00060EC1"/>
    <w:rsid w:val="0006105C"/>
    <w:rsid w:val="000611F3"/>
    <w:rsid w:val="000618F3"/>
    <w:rsid w:val="0006220F"/>
    <w:rsid w:val="0006241C"/>
    <w:rsid w:val="00062534"/>
    <w:rsid w:val="000627E7"/>
    <w:rsid w:val="00062847"/>
    <w:rsid w:val="00062863"/>
    <w:rsid w:val="00062891"/>
    <w:rsid w:val="000629DD"/>
    <w:rsid w:val="00062B2D"/>
    <w:rsid w:val="00062E5A"/>
    <w:rsid w:val="00062F18"/>
    <w:rsid w:val="000630AF"/>
    <w:rsid w:val="00063688"/>
    <w:rsid w:val="00063841"/>
    <w:rsid w:val="000639CA"/>
    <w:rsid w:val="00063A91"/>
    <w:rsid w:val="00063E73"/>
    <w:rsid w:val="00064127"/>
    <w:rsid w:val="000644D8"/>
    <w:rsid w:val="00064955"/>
    <w:rsid w:val="00064D7A"/>
    <w:rsid w:val="00064DB5"/>
    <w:rsid w:val="00064DD3"/>
    <w:rsid w:val="00064F1C"/>
    <w:rsid w:val="000655CD"/>
    <w:rsid w:val="00065B88"/>
    <w:rsid w:val="00065C9B"/>
    <w:rsid w:val="0006645D"/>
    <w:rsid w:val="000667F2"/>
    <w:rsid w:val="00066AE3"/>
    <w:rsid w:val="00066CC6"/>
    <w:rsid w:val="00066CFF"/>
    <w:rsid w:val="00066FF9"/>
    <w:rsid w:val="00067EEB"/>
    <w:rsid w:val="00067FA8"/>
    <w:rsid w:val="00070118"/>
    <w:rsid w:val="0007013D"/>
    <w:rsid w:val="0007027B"/>
    <w:rsid w:val="00070814"/>
    <w:rsid w:val="000709C3"/>
    <w:rsid w:val="00070B79"/>
    <w:rsid w:val="00070E87"/>
    <w:rsid w:val="0007155D"/>
    <w:rsid w:val="00071C3E"/>
    <w:rsid w:val="00072212"/>
    <w:rsid w:val="000728BA"/>
    <w:rsid w:val="00072908"/>
    <w:rsid w:val="0007293C"/>
    <w:rsid w:val="00072A42"/>
    <w:rsid w:val="00072B5D"/>
    <w:rsid w:val="00072CC8"/>
    <w:rsid w:val="00072E1D"/>
    <w:rsid w:val="00073044"/>
    <w:rsid w:val="00073343"/>
    <w:rsid w:val="00073760"/>
    <w:rsid w:val="000752FE"/>
    <w:rsid w:val="000753CE"/>
    <w:rsid w:val="000755BE"/>
    <w:rsid w:val="00075A94"/>
    <w:rsid w:val="0007628E"/>
    <w:rsid w:val="000767C3"/>
    <w:rsid w:val="000768CB"/>
    <w:rsid w:val="00076FCE"/>
    <w:rsid w:val="0007712D"/>
    <w:rsid w:val="00077133"/>
    <w:rsid w:val="000771F5"/>
    <w:rsid w:val="000775E6"/>
    <w:rsid w:val="000777CA"/>
    <w:rsid w:val="00080350"/>
    <w:rsid w:val="00080382"/>
    <w:rsid w:val="000803E4"/>
    <w:rsid w:val="000804DA"/>
    <w:rsid w:val="0008072E"/>
    <w:rsid w:val="00080ADD"/>
    <w:rsid w:val="00080C37"/>
    <w:rsid w:val="00080FC0"/>
    <w:rsid w:val="0008117A"/>
    <w:rsid w:val="000815F9"/>
    <w:rsid w:val="00081798"/>
    <w:rsid w:val="00081FEE"/>
    <w:rsid w:val="00082325"/>
    <w:rsid w:val="00082481"/>
    <w:rsid w:val="00082575"/>
    <w:rsid w:val="00082949"/>
    <w:rsid w:val="00082B88"/>
    <w:rsid w:val="00083016"/>
    <w:rsid w:val="00083677"/>
    <w:rsid w:val="00083889"/>
    <w:rsid w:val="000839B2"/>
    <w:rsid w:val="00083ECC"/>
    <w:rsid w:val="000841A9"/>
    <w:rsid w:val="00084501"/>
    <w:rsid w:val="00084612"/>
    <w:rsid w:val="00084A89"/>
    <w:rsid w:val="00084B21"/>
    <w:rsid w:val="00084CBB"/>
    <w:rsid w:val="00084E48"/>
    <w:rsid w:val="00085062"/>
    <w:rsid w:val="00085106"/>
    <w:rsid w:val="0008530D"/>
    <w:rsid w:val="00085A51"/>
    <w:rsid w:val="00085FCD"/>
    <w:rsid w:val="000860BA"/>
    <w:rsid w:val="000860C7"/>
    <w:rsid w:val="000868E6"/>
    <w:rsid w:val="00086AA8"/>
    <w:rsid w:val="00086ABA"/>
    <w:rsid w:val="00087187"/>
    <w:rsid w:val="00087214"/>
    <w:rsid w:val="00087335"/>
    <w:rsid w:val="00087C63"/>
    <w:rsid w:val="00087D73"/>
    <w:rsid w:val="00087E40"/>
    <w:rsid w:val="0009027D"/>
    <w:rsid w:val="000903E1"/>
    <w:rsid w:val="00090635"/>
    <w:rsid w:val="000906BC"/>
    <w:rsid w:val="000911D1"/>
    <w:rsid w:val="00091679"/>
    <w:rsid w:val="00091C95"/>
    <w:rsid w:val="00091CBA"/>
    <w:rsid w:val="00091CCC"/>
    <w:rsid w:val="00091DFF"/>
    <w:rsid w:val="00092094"/>
    <w:rsid w:val="00092509"/>
    <w:rsid w:val="00092793"/>
    <w:rsid w:val="00092B35"/>
    <w:rsid w:val="00092BB7"/>
    <w:rsid w:val="00092EB8"/>
    <w:rsid w:val="00093052"/>
    <w:rsid w:val="0009323F"/>
    <w:rsid w:val="00093314"/>
    <w:rsid w:val="000933BE"/>
    <w:rsid w:val="00093E4E"/>
    <w:rsid w:val="000940BE"/>
    <w:rsid w:val="000942F3"/>
    <w:rsid w:val="000944C0"/>
    <w:rsid w:val="00094641"/>
    <w:rsid w:val="00094B9E"/>
    <w:rsid w:val="00094D71"/>
    <w:rsid w:val="000950CF"/>
    <w:rsid w:val="00095139"/>
    <w:rsid w:val="00095335"/>
    <w:rsid w:val="00095394"/>
    <w:rsid w:val="000957CD"/>
    <w:rsid w:val="00095905"/>
    <w:rsid w:val="00095CC2"/>
    <w:rsid w:val="00095E77"/>
    <w:rsid w:val="0009648F"/>
    <w:rsid w:val="00096BAF"/>
    <w:rsid w:val="00096D50"/>
    <w:rsid w:val="00096E1A"/>
    <w:rsid w:val="000971EC"/>
    <w:rsid w:val="000972A1"/>
    <w:rsid w:val="0009739F"/>
    <w:rsid w:val="000976CF"/>
    <w:rsid w:val="000976D7"/>
    <w:rsid w:val="000976FE"/>
    <w:rsid w:val="000977F0"/>
    <w:rsid w:val="00097ADA"/>
    <w:rsid w:val="00097F75"/>
    <w:rsid w:val="000A04CF"/>
    <w:rsid w:val="000A0D73"/>
    <w:rsid w:val="000A1879"/>
    <w:rsid w:val="000A1A0C"/>
    <w:rsid w:val="000A1A54"/>
    <w:rsid w:val="000A1F2F"/>
    <w:rsid w:val="000A2031"/>
    <w:rsid w:val="000A241C"/>
    <w:rsid w:val="000A2784"/>
    <w:rsid w:val="000A29B2"/>
    <w:rsid w:val="000A29EB"/>
    <w:rsid w:val="000A3185"/>
    <w:rsid w:val="000A3716"/>
    <w:rsid w:val="000A40FC"/>
    <w:rsid w:val="000A4240"/>
    <w:rsid w:val="000A4321"/>
    <w:rsid w:val="000A4851"/>
    <w:rsid w:val="000A4A07"/>
    <w:rsid w:val="000A4AD7"/>
    <w:rsid w:val="000A4B7E"/>
    <w:rsid w:val="000A4FDB"/>
    <w:rsid w:val="000A5155"/>
    <w:rsid w:val="000A595A"/>
    <w:rsid w:val="000A5E97"/>
    <w:rsid w:val="000A6625"/>
    <w:rsid w:val="000A68CA"/>
    <w:rsid w:val="000A692E"/>
    <w:rsid w:val="000A6B45"/>
    <w:rsid w:val="000A6B79"/>
    <w:rsid w:val="000A6CA6"/>
    <w:rsid w:val="000A6CD0"/>
    <w:rsid w:val="000A6CF1"/>
    <w:rsid w:val="000A6E2E"/>
    <w:rsid w:val="000A6F10"/>
    <w:rsid w:val="000A75CD"/>
    <w:rsid w:val="000A7806"/>
    <w:rsid w:val="000A79C3"/>
    <w:rsid w:val="000A7BD7"/>
    <w:rsid w:val="000A7CCD"/>
    <w:rsid w:val="000B0553"/>
    <w:rsid w:val="000B075A"/>
    <w:rsid w:val="000B09A4"/>
    <w:rsid w:val="000B0B8A"/>
    <w:rsid w:val="000B0C3C"/>
    <w:rsid w:val="000B11F9"/>
    <w:rsid w:val="000B1845"/>
    <w:rsid w:val="000B1A23"/>
    <w:rsid w:val="000B1A8C"/>
    <w:rsid w:val="000B1ED5"/>
    <w:rsid w:val="000B1EDA"/>
    <w:rsid w:val="000B2A0C"/>
    <w:rsid w:val="000B2FE1"/>
    <w:rsid w:val="000B2FF9"/>
    <w:rsid w:val="000B30AE"/>
    <w:rsid w:val="000B34C9"/>
    <w:rsid w:val="000B3528"/>
    <w:rsid w:val="000B37ED"/>
    <w:rsid w:val="000B3DC1"/>
    <w:rsid w:val="000B3E08"/>
    <w:rsid w:val="000B3E41"/>
    <w:rsid w:val="000B54CA"/>
    <w:rsid w:val="000B54FC"/>
    <w:rsid w:val="000B556C"/>
    <w:rsid w:val="000B566E"/>
    <w:rsid w:val="000B58C9"/>
    <w:rsid w:val="000B58F2"/>
    <w:rsid w:val="000B59B4"/>
    <w:rsid w:val="000B6242"/>
    <w:rsid w:val="000B652C"/>
    <w:rsid w:val="000B70E4"/>
    <w:rsid w:val="000B7560"/>
    <w:rsid w:val="000B7664"/>
    <w:rsid w:val="000B79E7"/>
    <w:rsid w:val="000B7E3B"/>
    <w:rsid w:val="000C02C0"/>
    <w:rsid w:val="000C030E"/>
    <w:rsid w:val="000C099C"/>
    <w:rsid w:val="000C0CAC"/>
    <w:rsid w:val="000C0ECF"/>
    <w:rsid w:val="000C1582"/>
    <w:rsid w:val="000C170F"/>
    <w:rsid w:val="000C1927"/>
    <w:rsid w:val="000C205E"/>
    <w:rsid w:val="000C2395"/>
    <w:rsid w:val="000C2551"/>
    <w:rsid w:val="000C2635"/>
    <w:rsid w:val="000C2796"/>
    <w:rsid w:val="000C2B11"/>
    <w:rsid w:val="000C368C"/>
    <w:rsid w:val="000C36B2"/>
    <w:rsid w:val="000C3A4A"/>
    <w:rsid w:val="000C3C40"/>
    <w:rsid w:val="000C3D22"/>
    <w:rsid w:val="000C3D26"/>
    <w:rsid w:val="000C40E4"/>
    <w:rsid w:val="000C4241"/>
    <w:rsid w:val="000C4597"/>
    <w:rsid w:val="000C4B78"/>
    <w:rsid w:val="000C4D83"/>
    <w:rsid w:val="000C5395"/>
    <w:rsid w:val="000C5442"/>
    <w:rsid w:val="000C5967"/>
    <w:rsid w:val="000C5AAB"/>
    <w:rsid w:val="000C5ED6"/>
    <w:rsid w:val="000C5F1D"/>
    <w:rsid w:val="000C63AD"/>
    <w:rsid w:val="000C6966"/>
    <w:rsid w:val="000C6B5C"/>
    <w:rsid w:val="000C6CA1"/>
    <w:rsid w:val="000C6D11"/>
    <w:rsid w:val="000C6D68"/>
    <w:rsid w:val="000C710B"/>
    <w:rsid w:val="000C75F7"/>
    <w:rsid w:val="000C7881"/>
    <w:rsid w:val="000C79CC"/>
    <w:rsid w:val="000C7A74"/>
    <w:rsid w:val="000D0245"/>
    <w:rsid w:val="000D060F"/>
    <w:rsid w:val="000D0BA0"/>
    <w:rsid w:val="000D158B"/>
    <w:rsid w:val="000D19B7"/>
    <w:rsid w:val="000D19E7"/>
    <w:rsid w:val="000D1EFB"/>
    <w:rsid w:val="000D2359"/>
    <w:rsid w:val="000D24F4"/>
    <w:rsid w:val="000D25B1"/>
    <w:rsid w:val="000D26A5"/>
    <w:rsid w:val="000D271E"/>
    <w:rsid w:val="000D27FB"/>
    <w:rsid w:val="000D29B0"/>
    <w:rsid w:val="000D2A8F"/>
    <w:rsid w:val="000D30E0"/>
    <w:rsid w:val="000D3245"/>
    <w:rsid w:val="000D3408"/>
    <w:rsid w:val="000D368C"/>
    <w:rsid w:val="000D396B"/>
    <w:rsid w:val="000D3982"/>
    <w:rsid w:val="000D3984"/>
    <w:rsid w:val="000D3A46"/>
    <w:rsid w:val="000D3C2B"/>
    <w:rsid w:val="000D4570"/>
    <w:rsid w:val="000D461B"/>
    <w:rsid w:val="000D4924"/>
    <w:rsid w:val="000D4973"/>
    <w:rsid w:val="000D514F"/>
    <w:rsid w:val="000D5696"/>
    <w:rsid w:val="000D5FCF"/>
    <w:rsid w:val="000D6D10"/>
    <w:rsid w:val="000D7063"/>
    <w:rsid w:val="000D7747"/>
    <w:rsid w:val="000D780D"/>
    <w:rsid w:val="000D7950"/>
    <w:rsid w:val="000D7F32"/>
    <w:rsid w:val="000E01F0"/>
    <w:rsid w:val="000E0236"/>
    <w:rsid w:val="000E0548"/>
    <w:rsid w:val="000E073A"/>
    <w:rsid w:val="000E0A1D"/>
    <w:rsid w:val="000E0DDB"/>
    <w:rsid w:val="000E1633"/>
    <w:rsid w:val="000E1658"/>
    <w:rsid w:val="000E1836"/>
    <w:rsid w:val="000E1874"/>
    <w:rsid w:val="000E2173"/>
    <w:rsid w:val="000E2197"/>
    <w:rsid w:val="000E2689"/>
    <w:rsid w:val="000E2850"/>
    <w:rsid w:val="000E2D9B"/>
    <w:rsid w:val="000E3744"/>
    <w:rsid w:val="000E37FF"/>
    <w:rsid w:val="000E3B88"/>
    <w:rsid w:val="000E40B1"/>
    <w:rsid w:val="000E43ED"/>
    <w:rsid w:val="000E47DF"/>
    <w:rsid w:val="000E49DA"/>
    <w:rsid w:val="000E4AEA"/>
    <w:rsid w:val="000E4CE5"/>
    <w:rsid w:val="000E4E5C"/>
    <w:rsid w:val="000E535C"/>
    <w:rsid w:val="000E545E"/>
    <w:rsid w:val="000E598F"/>
    <w:rsid w:val="000E6019"/>
    <w:rsid w:val="000E6146"/>
    <w:rsid w:val="000E6D5C"/>
    <w:rsid w:val="000E6D5D"/>
    <w:rsid w:val="000E731A"/>
    <w:rsid w:val="000E7423"/>
    <w:rsid w:val="000E756E"/>
    <w:rsid w:val="000E759D"/>
    <w:rsid w:val="000E771A"/>
    <w:rsid w:val="000E77EE"/>
    <w:rsid w:val="000E791B"/>
    <w:rsid w:val="000E7B8E"/>
    <w:rsid w:val="000F025C"/>
    <w:rsid w:val="000F027E"/>
    <w:rsid w:val="000F0445"/>
    <w:rsid w:val="000F0DB2"/>
    <w:rsid w:val="000F11FE"/>
    <w:rsid w:val="000F13EA"/>
    <w:rsid w:val="000F16A7"/>
    <w:rsid w:val="000F17B1"/>
    <w:rsid w:val="000F1C06"/>
    <w:rsid w:val="000F2385"/>
    <w:rsid w:val="000F24F7"/>
    <w:rsid w:val="000F28B8"/>
    <w:rsid w:val="000F295C"/>
    <w:rsid w:val="000F2960"/>
    <w:rsid w:val="000F2BA1"/>
    <w:rsid w:val="000F2C18"/>
    <w:rsid w:val="000F300F"/>
    <w:rsid w:val="000F3494"/>
    <w:rsid w:val="000F37AA"/>
    <w:rsid w:val="000F37BD"/>
    <w:rsid w:val="000F3D16"/>
    <w:rsid w:val="000F3D20"/>
    <w:rsid w:val="000F4D05"/>
    <w:rsid w:val="000F50CA"/>
    <w:rsid w:val="000F5178"/>
    <w:rsid w:val="000F5238"/>
    <w:rsid w:val="000F556B"/>
    <w:rsid w:val="000F56DC"/>
    <w:rsid w:val="000F59EA"/>
    <w:rsid w:val="000F5AF4"/>
    <w:rsid w:val="000F6053"/>
    <w:rsid w:val="000F60F0"/>
    <w:rsid w:val="000F630F"/>
    <w:rsid w:val="000F6598"/>
    <w:rsid w:val="000F6883"/>
    <w:rsid w:val="000F6CFE"/>
    <w:rsid w:val="000F6ED9"/>
    <w:rsid w:val="000F7419"/>
    <w:rsid w:val="000F74BA"/>
    <w:rsid w:val="000F774E"/>
    <w:rsid w:val="000F7860"/>
    <w:rsid w:val="000F79FB"/>
    <w:rsid w:val="000F7B8E"/>
    <w:rsid w:val="000F7C27"/>
    <w:rsid w:val="0010041A"/>
    <w:rsid w:val="001005EE"/>
    <w:rsid w:val="00100C1C"/>
    <w:rsid w:val="00100DED"/>
    <w:rsid w:val="00101021"/>
    <w:rsid w:val="00101029"/>
    <w:rsid w:val="001010AD"/>
    <w:rsid w:val="0010116F"/>
    <w:rsid w:val="00101D33"/>
    <w:rsid w:val="001020E3"/>
    <w:rsid w:val="00102428"/>
    <w:rsid w:val="00102479"/>
    <w:rsid w:val="0010255B"/>
    <w:rsid w:val="001025D9"/>
    <w:rsid w:val="00102A0F"/>
    <w:rsid w:val="00102B44"/>
    <w:rsid w:val="00102B50"/>
    <w:rsid w:val="00102B7B"/>
    <w:rsid w:val="00102CF7"/>
    <w:rsid w:val="00102D62"/>
    <w:rsid w:val="00102F08"/>
    <w:rsid w:val="001033EB"/>
    <w:rsid w:val="00103635"/>
    <w:rsid w:val="00103B81"/>
    <w:rsid w:val="00103CCA"/>
    <w:rsid w:val="00103FAC"/>
    <w:rsid w:val="001041D6"/>
    <w:rsid w:val="0010422B"/>
    <w:rsid w:val="001043B8"/>
    <w:rsid w:val="00104545"/>
    <w:rsid w:val="0010464F"/>
    <w:rsid w:val="00104747"/>
    <w:rsid w:val="001048AE"/>
    <w:rsid w:val="00104B3C"/>
    <w:rsid w:val="001051E1"/>
    <w:rsid w:val="001058F4"/>
    <w:rsid w:val="00105AC5"/>
    <w:rsid w:val="0010620E"/>
    <w:rsid w:val="00106493"/>
    <w:rsid w:val="00106CAF"/>
    <w:rsid w:val="00106E27"/>
    <w:rsid w:val="00106E36"/>
    <w:rsid w:val="00106FD1"/>
    <w:rsid w:val="00107286"/>
    <w:rsid w:val="001072AC"/>
    <w:rsid w:val="00107811"/>
    <w:rsid w:val="00107CE8"/>
    <w:rsid w:val="001101FC"/>
    <w:rsid w:val="0011022A"/>
    <w:rsid w:val="0011040B"/>
    <w:rsid w:val="0011046D"/>
    <w:rsid w:val="00110484"/>
    <w:rsid w:val="0011054B"/>
    <w:rsid w:val="00110996"/>
    <w:rsid w:val="00111A4A"/>
    <w:rsid w:val="00111BB7"/>
    <w:rsid w:val="00111D18"/>
    <w:rsid w:val="001129E6"/>
    <w:rsid w:val="00113AD6"/>
    <w:rsid w:val="0011426E"/>
    <w:rsid w:val="0011462D"/>
    <w:rsid w:val="0011492C"/>
    <w:rsid w:val="00114EE2"/>
    <w:rsid w:val="0011560A"/>
    <w:rsid w:val="001158B2"/>
    <w:rsid w:val="0011597C"/>
    <w:rsid w:val="00115B76"/>
    <w:rsid w:val="00116194"/>
    <w:rsid w:val="00116638"/>
    <w:rsid w:val="00117385"/>
    <w:rsid w:val="001175F9"/>
    <w:rsid w:val="0011760F"/>
    <w:rsid w:val="00117AA7"/>
    <w:rsid w:val="00117CD6"/>
    <w:rsid w:val="00117E7E"/>
    <w:rsid w:val="00117EFE"/>
    <w:rsid w:val="001202D4"/>
    <w:rsid w:val="00120709"/>
    <w:rsid w:val="00120741"/>
    <w:rsid w:val="00120D9A"/>
    <w:rsid w:val="00121304"/>
    <w:rsid w:val="001213BE"/>
    <w:rsid w:val="0012167E"/>
    <w:rsid w:val="001221F5"/>
    <w:rsid w:val="001224DD"/>
    <w:rsid w:val="00122A48"/>
    <w:rsid w:val="00122B1A"/>
    <w:rsid w:val="00122BF7"/>
    <w:rsid w:val="001236F0"/>
    <w:rsid w:val="00123E42"/>
    <w:rsid w:val="00123EE2"/>
    <w:rsid w:val="00123F50"/>
    <w:rsid w:val="001241C3"/>
    <w:rsid w:val="001242A1"/>
    <w:rsid w:val="001242D9"/>
    <w:rsid w:val="001244D4"/>
    <w:rsid w:val="0012479B"/>
    <w:rsid w:val="001248FC"/>
    <w:rsid w:val="001249AA"/>
    <w:rsid w:val="00124AA1"/>
    <w:rsid w:val="00124B94"/>
    <w:rsid w:val="00124E42"/>
    <w:rsid w:val="00124E98"/>
    <w:rsid w:val="00124EA0"/>
    <w:rsid w:val="00125026"/>
    <w:rsid w:val="001251DF"/>
    <w:rsid w:val="00125237"/>
    <w:rsid w:val="001256BA"/>
    <w:rsid w:val="0012589D"/>
    <w:rsid w:val="0012594F"/>
    <w:rsid w:val="001259E8"/>
    <w:rsid w:val="00125B26"/>
    <w:rsid w:val="001264E2"/>
    <w:rsid w:val="001266B0"/>
    <w:rsid w:val="00126A89"/>
    <w:rsid w:val="00126EFE"/>
    <w:rsid w:val="00127375"/>
    <w:rsid w:val="00127E4D"/>
    <w:rsid w:val="001300EA"/>
    <w:rsid w:val="00130109"/>
    <w:rsid w:val="001304FC"/>
    <w:rsid w:val="0013079C"/>
    <w:rsid w:val="00130987"/>
    <w:rsid w:val="00130BD1"/>
    <w:rsid w:val="00130D5C"/>
    <w:rsid w:val="00130E6B"/>
    <w:rsid w:val="0013105F"/>
    <w:rsid w:val="0013119F"/>
    <w:rsid w:val="001313CE"/>
    <w:rsid w:val="00131974"/>
    <w:rsid w:val="00131AC4"/>
    <w:rsid w:val="00131F26"/>
    <w:rsid w:val="00132415"/>
    <w:rsid w:val="001329EB"/>
    <w:rsid w:val="00132C03"/>
    <w:rsid w:val="00132F15"/>
    <w:rsid w:val="001333A8"/>
    <w:rsid w:val="0013380D"/>
    <w:rsid w:val="00133A1B"/>
    <w:rsid w:val="0013402F"/>
    <w:rsid w:val="0013424D"/>
    <w:rsid w:val="0013440E"/>
    <w:rsid w:val="00134671"/>
    <w:rsid w:val="00134B05"/>
    <w:rsid w:val="00134E34"/>
    <w:rsid w:val="00134E8C"/>
    <w:rsid w:val="00135285"/>
    <w:rsid w:val="0013544F"/>
    <w:rsid w:val="00135D39"/>
    <w:rsid w:val="00135DC8"/>
    <w:rsid w:val="0013677A"/>
    <w:rsid w:val="00137650"/>
    <w:rsid w:val="0013788F"/>
    <w:rsid w:val="00137B18"/>
    <w:rsid w:val="00137B72"/>
    <w:rsid w:val="00137B76"/>
    <w:rsid w:val="00137D06"/>
    <w:rsid w:val="00137EA6"/>
    <w:rsid w:val="0014003F"/>
    <w:rsid w:val="001401A5"/>
    <w:rsid w:val="00140352"/>
    <w:rsid w:val="00140396"/>
    <w:rsid w:val="00140762"/>
    <w:rsid w:val="0014089D"/>
    <w:rsid w:val="00140D70"/>
    <w:rsid w:val="00140DB5"/>
    <w:rsid w:val="00140EE6"/>
    <w:rsid w:val="00141177"/>
    <w:rsid w:val="001411CA"/>
    <w:rsid w:val="001415AA"/>
    <w:rsid w:val="0014182F"/>
    <w:rsid w:val="00141A39"/>
    <w:rsid w:val="00141A8A"/>
    <w:rsid w:val="00141D1C"/>
    <w:rsid w:val="00141FA1"/>
    <w:rsid w:val="00142674"/>
    <w:rsid w:val="001426F2"/>
    <w:rsid w:val="001428AD"/>
    <w:rsid w:val="00142F5E"/>
    <w:rsid w:val="00143AEA"/>
    <w:rsid w:val="00143DEA"/>
    <w:rsid w:val="0014406D"/>
    <w:rsid w:val="0014457C"/>
    <w:rsid w:val="0014492F"/>
    <w:rsid w:val="001449C1"/>
    <w:rsid w:val="00145563"/>
    <w:rsid w:val="00145D41"/>
    <w:rsid w:val="00145F70"/>
    <w:rsid w:val="00146602"/>
    <w:rsid w:val="001466B5"/>
    <w:rsid w:val="0014724F"/>
    <w:rsid w:val="00147695"/>
    <w:rsid w:val="00147791"/>
    <w:rsid w:val="00147FAB"/>
    <w:rsid w:val="001500BD"/>
    <w:rsid w:val="00150348"/>
    <w:rsid w:val="0015054A"/>
    <w:rsid w:val="00150692"/>
    <w:rsid w:val="00150BAB"/>
    <w:rsid w:val="00150BE7"/>
    <w:rsid w:val="00151459"/>
    <w:rsid w:val="001515D5"/>
    <w:rsid w:val="0015170E"/>
    <w:rsid w:val="001517BC"/>
    <w:rsid w:val="00152818"/>
    <w:rsid w:val="00152E46"/>
    <w:rsid w:val="00153128"/>
    <w:rsid w:val="001532E6"/>
    <w:rsid w:val="001535AB"/>
    <w:rsid w:val="001537AB"/>
    <w:rsid w:val="00153A4A"/>
    <w:rsid w:val="00153BC0"/>
    <w:rsid w:val="00153D78"/>
    <w:rsid w:val="00153EF3"/>
    <w:rsid w:val="0015422C"/>
    <w:rsid w:val="0015433F"/>
    <w:rsid w:val="001543D3"/>
    <w:rsid w:val="00154411"/>
    <w:rsid w:val="001545C7"/>
    <w:rsid w:val="00154B0D"/>
    <w:rsid w:val="00155728"/>
    <w:rsid w:val="001559CA"/>
    <w:rsid w:val="00155AB0"/>
    <w:rsid w:val="00155B15"/>
    <w:rsid w:val="00155C6F"/>
    <w:rsid w:val="00156381"/>
    <w:rsid w:val="00156452"/>
    <w:rsid w:val="0015683F"/>
    <w:rsid w:val="00156E69"/>
    <w:rsid w:val="001570FF"/>
    <w:rsid w:val="0015714F"/>
    <w:rsid w:val="00157223"/>
    <w:rsid w:val="001574C3"/>
    <w:rsid w:val="00157995"/>
    <w:rsid w:val="00157C9A"/>
    <w:rsid w:val="001601FA"/>
    <w:rsid w:val="0016071D"/>
    <w:rsid w:val="001611EB"/>
    <w:rsid w:val="0016134E"/>
    <w:rsid w:val="001613DB"/>
    <w:rsid w:val="001613E2"/>
    <w:rsid w:val="00161651"/>
    <w:rsid w:val="00161885"/>
    <w:rsid w:val="00161C75"/>
    <w:rsid w:val="001620E3"/>
    <w:rsid w:val="00162204"/>
    <w:rsid w:val="00162237"/>
    <w:rsid w:val="0016224E"/>
    <w:rsid w:val="00162358"/>
    <w:rsid w:val="00162405"/>
    <w:rsid w:val="00162D00"/>
    <w:rsid w:val="00162E03"/>
    <w:rsid w:val="00162F50"/>
    <w:rsid w:val="0016315C"/>
    <w:rsid w:val="00163238"/>
    <w:rsid w:val="00163521"/>
    <w:rsid w:val="0016357F"/>
    <w:rsid w:val="00163B06"/>
    <w:rsid w:val="00163F47"/>
    <w:rsid w:val="001641AE"/>
    <w:rsid w:val="00164318"/>
    <w:rsid w:val="00164334"/>
    <w:rsid w:val="00164431"/>
    <w:rsid w:val="00164C26"/>
    <w:rsid w:val="00164C2F"/>
    <w:rsid w:val="00165554"/>
    <w:rsid w:val="00165AB1"/>
    <w:rsid w:val="001664B7"/>
    <w:rsid w:val="0016657C"/>
    <w:rsid w:val="001668A7"/>
    <w:rsid w:val="00166C4E"/>
    <w:rsid w:val="00166DE0"/>
    <w:rsid w:val="00166ECC"/>
    <w:rsid w:val="001670E4"/>
    <w:rsid w:val="001674BB"/>
    <w:rsid w:val="0016770D"/>
    <w:rsid w:val="0017030F"/>
    <w:rsid w:val="00170691"/>
    <w:rsid w:val="00170FAB"/>
    <w:rsid w:val="0017159A"/>
    <w:rsid w:val="00171A1F"/>
    <w:rsid w:val="00171DB1"/>
    <w:rsid w:val="00171E4F"/>
    <w:rsid w:val="00171F07"/>
    <w:rsid w:val="00171FF3"/>
    <w:rsid w:val="00172190"/>
    <w:rsid w:val="0017224C"/>
    <w:rsid w:val="00172415"/>
    <w:rsid w:val="00172A27"/>
    <w:rsid w:val="00172A52"/>
    <w:rsid w:val="001734FB"/>
    <w:rsid w:val="001735E5"/>
    <w:rsid w:val="001738DA"/>
    <w:rsid w:val="001739B5"/>
    <w:rsid w:val="00173C74"/>
    <w:rsid w:val="00173D18"/>
    <w:rsid w:val="0017409F"/>
    <w:rsid w:val="00174842"/>
    <w:rsid w:val="00174B25"/>
    <w:rsid w:val="00174B8F"/>
    <w:rsid w:val="001750E8"/>
    <w:rsid w:val="001757CC"/>
    <w:rsid w:val="001758FE"/>
    <w:rsid w:val="001759D0"/>
    <w:rsid w:val="00175CC1"/>
    <w:rsid w:val="00175D70"/>
    <w:rsid w:val="00175FBF"/>
    <w:rsid w:val="0017610E"/>
    <w:rsid w:val="00176245"/>
    <w:rsid w:val="00176493"/>
    <w:rsid w:val="00176600"/>
    <w:rsid w:val="00176F98"/>
    <w:rsid w:val="0017755E"/>
    <w:rsid w:val="00177778"/>
    <w:rsid w:val="001777E4"/>
    <w:rsid w:val="001802D5"/>
    <w:rsid w:val="00180D58"/>
    <w:rsid w:val="00181268"/>
    <w:rsid w:val="00181351"/>
    <w:rsid w:val="001814C0"/>
    <w:rsid w:val="00181573"/>
    <w:rsid w:val="0018190E"/>
    <w:rsid w:val="00181D9D"/>
    <w:rsid w:val="001821B2"/>
    <w:rsid w:val="00182782"/>
    <w:rsid w:val="00182A9E"/>
    <w:rsid w:val="00182BB3"/>
    <w:rsid w:val="00183017"/>
    <w:rsid w:val="001835A9"/>
    <w:rsid w:val="00183642"/>
    <w:rsid w:val="00183653"/>
    <w:rsid w:val="00183937"/>
    <w:rsid w:val="00183948"/>
    <w:rsid w:val="00183D20"/>
    <w:rsid w:val="00183DDB"/>
    <w:rsid w:val="00184371"/>
    <w:rsid w:val="001847E9"/>
    <w:rsid w:val="00184890"/>
    <w:rsid w:val="00184D26"/>
    <w:rsid w:val="00184E30"/>
    <w:rsid w:val="001851BE"/>
    <w:rsid w:val="00185DE4"/>
    <w:rsid w:val="00185E7D"/>
    <w:rsid w:val="001863D0"/>
    <w:rsid w:val="001865FF"/>
    <w:rsid w:val="00186B91"/>
    <w:rsid w:val="00187066"/>
    <w:rsid w:val="001872DC"/>
    <w:rsid w:val="001873E3"/>
    <w:rsid w:val="00187B73"/>
    <w:rsid w:val="00187DE5"/>
    <w:rsid w:val="00187FEB"/>
    <w:rsid w:val="001900F4"/>
    <w:rsid w:val="00190234"/>
    <w:rsid w:val="00190798"/>
    <w:rsid w:val="00190F31"/>
    <w:rsid w:val="001911BE"/>
    <w:rsid w:val="001915EF"/>
    <w:rsid w:val="0019189E"/>
    <w:rsid w:val="00191D88"/>
    <w:rsid w:val="00192CAB"/>
    <w:rsid w:val="00192CB9"/>
    <w:rsid w:val="0019342F"/>
    <w:rsid w:val="001935F2"/>
    <w:rsid w:val="0019373C"/>
    <w:rsid w:val="001937DD"/>
    <w:rsid w:val="00193871"/>
    <w:rsid w:val="00193DC9"/>
    <w:rsid w:val="00194012"/>
    <w:rsid w:val="00194600"/>
    <w:rsid w:val="00194758"/>
    <w:rsid w:val="00194778"/>
    <w:rsid w:val="00194B27"/>
    <w:rsid w:val="00194F90"/>
    <w:rsid w:val="00195584"/>
    <w:rsid w:val="001956E7"/>
    <w:rsid w:val="00195DA5"/>
    <w:rsid w:val="0019656D"/>
    <w:rsid w:val="00196794"/>
    <w:rsid w:val="001968FA"/>
    <w:rsid w:val="00197009"/>
    <w:rsid w:val="0019741C"/>
    <w:rsid w:val="00197D73"/>
    <w:rsid w:val="00197D98"/>
    <w:rsid w:val="001A1134"/>
    <w:rsid w:val="001A1798"/>
    <w:rsid w:val="001A17B3"/>
    <w:rsid w:val="001A185C"/>
    <w:rsid w:val="001A1ECA"/>
    <w:rsid w:val="001A2009"/>
    <w:rsid w:val="001A26C9"/>
    <w:rsid w:val="001A27B2"/>
    <w:rsid w:val="001A313D"/>
    <w:rsid w:val="001A35EB"/>
    <w:rsid w:val="001A3AE1"/>
    <w:rsid w:val="001A3AE6"/>
    <w:rsid w:val="001A3C08"/>
    <w:rsid w:val="001A40CA"/>
    <w:rsid w:val="001A4716"/>
    <w:rsid w:val="001A4A01"/>
    <w:rsid w:val="001A4DAA"/>
    <w:rsid w:val="001A5145"/>
    <w:rsid w:val="001A51E3"/>
    <w:rsid w:val="001A56DB"/>
    <w:rsid w:val="001A5F2B"/>
    <w:rsid w:val="001A616E"/>
    <w:rsid w:val="001A656A"/>
    <w:rsid w:val="001A6836"/>
    <w:rsid w:val="001A686F"/>
    <w:rsid w:val="001A691E"/>
    <w:rsid w:val="001A70B8"/>
    <w:rsid w:val="001A71C8"/>
    <w:rsid w:val="001A780E"/>
    <w:rsid w:val="001A7BEF"/>
    <w:rsid w:val="001A7BF4"/>
    <w:rsid w:val="001A7D63"/>
    <w:rsid w:val="001B0051"/>
    <w:rsid w:val="001B04D6"/>
    <w:rsid w:val="001B0A1A"/>
    <w:rsid w:val="001B0AA4"/>
    <w:rsid w:val="001B0AC6"/>
    <w:rsid w:val="001B0D92"/>
    <w:rsid w:val="001B1387"/>
    <w:rsid w:val="001B13E0"/>
    <w:rsid w:val="001B14C1"/>
    <w:rsid w:val="001B14E2"/>
    <w:rsid w:val="001B1EA4"/>
    <w:rsid w:val="001B201E"/>
    <w:rsid w:val="001B2664"/>
    <w:rsid w:val="001B2759"/>
    <w:rsid w:val="001B284D"/>
    <w:rsid w:val="001B2A0C"/>
    <w:rsid w:val="001B2B5E"/>
    <w:rsid w:val="001B2FF3"/>
    <w:rsid w:val="001B35FA"/>
    <w:rsid w:val="001B3837"/>
    <w:rsid w:val="001B39C6"/>
    <w:rsid w:val="001B3E2E"/>
    <w:rsid w:val="001B4123"/>
    <w:rsid w:val="001B4420"/>
    <w:rsid w:val="001B473A"/>
    <w:rsid w:val="001B4FAB"/>
    <w:rsid w:val="001B516D"/>
    <w:rsid w:val="001B5554"/>
    <w:rsid w:val="001B5830"/>
    <w:rsid w:val="001B5BF5"/>
    <w:rsid w:val="001B5CD5"/>
    <w:rsid w:val="001B5E2B"/>
    <w:rsid w:val="001B608C"/>
    <w:rsid w:val="001B644E"/>
    <w:rsid w:val="001B6539"/>
    <w:rsid w:val="001B65ED"/>
    <w:rsid w:val="001B68C0"/>
    <w:rsid w:val="001B6B44"/>
    <w:rsid w:val="001B6BCC"/>
    <w:rsid w:val="001B6DE1"/>
    <w:rsid w:val="001B6F90"/>
    <w:rsid w:val="001B710D"/>
    <w:rsid w:val="001B7430"/>
    <w:rsid w:val="001B7DDA"/>
    <w:rsid w:val="001B7FBD"/>
    <w:rsid w:val="001B7FF9"/>
    <w:rsid w:val="001C0113"/>
    <w:rsid w:val="001C0140"/>
    <w:rsid w:val="001C0236"/>
    <w:rsid w:val="001C0460"/>
    <w:rsid w:val="001C0865"/>
    <w:rsid w:val="001C0C01"/>
    <w:rsid w:val="001C0DC9"/>
    <w:rsid w:val="001C0FDD"/>
    <w:rsid w:val="001C128D"/>
    <w:rsid w:val="001C1313"/>
    <w:rsid w:val="001C1556"/>
    <w:rsid w:val="001C1687"/>
    <w:rsid w:val="001C169D"/>
    <w:rsid w:val="001C18B8"/>
    <w:rsid w:val="001C1C61"/>
    <w:rsid w:val="001C1E98"/>
    <w:rsid w:val="001C2323"/>
    <w:rsid w:val="001C2350"/>
    <w:rsid w:val="001C2509"/>
    <w:rsid w:val="001C2906"/>
    <w:rsid w:val="001C2B04"/>
    <w:rsid w:val="001C30C5"/>
    <w:rsid w:val="001C34D2"/>
    <w:rsid w:val="001C35D0"/>
    <w:rsid w:val="001C3717"/>
    <w:rsid w:val="001C411A"/>
    <w:rsid w:val="001C42DB"/>
    <w:rsid w:val="001C4373"/>
    <w:rsid w:val="001C4FB6"/>
    <w:rsid w:val="001C51F3"/>
    <w:rsid w:val="001C5571"/>
    <w:rsid w:val="001C55A5"/>
    <w:rsid w:val="001C5A1A"/>
    <w:rsid w:val="001C5A60"/>
    <w:rsid w:val="001C62E8"/>
    <w:rsid w:val="001C7819"/>
    <w:rsid w:val="001C7D29"/>
    <w:rsid w:val="001C7F54"/>
    <w:rsid w:val="001C7F9B"/>
    <w:rsid w:val="001D026A"/>
    <w:rsid w:val="001D02CA"/>
    <w:rsid w:val="001D04A7"/>
    <w:rsid w:val="001D0A95"/>
    <w:rsid w:val="001D0BF1"/>
    <w:rsid w:val="001D0E3F"/>
    <w:rsid w:val="001D1833"/>
    <w:rsid w:val="001D1D7C"/>
    <w:rsid w:val="001D2563"/>
    <w:rsid w:val="001D25AD"/>
    <w:rsid w:val="001D28E3"/>
    <w:rsid w:val="001D2936"/>
    <w:rsid w:val="001D295B"/>
    <w:rsid w:val="001D2DAA"/>
    <w:rsid w:val="001D2E1D"/>
    <w:rsid w:val="001D30A0"/>
    <w:rsid w:val="001D316F"/>
    <w:rsid w:val="001D3597"/>
    <w:rsid w:val="001D4029"/>
    <w:rsid w:val="001D4A17"/>
    <w:rsid w:val="001D4A72"/>
    <w:rsid w:val="001D4BF8"/>
    <w:rsid w:val="001D4DB0"/>
    <w:rsid w:val="001D5407"/>
    <w:rsid w:val="001D5898"/>
    <w:rsid w:val="001D5FB4"/>
    <w:rsid w:val="001D64B2"/>
    <w:rsid w:val="001D662E"/>
    <w:rsid w:val="001D71B5"/>
    <w:rsid w:val="001D788D"/>
    <w:rsid w:val="001D7C3F"/>
    <w:rsid w:val="001D7D62"/>
    <w:rsid w:val="001E0365"/>
    <w:rsid w:val="001E0948"/>
    <w:rsid w:val="001E122D"/>
    <w:rsid w:val="001E12D9"/>
    <w:rsid w:val="001E1A24"/>
    <w:rsid w:val="001E1ECB"/>
    <w:rsid w:val="001E2166"/>
    <w:rsid w:val="001E2550"/>
    <w:rsid w:val="001E283C"/>
    <w:rsid w:val="001E288B"/>
    <w:rsid w:val="001E2A19"/>
    <w:rsid w:val="001E2A83"/>
    <w:rsid w:val="001E2DEA"/>
    <w:rsid w:val="001E3247"/>
    <w:rsid w:val="001E3BC3"/>
    <w:rsid w:val="001E3C03"/>
    <w:rsid w:val="001E4038"/>
    <w:rsid w:val="001E4D20"/>
    <w:rsid w:val="001E4DEF"/>
    <w:rsid w:val="001E5B68"/>
    <w:rsid w:val="001E5D35"/>
    <w:rsid w:val="001E61E2"/>
    <w:rsid w:val="001E64B5"/>
    <w:rsid w:val="001E76B5"/>
    <w:rsid w:val="001E77A6"/>
    <w:rsid w:val="001E78CC"/>
    <w:rsid w:val="001E7FD1"/>
    <w:rsid w:val="001F016B"/>
    <w:rsid w:val="001F0181"/>
    <w:rsid w:val="001F0F28"/>
    <w:rsid w:val="001F128A"/>
    <w:rsid w:val="001F128B"/>
    <w:rsid w:val="001F1348"/>
    <w:rsid w:val="001F13B3"/>
    <w:rsid w:val="001F1C9E"/>
    <w:rsid w:val="001F1DA5"/>
    <w:rsid w:val="001F1E4F"/>
    <w:rsid w:val="001F20FB"/>
    <w:rsid w:val="001F2A5E"/>
    <w:rsid w:val="001F2FC0"/>
    <w:rsid w:val="001F3614"/>
    <w:rsid w:val="001F3A26"/>
    <w:rsid w:val="001F3A63"/>
    <w:rsid w:val="001F3FA4"/>
    <w:rsid w:val="001F4031"/>
    <w:rsid w:val="001F4BC6"/>
    <w:rsid w:val="001F4F76"/>
    <w:rsid w:val="001F5107"/>
    <w:rsid w:val="001F5255"/>
    <w:rsid w:val="001F54E8"/>
    <w:rsid w:val="001F59B0"/>
    <w:rsid w:val="001F5D68"/>
    <w:rsid w:val="001F613F"/>
    <w:rsid w:val="001F664F"/>
    <w:rsid w:val="001F688E"/>
    <w:rsid w:val="001F697C"/>
    <w:rsid w:val="001F6FB3"/>
    <w:rsid w:val="001F702C"/>
    <w:rsid w:val="001F7669"/>
    <w:rsid w:val="001F7ADF"/>
    <w:rsid w:val="001F7BE1"/>
    <w:rsid w:val="001F7E50"/>
    <w:rsid w:val="00200170"/>
    <w:rsid w:val="00200186"/>
    <w:rsid w:val="002002C4"/>
    <w:rsid w:val="0020064D"/>
    <w:rsid w:val="002006E3"/>
    <w:rsid w:val="00200D02"/>
    <w:rsid w:val="00200E08"/>
    <w:rsid w:val="00201084"/>
    <w:rsid w:val="00201822"/>
    <w:rsid w:val="00201EAD"/>
    <w:rsid w:val="00201FD7"/>
    <w:rsid w:val="00202B58"/>
    <w:rsid w:val="00203113"/>
    <w:rsid w:val="00203A77"/>
    <w:rsid w:val="00204041"/>
    <w:rsid w:val="0020409A"/>
    <w:rsid w:val="002043AA"/>
    <w:rsid w:val="00204487"/>
    <w:rsid w:val="002048A3"/>
    <w:rsid w:val="00204A30"/>
    <w:rsid w:val="00205076"/>
    <w:rsid w:val="002054E1"/>
    <w:rsid w:val="00205559"/>
    <w:rsid w:val="0020560E"/>
    <w:rsid w:val="002057E0"/>
    <w:rsid w:val="002059E3"/>
    <w:rsid w:val="002063A9"/>
    <w:rsid w:val="0020645A"/>
    <w:rsid w:val="002064A0"/>
    <w:rsid w:val="00206545"/>
    <w:rsid w:val="00206D33"/>
    <w:rsid w:val="00206F00"/>
    <w:rsid w:val="00206F95"/>
    <w:rsid w:val="0020709F"/>
    <w:rsid w:val="0020770C"/>
    <w:rsid w:val="002079D4"/>
    <w:rsid w:val="00207F3F"/>
    <w:rsid w:val="00207FAD"/>
    <w:rsid w:val="002102B2"/>
    <w:rsid w:val="0021030B"/>
    <w:rsid w:val="002105AD"/>
    <w:rsid w:val="0021071A"/>
    <w:rsid w:val="00210F93"/>
    <w:rsid w:val="002110F9"/>
    <w:rsid w:val="00211458"/>
    <w:rsid w:val="0021147E"/>
    <w:rsid w:val="00211501"/>
    <w:rsid w:val="00211AFD"/>
    <w:rsid w:val="00211C4F"/>
    <w:rsid w:val="002120D3"/>
    <w:rsid w:val="0021265F"/>
    <w:rsid w:val="00212668"/>
    <w:rsid w:val="002128B5"/>
    <w:rsid w:val="00212B4E"/>
    <w:rsid w:val="00212F37"/>
    <w:rsid w:val="00212F70"/>
    <w:rsid w:val="002136D3"/>
    <w:rsid w:val="00213953"/>
    <w:rsid w:val="00213BA4"/>
    <w:rsid w:val="00213DB6"/>
    <w:rsid w:val="0021434E"/>
    <w:rsid w:val="00214462"/>
    <w:rsid w:val="002146BA"/>
    <w:rsid w:val="00214950"/>
    <w:rsid w:val="002149C8"/>
    <w:rsid w:val="00214BE6"/>
    <w:rsid w:val="002150EA"/>
    <w:rsid w:val="00215120"/>
    <w:rsid w:val="0021542A"/>
    <w:rsid w:val="00215548"/>
    <w:rsid w:val="00215647"/>
    <w:rsid w:val="00215BAB"/>
    <w:rsid w:val="002163DF"/>
    <w:rsid w:val="002164C7"/>
    <w:rsid w:val="00216710"/>
    <w:rsid w:val="00216982"/>
    <w:rsid w:val="00216BD7"/>
    <w:rsid w:val="00216C49"/>
    <w:rsid w:val="00216C4B"/>
    <w:rsid w:val="00216D64"/>
    <w:rsid w:val="0021702F"/>
    <w:rsid w:val="002171A4"/>
    <w:rsid w:val="002175CE"/>
    <w:rsid w:val="00217736"/>
    <w:rsid w:val="0021788A"/>
    <w:rsid w:val="00217B8E"/>
    <w:rsid w:val="00217E27"/>
    <w:rsid w:val="002208F4"/>
    <w:rsid w:val="00220F34"/>
    <w:rsid w:val="00220FAD"/>
    <w:rsid w:val="00221386"/>
    <w:rsid w:val="002213A6"/>
    <w:rsid w:val="002213FB"/>
    <w:rsid w:val="0022150B"/>
    <w:rsid w:val="00221899"/>
    <w:rsid w:val="002218DA"/>
    <w:rsid w:val="002221B1"/>
    <w:rsid w:val="002224FE"/>
    <w:rsid w:val="00222FEB"/>
    <w:rsid w:val="00223065"/>
    <w:rsid w:val="002230B4"/>
    <w:rsid w:val="00223419"/>
    <w:rsid w:val="00223498"/>
    <w:rsid w:val="00223A54"/>
    <w:rsid w:val="00223CC7"/>
    <w:rsid w:val="002240FA"/>
    <w:rsid w:val="0022437F"/>
    <w:rsid w:val="00224531"/>
    <w:rsid w:val="00224580"/>
    <w:rsid w:val="00224756"/>
    <w:rsid w:val="002248ED"/>
    <w:rsid w:val="00224A5C"/>
    <w:rsid w:val="0022555B"/>
    <w:rsid w:val="00225DEA"/>
    <w:rsid w:val="00225E3E"/>
    <w:rsid w:val="00225E6F"/>
    <w:rsid w:val="00226070"/>
    <w:rsid w:val="002268F9"/>
    <w:rsid w:val="002269CB"/>
    <w:rsid w:val="00226AC9"/>
    <w:rsid w:val="00226E97"/>
    <w:rsid w:val="00226ED4"/>
    <w:rsid w:val="00226F1B"/>
    <w:rsid w:val="002270EF"/>
    <w:rsid w:val="002271B9"/>
    <w:rsid w:val="00227869"/>
    <w:rsid w:val="00227A46"/>
    <w:rsid w:val="00227AE4"/>
    <w:rsid w:val="00230062"/>
    <w:rsid w:val="0023017C"/>
    <w:rsid w:val="00230550"/>
    <w:rsid w:val="002307F1"/>
    <w:rsid w:val="00230B83"/>
    <w:rsid w:val="00230BA1"/>
    <w:rsid w:val="00230C05"/>
    <w:rsid w:val="00230D6E"/>
    <w:rsid w:val="00230F85"/>
    <w:rsid w:val="0023102A"/>
    <w:rsid w:val="00231067"/>
    <w:rsid w:val="002314DC"/>
    <w:rsid w:val="00231DF0"/>
    <w:rsid w:val="002323F6"/>
    <w:rsid w:val="00232402"/>
    <w:rsid w:val="00232C45"/>
    <w:rsid w:val="002335BB"/>
    <w:rsid w:val="0023379A"/>
    <w:rsid w:val="00234007"/>
    <w:rsid w:val="00234125"/>
    <w:rsid w:val="00234767"/>
    <w:rsid w:val="00234FF9"/>
    <w:rsid w:val="002352D3"/>
    <w:rsid w:val="00235501"/>
    <w:rsid w:val="002361C2"/>
    <w:rsid w:val="0023676C"/>
    <w:rsid w:val="00236CC7"/>
    <w:rsid w:val="00236E2D"/>
    <w:rsid w:val="00236E31"/>
    <w:rsid w:val="002371FE"/>
    <w:rsid w:val="00237220"/>
    <w:rsid w:val="00237307"/>
    <w:rsid w:val="0023770F"/>
    <w:rsid w:val="00237A6E"/>
    <w:rsid w:val="00237A79"/>
    <w:rsid w:val="002400B9"/>
    <w:rsid w:val="0024018D"/>
    <w:rsid w:val="0024096D"/>
    <w:rsid w:val="00240EB0"/>
    <w:rsid w:val="0024157B"/>
    <w:rsid w:val="002415C5"/>
    <w:rsid w:val="002416D1"/>
    <w:rsid w:val="002417C4"/>
    <w:rsid w:val="002418FD"/>
    <w:rsid w:val="00241A3A"/>
    <w:rsid w:val="00242055"/>
    <w:rsid w:val="002424D5"/>
    <w:rsid w:val="00242736"/>
    <w:rsid w:val="0024277A"/>
    <w:rsid w:val="002432D4"/>
    <w:rsid w:val="002433AB"/>
    <w:rsid w:val="0024382B"/>
    <w:rsid w:val="00243903"/>
    <w:rsid w:val="002439DB"/>
    <w:rsid w:val="00243D67"/>
    <w:rsid w:val="00243E62"/>
    <w:rsid w:val="0024433B"/>
    <w:rsid w:val="002443DC"/>
    <w:rsid w:val="00244503"/>
    <w:rsid w:val="002453D6"/>
    <w:rsid w:val="00245529"/>
    <w:rsid w:val="002457E1"/>
    <w:rsid w:val="00245940"/>
    <w:rsid w:val="002459B2"/>
    <w:rsid w:val="00245DF3"/>
    <w:rsid w:val="0024614A"/>
    <w:rsid w:val="00246974"/>
    <w:rsid w:val="00246F1B"/>
    <w:rsid w:val="002470FA"/>
    <w:rsid w:val="0024722A"/>
    <w:rsid w:val="002472D3"/>
    <w:rsid w:val="00247343"/>
    <w:rsid w:val="00247357"/>
    <w:rsid w:val="0024756A"/>
    <w:rsid w:val="00247A0F"/>
    <w:rsid w:val="00247D76"/>
    <w:rsid w:val="00250138"/>
    <w:rsid w:val="00250466"/>
    <w:rsid w:val="00250488"/>
    <w:rsid w:val="0025060E"/>
    <w:rsid w:val="002509C9"/>
    <w:rsid w:val="002509CB"/>
    <w:rsid w:val="00250AB4"/>
    <w:rsid w:val="00250EAF"/>
    <w:rsid w:val="00250FC7"/>
    <w:rsid w:val="0025117B"/>
    <w:rsid w:val="00251990"/>
    <w:rsid w:val="00251AE6"/>
    <w:rsid w:val="00251C7C"/>
    <w:rsid w:val="00251DE1"/>
    <w:rsid w:val="00251F35"/>
    <w:rsid w:val="0025274F"/>
    <w:rsid w:val="00252AF7"/>
    <w:rsid w:val="00252B6F"/>
    <w:rsid w:val="00252C95"/>
    <w:rsid w:val="00252F27"/>
    <w:rsid w:val="002539EC"/>
    <w:rsid w:val="00253ED9"/>
    <w:rsid w:val="00253F3D"/>
    <w:rsid w:val="00254047"/>
    <w:rsid w:val="00254302"/>
    <w:rsid w:val="00254748"/>
    <w:rsid w:val="002549EA"/>
    <w:rsid w:val="00254A8C"/>
    <w:rsid w:val="00254C43"/>
    <w:rsid w:val="0025522D"/>
    <w:rsid w:val="002559EE"/>
    <w:rsid w:val="00255F2F"/>
    <w:rsid w:val="00255FF4"/>
    <w:rsid w:val="002560E0"/>
    <w:rsid w:val="002560E1"/>
    <w:rsid w:val="0025657C"/>
    <w:rsid w:val="00256866"/>
    <w:rsid w:val="00256CAC"/>
    <w:rsid w:val="00257332"/>
    <w:rsid w:val="002574AA"/>
    <w:rsid w:val="00257AF9"/>
    <w:rsid w:val="0026001E"/>
    <w:rsid w:val="002601D7"/>
    <w:rsid w:val="00260301"/>
    <w:rsid w:val="00260693"/>
    <w:rsid w:val="002607C7"/>
    <w:rsid w:val="002608AC"/>
    <w:rsid w:val="00260A1B"/>
    <w:rsid w:val="00260AB2"/>
    <w:rsid w:val="00260BEB"/>
    <w:rsid w:val="00260D5E"/>
    <w:rsid w:val="00260F92"/>
    <w:rsid w:val="002610C4"/>
    <w:rsid w:val="00261405"/>
    <w:rsid w:val="002618E5"/>
    <w:rsid w:val="00261993"/>
    <w:rsid w:val="00261E17"/>
    <w:rsid w:val="00262862"/>
    <w:rsid w:val="00262B7A"/>
    <w:rsid w:val="002631C2"/>
    <w:rsid w:val="0026339E"/>
    <w:rsid w:val="00263AFF"/>
    <w:rsid w:val="00263C71"/>
    <w:rsid w:val="00263E0B"/>
    <w:rsid w:val="00264DFE"/>
    <w:rsid w:val="00264E69"/>
    <w:rsid w:val="00265058"/>
    <w:rsid w:val="002655E9"/>
    <w:rsid w:val="00265988"/>
    <w:rsid w:val="00265A90"/>
    <w:rsid w:val="002662DB"/>
    <w:rsid w:val="002664CE"/>
    <w:rsid w:val="002677CD"/>
    <w:rsid w:val="00267858"/>
    <w:rsid w:val="002679F6"/>
    <w:rsid w:val="00267C8D"/>
    <w:rsid w:val="00267DC1"/>
    <w:rsid w:val="00267F0D"/>
    <w:rsid w:val="0027037E"/>
    <w:rsid w:val="00270477"/>
    <w:rsid w:val="002706B1"/>
    <w:rsid w:val="002706F4"/>
    <w:rsid w:val="0027086F"/>
    <w:rsid w:val="00270A22"/>
    <w:rsid w:val="0027111D"/>
    <w:rsid w:val="00271317"/>
    <w:rsid w:val="0027151B"/>
    <w:rsid w:val="00271AE3"/>
    <w:rsid w:val="00271E02"/>
    <w:rsid w:val="00271EE9"/>
    <w:rsid w:val="00272189"/>
    <w:rsid w:val="002730D8"/>
    <w:rsid w:val="00273110"/>
    <w:rsid w:val="00273166"/>
    <w:rsid w:val="0027367F"/>
    <w:rsid w:val="002736C1"/>
    <w:rsid w:val="00273B19"/>
    <w:rsid w:val="00274113"/>
    <w:rsid w:val="00274B30"/>
    <w:rsid w:val="00274D22"/>
    <w:rsid w:val="00275151"/>
    <w:rsid w:val="00275288"/>
    <w:rsid w:val="002755D1"/>
    <w:rsid w:val="0027577D"/>
    <w:rsid w:val="0027593E"/>
    <w:rsid w:val="00275D10"/>
    <w:rsid w:val="00275E07"/>
    <w:rsid w:val="00275E86"/>
    <w:rsid w:val="00276260"/>
    <w:rsid w:val="002764DD"/>
    <w:rsid w:val="00276A8A"/>
    <w:rsid w:val="00276C46"/>
    <w:rsid w:val="002771D3"/>
    <w:rsid w:val="002771E7"/>
    <w:rsid w:val="002777D6"/>
    <w:rsid w:val="0027783A"/>
    <w:rsid w:val="00277A8E"/>
    <w:rsid w:val="00277B1D"/>
    <w:rsid w:val="00277BB8"/>
    <w:rsid w:val="00277C58"/>
    <w:rsid w:val="002800A2"/>
    <w:rsid w:val="00280A82"/>
    <w:rsid w:val="00280CB7"/>
    <w:rsid w:val="0028142F"/>
    <w:rsid w:val="0028143F"/>
    <w:rsid w:val="002814AA"/>
    <w:rsid w:val="0028157F"/>
    <w:rsid w:val="00281B8A"/>
    <w:rsid w:val="00281DB9"/>
    <w:rsid w:val="0028240B"/>
    <w:rsid w:val="00282501"/>
    <w:rsid w:val="00282887"/>
    <w:rsid w:val="00282949"/>
    <w:rsid w:val="00282A3B"/>
    <w:rsid w:val="00283056"/>
    <w:rsid w:val="002830EB"/>
    <w:rsid w:val="0028341F"/>
    <w:rsid w:val="00283AF3"/>
    <w:rsid w:val="00283EE1"/>
    <w:rsid w:val="0028459F"/>
    <w:rsid w:val="00284629"/>
    <w:rsid w:val="0028485C"/>
    <w:rsid w:val="00284867"/>
    <w:rsid w:val="00284D1B"/>
    <w:rsid w:val="00285085"/>
    <w:rsid w:val="002850F5"/>
    <w:rsid w:val="0028519E"/>
    <w:rsid w:val="0028575F"/>
    <w:rsid w:val="0028576C"/>
    <w:rsid w:val="00285BCB"/>
    <w:rsid w:val="00285BFB"/>
    <w:rsid w:val="002861E4"/>
    <w:rsid w:val="00286957"/>
    <w:rsid w:val="00286F99"/>
    <w:rsid w:val="00287163"/>
    <w:rsid w:val="002871CE"/>
    <w:rsid w:val="002873ED"/>
    <w:rsid w:val="00287941"/>
    <w:rsid w:val="00287B55"/>
    <w:rsid w:val="00287C07"/>
    <w:rsid w:val="00287D4A"/>
    <w:rsid w:val="00287FDA"/>
    <w:rsid w:val="00290185"/>
    <w:rsid w:val="00290659"/>
    <w:rsid w:val="00290786"/>
    <w:rsid w:val="00290B85"/>
    <w:rsid w:val="00290E6D"/>
    <w:rsid w:val="002911B8"/>
    <w:rsid w:val="00291A72"/>
    <w:rsid w:val="00291BDA"/>
    <w:rsid w:val="00292185"/>
    <w:rsid w:val="0029230B"/>
    <w:rsid w:val="002927BA"/>
    <w:rsid w:val="00292BED"/>
    <w:rsid w:val="00292C0C"/>
    <w:rsid w:val="00293188"/>
    <w:rsid w:val="0029333F"/>
    <w:rsid w:val="00293432"/>
    <w:rsid w:val="002935C4"/>
    <w:rsid w:val="00293B61"/>
    <w:rsid w:val="00293BD2"/>
    <w:rsid w:val="00293D06"/>
    <w:rsid w:val="00294203"/>
    <w:rsid w:val="00294567"/>
    <w:rsid w:val="0029461B"/>
    <w:rsid w:val="0029482E"/>
    <w:rsid w:val="00294F12"/>
    <w:rsid w:val="002952C4"/>
    <w:rsid w:val="00295355"/>
    <w:rsid w:val="002955E0"/>
    <w:rsid w:val="0029573E"/>
    <w:rsid w:val="002958A9"/>
    <w:rsid w:val="002958CB"/>
    <w:rsid w:val="00295B18"/>
    <w:rsid w:val="00295DF5"/>
    <w:rsid w:val="00295E28"/>
    <w:rsid w:val="00295F54"/>
    <w:rsid w:val="0029604B"/>
    <w:rsid w:val="002966F0"/>
    <w:rsid w:val="00296707"/>
    <w:rsid w:val="002968C4"/>
    <w:rsid w:val="00296BAB"/>
    <w:rsid w:val="00296EF5"/>
    <w:rsid w:val="00297121"/>
    <w:rsid w:val="0029714C"/>
    <w:rsid w:val="002974DB"/>
    <w:rsid w:val="00297988"/>
    <w:rsid w:val="002979F4"/>
    <w:rsid w:val="00297B17"/>
    <w:rsid w:val="00297C04"/>
    <w:rsid w:val="002A0302"/>
    <w:rsid w:val="002A0628"/>
    <w:rsid w:val="002A06BC"/>
    <w:rsid w:val="002A082F"/>
    <w:rsid w:val="002A0B3F"/>
    <w:rsid w:val="002A0F5A"/>
    <w:rsid w:val="002A1069"/>
    <w:rsid w:val="002A1157"/>
    <w:rsid w:val="002A1180"/>
    <w:rsid w:val="002A1F7B"/>
    <w:rsid w:val="002A2775"/>
    <w:rsid w:val="002A2781"/>
    <w:rsid w:val="002A283A"/>
    <w:rsid w:val="002A2BD1"/>
    <w:rsid w:val="002A356B"/>
    <w:rsid w:val="002A37FE"/>
    <w:rsid w:val="002A3AF3"/>
    <w:rsid w:val="002A3BD1"/>
    <w:rsid w:val="002A3CF3"/>
    <w:rsid w:val="002A3FFD"/>
    <w:rsid w:val="002A4374"/>
    <w:rsid w:val="002A4419"/>
    <w:rsid w:val="002A456E"/>
    <w:rsid w:val="002A45FA"/>
    <w:rsid w:val="002A48FC"/>
    <w:rsid w:val="002A4908"/>
    <w:rsid w:val="002A502B"/>
    <w:rsid w:val="002A50FB"/>
    <w:rsid w:val="002A5B18"/>
    <w:rsid w:val="002A617D"/>
    <w:rsid w:val="002A6475"/>
    <w:rsid w:val="002A6EB7"/>
    <w:rsid w:val="002A6FD1"/>
    <w:rsid w:val="002A75D2"/>
    <w:rsid w:val="002A764A"/>
    <w:rsid w:val="002A7689"/>
    <w:rsid w:val="002A76B5"/>
    <w:rsid w:val="002A76B6"/>
    <w:rsid w:val="002A7E3F"/>
    <w:rsid w:val="002A7E87"/>
    <w:rsid w:val="002B0313"/>
    <w:rsid w:val="002B04A3"/>
    <w:rsid w:val="002B06AB"/>
    <w:rsid w:val="002B0B2E"/>
    <w:rsid w:val="002B0C13"/>
    <w:rsid w:val="002B0DFE"/>
    <w:rsid w:val="002B1504"/>
    <w:rsid w:val="002B1A96"/>
    <w:rsid w:val="002B1AEE"/>
    <w:rsid w:val="002B1CDD"/>
    <w:rsid w:val="002B1D7E"/>
    <w:rsid w:val="002B1DBE"/>
    <w:rsid w:val="002B1F2C"/>
    <w:rsid w:val="002B2369"/>
    <w:rsid w:val="002B2484"/>
    <w:rsid w:val="002B256B"/>
    <w:rsid w:val="002B256E"/>
    <w:rsid w:val="002B2973"/>
    <w:rsid w:val="002B2BFA"/>
    <w:rsid w:val="002B2E50"/>
    <w:rsid w:val="002B2EE0"/>
    <w:rsid w:val="002B2FBE"/>
    <w:rsid w:val="002B34AD"/>
    <w:rsid w:val="002B3556"/>
    <w:rsid w:val="002B35C3"/>
    <w:rsid w:val="002B3ACD"/>
    <w:rsid w:val="002B3B41"/>
    <w:rsid w:val="002B3C5C"/>
    <w:rsid w:val="002B4434"/>
    <w:rsid w:val="002B44C0"/>
    <w:rsid w:val="002B4658"/>
    <w:rsid w:val="002B48ED"/>
    <w:rsid w:val="002B49B9"/>
    <w:rsid w:val="002B4A8C"/>
    <w:rsid w:val="002B4A93"/>
    <w:rsid w:val="002B4FC9"/>
    <w:rsid w:val="002B51C8"/>
    <w:rsid w:val="002B541F"/>
    <w:rsid w:val="002B5649"/>
    <w:rsid w:val="002B5C6B"/>
    <w:rsid w:val="002B5D40"/>
    <w:rsid w:val="002B5FF3"/>
    <w:rsid w:val="002B64D4"/>
    <w:rsid w:val="002B6A77"/>
    <w:rsid w:val="002B6C97"/>
    <w:rsid w:val="002B6E4F"/>
    <w:rsid w:val="002B729E"/>
    <w:rsid w:val="002B72A7"/>
    <w:rsid w:val="002B7375"/>
    <w:rsid w:val="002B76F2"/>
    <w:rsid w:val="002B7819"/>
    <w:rsid w:val="002B7D33"/>
    <w:rsid w:val="002C0A3F"/>
    <w:rsid w:val="002C0D82"/>
    <w:rsid w:val="002C0DD9"/>
    <w:rsid w:val="002C0E01"/>
    <w:rsid w:val="002C1666"/>
    <w:rsid w:val="002C17F7"/>
    <w:rsid w:val="002C1824"/>
    <w:rsid w:val="002C1856"/>
    <w:rsid w:val="002C19D5"/>
    <w:rsid w:val="002C1B43"/>
    <w:rsid w:val="002C1FD7"/>
    <w:rsid w:val="002C204E"/>
    <w:rsid w:val="002C20F2"/>
    <w:rsid w:val="002C2199"/>
    <w:rsid w:val="002C25E4"/>
    <w:rsid w:val="002C2D56"/>
    <w:rsid w:val="002C2FEA"/>
    <w:rsid w:val="002C303E"/>
    <w:rsid w:val="002C30FA"/>
    <w:rsid w:val="002C37B8"/>
    <w:rsid w:val="002C393A"/>
    <w:rsid w:val="002C3BB8"/>
    <w:rsid w:val="002C3C8A"/>
    <w:rsid w:val="002C44B3"/>
    <w:rsid w:val="002C4710"/>
    <w:rsid w:val="002C49AA"/>
    <w:rsid w:val="002C4ADB"/>
    <w:rsid w:val="002C4D99"/>
    <w:rsid w:val="002C5517"/>
    <w:rsid w:val="002C5A11"/>
    <w:rsid w:val="002C5B4D"/>
    <w:rsid w:val="002C5DF9"/>
    <w:rsid w:val="002C62F5"/>
    <w:rsid w:val="002C65D7"/>
    <w:rsid w:val="002C6F60"/>
    <w:rsid w:val="002C716E"/>
    <w:rsid w:val="002C7179"/>
    <w:rsid w:val="002C7569"/>
    <w:rsid w:val="002C7B88"/>
    <w:rsid w:val="002D0839"/>
    <w:rsid w:val="002D0A79"/>
    <w:rsid w:val="002D10D4"/>
    <w:rsid w:val="002D1324"/>
    <w:rsid w:val="002D153D"/>
    <w:rsid w:val="002D1F87"/>
    <w:rsid w:val="002D1FB1"/>
    <w:rsid w:val="002D32CC"/>
    <w:rsid w:val="002D348E"/>
    <w:rsid w:val="002D34BD"/>
    <w:rsid w:val="002D3B3B"/>
    <w:rsid w:val="002D401B"/>
    <w:rsid w:val="002D41B7"/>
    <w:rsid w:val="002D41F0"/>
    <w:rsid w:val="002D448E"/>
    <w:rsid w:val="002D476C"/>
    <w:rsid w:val="002D4961"/>
    <w:rsid w:val="002D4991"/>
    <w:rsid w:val="002D4ADC"/>
    <w:rsid w:val="002D4D53"/>
    <w:rsid w:val="002D4F6F"/>
    <w:rsid w:val="002D4F7D"/>
    <w:rsid w:val="002D550A"/>
    <w:rsid w:val="002D57C1"/>
    <w:rsid w:val="002D5A0D"/>
    <w:rsid w:val="002D5BB5"/>
    <w:rsid w:val="002D66B1"/>
    <w:rsid w:val="002D6C2D"/>
    <w:rsid w:val="002D6EBE"/>
    <w:rsid w:val="002D71B9"/>
    <w:rsid w:val="002D71BB"/>
    <w:rsid w:val="002D7220"/>
    <w:rsid w:val="002D7989"/>
    <w:rsid w:val="002E047D"/>
    <w:rsid w:val="002E04DD"/>
    <w:rsid w:val="002E0AF4"/>
    <w:rsid w:val="002E0B43"/>
    <w:rsid w:val="002E1485"/>
    <w:rsid w:val="002E154E"/>
    <w:rsid w:val="002E1945"/>
    <w:rsid w:val="002E1BA7"/>
    <w:rsid w:val="002E1EC6"/>
    <w:rsid w:val="002E1FB0"/>
    <w:rsid w:val="002E2393"/>
    <w:rsid w:val="002E251A"/>
    <w:rsid w:val="002E26A8"/>
    <w:rsid w:val="002E27BD"/>
    <w:rsid w:val="002E33B1"/>
    <w:rsid w:val="002E3561"/>
    <w:rsid w:val="002E356A"/>
    <w:rsid w:val="002E35FF"/>
    <w:rsid w:val="002E3721"/>
    <w:rsid w:val="002E377E"/>
    <w:rsid w:val="002E3981"/>
    <w:rsid w:val="002E436C"/>
    <w:rsid w:val="002E469F"/>
    <w:rsid w:val="002E4AE8"/>
    <w:rsid w:val="002E52C8"/>
    <w:rsid w:val="002E55F1"/>
    <w:rsid w:val="002E5AB1"/>
    <w:rsid w:val="002E5E92"/>
    <w:rsid w:val="002E5F53"/>
    <w:rsid w:val="002E612B"/>
    <w:rsid w:val="002E63CC"/>
    <w:rsid w:val="002E673D"/>
    <w:rsid w:val="002E6B24"/>
    <w:rsid w:val="002E6BC8"/>
    <w:rsid w:val="002E6D03"/>
    <w:rsid w:val="002E7648"/>
    <w:rsid w:val="002E77A8"/>
    <w:rsid w:val="002E7AAB"/>
    <w:rsid w:val="002E7E63"/>
    <w:rsid w:val="002F02AD"/>
    <w:rsid w:val="002F055D"/>
    <w:rsid w:val="002F0669"/>
    <w:rsid w:val="002F0C17"/>
    <w:rsid w:val="002F0FC4"/>
    <w:rsid w:val="002F10AD"/>
    <w:rsid w:val="002F12E2"/>
    <w:rsid w:val="002F138A"/>
    <w:rsid w:val="002F15B3"/>
    <w:rsid w:val="002F1881"/>
    <w:rsid w:val="002F189D"/>
    <w:rsid w:val="002F1BF0"/>
    <w:rsid w:val="002F1F7C"/>
    <w:rsid w:val="002F2641"/>
    <w:rsid w:val="002F2ACE"/>
    <w:rsid w:val="002F2BE0"/>
    <w:rsid w:val="002F2D89"/>
    <w:rsid w:val="002F2DAC"/>
    <w:rsid w:val="002F2DC7"/>
    <w:rsid w:val="002F2FA9"/>
    <w:rsid w:val="002F3178"/>
    <w:rsid w:val="002F3189"/>
    <w:rsid w:val="002F35AE"/>
    <w:rsid w:val="002F3612"/>
    <w:rsid w:val="002F3A25"/>
    <w:rsid w:val="002F3AC2"/>
    <w:rsid w:val="002F3FFC"/>
    <w:rsid w:val="002F4077"/>
    <w:rsid w:val="002F41B0"/>
    <w:rsid w:val="002F44DE"/>
    <w:rsid w:val="002F458C"/>
    <w:rsid w:val="002F4AE3"/>
    <w:rsid w:val="002F4D5A"/>
    <w:rsid w:val="002F4DF5"/>
    <w:rsid w:val="002F5286"/>
    <w:rsid w:val="002F58B0"/>
    <w:rsid w:val="002F5AA6"/>
    <w:rsid w:val="002F5DEC"/>
    <w:rsid w:val="002F5E05"/>
    <w:rsid w:val="002F5FD5"/>
    <w:rsid w:val="002F63AE"/>
    <w:rsid w:val="002F6823"/>
    <w:rsid w:val="002F6943"/>
    <w:rsid w:val="002F6991"/>
    <w:rsid w:val="002F6CFC"/>
    <w:rsid w:val="002F6F2E"/>
    <w:rsid w:val="002F6F67"/>
    <w:rsid w:val="002F7195"/>
    <w:rsid w:val="002F731A"/>
    <w:rsid w:val="002F7863"/>
    <w:rsid w:val="002F792A"/>
    <w:rsid w:val="002F79E7"/>
    <w:rsid w:val="002F7C15"/>
    <w:rsid w:val="002F7F3F"/>
    <w:rsid w:val="003004F1"/>
    <w:rsid w:val="003006F2"/>
    <w:rsid w:val="00300990"/>
    <w:rsid w:val="00300AE0"/>
    <w:rsid w:val="00300B20"/>
    <w:rsid w:val="00300D6E"/>
    <w:rsid w:val="00301198"/>
    <w:rsid w:val="00301294"/>
    <w:rsid w:val="0030141C"/>
    <w:rsid w:val="0030201E"/>
    <w:rsid w:val="0030224B"/>
    <w:rsid w:val="0030252B"/>
    <w:rsid w:val="003025F8"/>
    <w:rsid w:val="0030282D"/>
    <w:rsid w:val="00302924"/>
    <w:rsid w:val="00302BEE"/>
    <w:rsid w:val="00303616"/>
    <w:rsid w:val="00303866"/>
    <w:rsid w:val="003038C4"/>
    <w:rsid w:val="00303D53"/>
    <w:rsid w:val="00303F9D"/>
    <w:rsid w:val="003045C8"/>
    <w:rsid w:val="00304874"/>
    <w:rsid w:val="0030595F"/>
    <w:rsid w:val="00305A60"/>
    <w:rsid w:val="00305C04"/>
    <w:rsid w:val="00305C10"/>
    <w:rsid w:val="00305FC4"/>
    <w:rsid w:val="00306179"/>
    <w:rsid w:val="003063DE"/>
    <w:rsid w:val="003067E4"/>
    <w:rsid w:val="00307018"/>
    <w:rsid w:val="00307573"/>
    <w:rsid w:val="00307A95"/>
    <w:rsid w:val="00307AEA"/>
    <w:rsid w:val="00307D44"/>
    <w:rsid w:val="00307EA4"/>
    <w:rsid w:val="00307F0C"/>
    <w:rsid w:val="0031058C"/>
    <w:rsid w:val="003106F9"/>
    <w:rsid w:val="00310783"/>
    <w:rsid w:val="00310C5C"/>
    <w:rsid w:val="00310D14"/>
    <w:rsid w:val="00310D6E"/>
    <w:rsid w:val="00310E7F"/>
    <w:rsid w:val="003111D7"/>
    <w:rsid w:val="0031129E"/>
    <w:rsid w:val="003114EE"/>
    <w:rsid w:val="003117F1"/>
    <w:rsid w:val="00311905"/>
    <w:rsid w:val="0031195C"/>
    <w:rsid w:val="00311A5F"/>
    <w:rsid w:val="00311CFB"/>
    <w:rsid w:val="00312581"/>
    <w:rsid w:val="00312D1B"/>
    <w:rsid w:val="00313281"/>
    <w:rsid w:val="00313706"/>
    <w:rsid w:val="003137DC"/>
    <w:rsid w:val="00313832"/>
    <w:rsid w:val="00313E35"/>
    <w:rsid w:val="00314019"/>
    <w:rsid w:val="0031471F"/>
    <w:rsid w:val="00314A1D"/>
    <w:rsid w:val="00314E4B"/>
    <w:rsid w:val="00315139"/>
    <w:rsid w:val="0031544E"/>
    <w:rsid w:val="003154AE"/>
    <w:rsid w:val="0031564B"/>
    <w:rsid w:val="00315C4A"/>
    <w:rsid w:val="003163A7"/>
    <w:rsid w:val="003164D3"/>
    <w:rsid w:val="003164DA"/>
    <w:rsid w:val="00316564"/>
    <w:rsid w:val="00316C75"/>
    <w:rsid w:val="00316F21"/>
    <w:rsid w:val="003171D0"/>
    <w:rsid w:val="0031752E"/>
    <w:rsid w:val="003177ED"/>
    <w:rsid w:val="00317E6D"/>
    <w:rsid w:val="0032007D"/>
    <w:rsid w:val="0032042A"/>
    <w:rsid w:val="0032057B"/>
    <w:rsid w:val="003205B9"/>
    <w:rsid w:val="00320B2B"/>
    <w:rsid w:val="00321CD4"/>
    <w:rsid w:val="003222A5"/>
    <w:rsid w:val="003227E9"/>
    <w:rsid w:val="003227FA"/>
    <w:rsid w:val="00322DE4"/>
    <w:rsid w:val="00322E7E"/>
    <w:rsid w:val="003231EE"/>
    <w:rsid w:val="003238DE"/>
    <w:rsid w:val="00323B43"/>
    <w:rsid w:val="00323B65"/>
    <w:rsid w:val="00323D63"/>
    <w:rsid w:val="00323E4B"/>
    <w:rsid w:val="00324331"/>
    <w:rsid w:val="003245F0"/>
    <w:rsid w:val="00324756"/>
    <w:rsid w:val="003249B0"/>
    <w:rsid w:val="00324DDA"/>
    <w:rsid w:val="003252A7"/>
    <w:rsid w:val="0032570B"/>
    <w:rsid w:val="003257CD"/>
    <w:rsid w:val="00325AA8"/>
    <w:rsid w:val="00325AB6"/>
    <w:rsid w:val="00325B0E"/>
    <w:rsid w:val="00325C58"/>
    <w:rsid w:val="00325D3D"/>
    <w:rsid w:val="00326BCB"/>
    <w:rsid w:val="00326E9F"/>
    <w:rsid w:val="0032721C"/>
    <w:rsid w:val="00327308"/>
    <w:rsid w:val="00327426"/>
    <w:rsid w:val="00327435"/>
    <w:rsid w:val="00327453"/>
    <w:rsid w:val="00327E21"/>
    <w:rsid w:val="003300C7"/>
    <w:rsid w:val="00330265"/>
    <w:rsid w:val="0033060D"/>
    <w:rsid w:val="00330F81"/>
    <w:rsid w:val="0033108A"/>
    <w:rsid w:val="003314AE"/>
    <w:rsid w:val="003315E2"/>
    <w:rsid w:val="00331B28"/>
    <w:rsid w:val="00331BDB"/>
    <w:rsid w:val="00331D64"/>
    <w:rsid w:val="00332525"/>
    <w:rsid w:val="0033272F"/>
    <w:rsid w:val="00332799"/>
    <w:rsid w:val="00333650"/>
    <w:rsid w:val="00333735"/>
    <w:rsid w:val="0033388A"/>
    <w:rsid w:val="003339B5"/>
    <w:rsid w:val="00333BA0"/>
    <w:rsid w:val="00333E20"/>
    <w:rsid w:val="003340E2"/>
    <w:rsid w:val="00335050"/>
    <w:rsid w:val="003353A8"/>
    <w:rsid w:val="003353CB"/>
    <w:rsid w:val="003357D8"/>
    <w:rsid w:val="00335D51"/>
    <w:rsid w:val="00336305"/>
    <w:rsid w:val="00336541"/>
    <w:rsid w:val="00336895"/>
    <w:rsid w:val="00336A40"/>
    <w:rsid w:val="00336D98"/>
    <w:rsid w:val="00336DCF"/>
    <w:rsid w:val="00337371"/>
    <w:rsid w:val="0033738D"/>
    <w:rsid w:val="00337591"/>
    <w:rsid w:val="00337678"/>
    <w:rsid w:val="003376BA"/>
    <w:rsid w:val="003377E2"/>
    <w:rsid w:val="0034085F"/>
    <w:rsid w:val="003410D9"/>
    <w:rsid w:val="00341822"/>
    <w:rsid w:val="003418C1"/>
    <w:rsid w:val="00341D5B"/>
    <w:rsid w:val="00341D7F"/>
    <w:rsid w:val="0034290C"/>
    <w:rsid w:val="00342A2C"/>
    <w:rsid w:val="00342AF0"/>
    <w:rsid w:val="00342FA1"/>
    <w:rsid w:val="003433CF"/>
    <w:rsid w:val="0034355A"/>
    <w:rsid w:val="00343595"/>
    <w:rsid w:val="003435D4"/>
    <w:rsid w:val="00343818"/>
    <w:rsid w:val="00343826"/>
    <w:rsid w:val="00343E12"/>
    <w:rsid w:val="00343E81"/>
    <w:rsid w:val="00344321"/>
    <w:rsid w:val="003444B8"/>
    <w:rsid w:val="0034463C"/>
    <w:rsid w:val="0034466B"/>
    <w:rsid w:val="00344E0B"/>
    <w:rsid w:val="00344E20"/>
    <w:rsid w:val="003450F6"/>
    <w:rsid w:val="0034512A"/>
    <w:rsid w:val="00345188"/>
    <w:rsid w:val="003456B1"/>
    <w:rsid w:val="0034571B"/>
    <w:rsid w:val="00346123"/>
    <w:rsid w:val="0034612D"/>
    <w:rsid w:val="0034645D"/>
    <w:rsid w:val="003465CE"/>
    <w:rsid w:val="003465E2"/>
    <w:rsid w:val="00346612"/>
    <w:rsid w:val="003467EC"/>
    <w:rsid w:val="0034694F"/>
    <w:rsid w:val="00346A34"/>
    <w:rsid w:val="00346D91"/>
    <w:rsid w:val="00346DCF"/>
    <w:rsid w:val="00346E0B"/>
    <w:rsid w:val="00346E9B"/>
    <w:rsid w:val="003471E2"/>
    <w:rsid w:val="0034726D"/>
    <w:rsid w:val="00347A05"/>
    <w:rsid w:val="00347AB1"/>
    <w:rsid w:val="00347D26"/>
    <w:rsid w:val="00347F29"/>
    <w:rsid w:val="0035020B"/>
    <w:rsid w:val="0035029B"/>
    <w:rsid w:val="00350390"/>
    <w:rsid w:val="0035043E"/>
    <w:rsid w:val="00350A61"/>
    <w:rsid w:val="00350B2D"/>
    <w:rsid w:val="00350BB6"/>
    <w:rsid w:val="003514B0"/>
    <w:rsid w:val="00351550"/>
    <w:rsid w:val="003516D6"/>
    <w:rsid w:val="0035176A"/>
    <w:rsid w:val="00352358"/>
    <w:rsid w:val="00352434"/>
    <w:rsid w:val="00352582"/>
    <w:rsid w:val="003525D8"/>
    <w:rsid w:val="003526FD"/>
    <w:rsid w:val="00352B36"/>
    <w:rsid w:val="00352F9C"/>
    <w:rsid w:val="0035326C"/>
    <w:rsid w:val="003532E4"/>
    <w:rsid w:val="00353360"/>
    <w:rsid w:val="00353954"/>
    <w:rsid w:val="00353A8C"/>
    <w:rsid w:val="00353F41"/>
    <w:rsid w:val="003544C6"/>
    <w:rsid w:val="003549EB"/>
    <w:rsid w:val="00354F6C"/>
    <w:rsid w:val="00355063"/>
    <w:rsid w:val="003552CB"/>
    <w:rsid w:val="0035537B"/>
    <w:rsid w:val="00355674"/>
    <w:rsid w:val="003558E8"/>
    <w:rsid w:val="003562BE"/>
    <w:rsid w:val="0035653A"/>
    <w:rsid w:val="0035665B"/>
    <w:rsid w:val="00356AA0"/>
    <w:rsid w:val="00356AB2"/>
    <w:rsid w:val="00357274"/>
    <w:rsid w:val="003573B9"/>
    <w:rsid w:val="00357C14"/>
    <w:rsid w:val="00357D15"/>
    <w:rsid w:val="00360155"/>
    <w:rsid w:val="00360ED8"/>
    <w:rsid w:val="00361023"/>
    <w:rsid w:val="00361135"/>
    <w:rsid w:val="0036167D"/>
    <w:rsid w:val="00361A3A"/>
    <w:rsid w:val="00361CFD"/>
    <w:rsid w:val="00362014"/>
    <w:rsid w:val="00362046"/>
    <w:rsid w:val="00362064"/>
    <w:rsid w:val="0036212A"/>
    <w:rsid w:val="003623C2"/>
    <w:rsid w:val="003627BC"/>
    <w:rsid w:val="00362EAC"/>
    <w:rsid w:val="00362FEE"/>
    <w:rsid w:val="00363285"/>
    <w:rsid w:val="0036332D"/>
    <w:rsid w:val="00363368"/>
    <w:rsid w:val="00363431"/>
    <w:rsid w:val="003635C2"/>
    <w:rsid w:val="00363625"/>
    <w:rsid w:val="003638A5"/>
    <w:rsid w:val="00363EC2"/>
    <w:rsid w:val="00363FEA"/>
    <w:rsid w:val="0036475D"/>
    <w:rsid w:val="003647A8"/>
    <w:rsid w:val="00364861"/>
    <w:rsid w:val="00364B3E"/>
    <w:rsid w:val="0036527D"/>
    <w:rsid w:val="0036542F"/>
    <w:rsid w:val="00365880"/>
    <w:rsid w:val="00365FB7"/>
    <w:rsid w:val="0036609A"/>
    <w:rsid w:val="003664CD"/>
    <w:rsid w:val="003665DD"/>
    <w:rsid w:val="003667C7"/>
    <w:rsid w:val="0036693C"/>
    <w:rsid w:val="00366F22"/>
    <w:rsid w:val="0036707B"/>
    <w:rsid w:val="0036753B"/>
    <w:rsid w:val="003675AB"/>
    <w:rsid w:val="003675BB"/>
    <w:rsid w:val="003678DE"/>
    <w:rsid w:val="00367A0A"/>
    <w:rsid w:val="00367AC1"/>
    <w:rsid w:val="00367FB7"/>
    <w:rsid w:val="00370265"/>
    <w:rsid w:val="00370692"/>
    <w:rsid w:val="0037074C"/>
    <w:rsid w:val="003707CC"/>
    <w:rsid w:val="00370B42"/>
    <w:rsid w:val="003715FF"/>
    <w:rsid w:val="0037169C"/>
    <w:rsid w:val="003716A9"/>
    <w:rsid w:val="003718B3"/>
    <w:rsid w:val="00371A05"/>
    <w:rsid w:val="00371C1A"/>
    <w:rsid w:val="00371D8A"/>
    <w:rsid w:val="00372109"/>
    <w:rsid w:val="00372169"/>
    <w:rsid w:val="0037216E"/>
    <w:rsid w:val="00372246"/>
    <w:rsid w:val="00372605"/>
    <w:rsid w:val="00372616"/>
    <w:rsid w:val="00372A3C"/>
    <w:rsid w:val="00372CF5"/>
    <w:rsid w:val="00372DFC"/>
    <w:rsid w:val="00372F86"/>
    <w:rsid w:val="00373135"/>
    <w:rsid w:val="00373442"/>
    <w:rsid w:val="00373AF7"/>
    <w:rsid w:val="00373CCC"/>
    <w:rsid w:val="00373F0C"/>
    <w:rsid w:val="00374884"/>
    <w:rsid w:val="00374FAB"/>
    <w:rsid w:val="003750BD"/>
    <w:rsid w:val="003750FF"/>
    <w:rsid w:val="00375159"/>
    <w:rsid w:val="00375761"/>
    <w:rsid w:val="00375A91"/>
    <w:rsid w:val="00375FAF"/>
    <w:rsid w:val="003764DA"/>
    <w:rsid w:val="003765CB"/>
    <w:rsid w:val="00376914"/>
    <w:rsid w:val="00376C83"/>
    <w:rsid w:val="003770E0"/>
    <w:rsid w:val="00377315"/>
    <w:rsid w:val="00377663"/>
    <w:rsid w:val="0037769D"/>
    <w:rsid w:val="00377923"/>
    <w:rsid w:val="00377A9B"/>
    <w:rsid w:val="00377AE0"/>
    <w:rsid w:val="00377B87"/>
    <w:rsid w:val="00377C11"/>
    <w:rsid w:val="00377D15"/>
    <w:rsid w:val="0038002D"/>
    <w:rsid w:val="00380460"/>
    <w:rsid w:val="00380A7F"/>
    <w:rsid w:val="00380ABF"/>
    <w:rsid w:val="00380B8D"/>
    <w:rsid w:val="00380BCD"/>
    <w:rsid w:val="00381663"/>
    <w:rsid w:val="00381685"/>
    <w:rsid w:val="003817C0"/>
    <w:rsid w:val="003818F5"/>
    <w:rsid w:val="00381964"/>
    <w:rsid w:val="00381CCD"/>
    <w:rsid w:val="00382294"/>
    <w:rsid w:val="00382904"/>
    <w:rsid w:val="00382921"/>
    <w:rsid w:val="00382A07"/>
    <w:rsid w:val="00382D06"/>
    <w:rsid w:val="00382E44"/>
    <w:rsid w:val="003832AD"/>
    <w:rsid w:val="0038395F"/>
    <w:rsid w:val="00383BA7"/>
    <w:rsid w:val="00383D9E"/>
    <w:rsid w:val="00384A66"/>
    <w:rsid w:val="00384B5E"/>
    <w:rsid w:val="003851C2"/>
    <w:rsid w:val="00385A90"/>
    <w:rsid w:val="00385B37"/>
    <w:rsid w:val="00385BDF"/>
    <w:rsid w:val="00385C03"/>
    <w:rsid w:val="003860D1"/>
    <w:rsid w:val="00386166"/>
    <w:rsid w:val="00386174"/>
    <w:rsid w:val="003870A6"/>
    <w:rsid w:val="00387177"/>
    <w:rsid w:val="00387638"/>
    <w:rsid w:val="00387699"/>
    <w:rsid w:val="00387974"/>
    <w:rsid w:val="00387AC1"/>
    <w:rsid w:val="00387BA8"/>
    <w:rsid w:val="00387EF5"/>
    <w:rsid w:val="0039013E"/>
    <w:rsid w:val="003901B5"/>
    <w:rsid w:val="0039025C"/>
    <w:rsid w:val="003904E4"/>
    <w:rsid w:val="003905E2"/>
    <w:rsid w:val="003906E1"/>
    <w:rsid w:val="00390932"/>
    <w:rsid w:val="00390F38"/>
    <w:rsid w:val="00390F6B"/>
    <w:rsid w:val="003911ED"/>
    <w:rsid w:val="003913E4"/>
    <w:rsid w:val="00391452"/>
    <w:rsid w:val="0039160A"/>
    <w:rsid w:val="00391B0D"/>
    <w:rsid w:val="00391D38"/>
    <w:rsid w:val="0039229C"/>
    <w:rsid w:val="00392425"/>
    <w:rsid w:val="0039246E"/>
    <w:rsid w:val="00392756"/>
    <w:rsid w:val="003928BD"/>
    <w:rsid w:val="00392A81"/>
    <w:rsid w:val="00392DB6"/>
    <w:rsid w:val="003931A6"/>
    <w:rsid w:val="003933DC"/>
    <w:rsid w:val="00393686"/>
    <w:rsid w:val="003939D3"/>
    <w:rsid w:val="003939E6"/>
    <w:rsid w:val="003944C2"/>
    <w:rsid w:val="003949C4"/>
    <w:rsid w:val="00394A05"/>
    <w:rsid w:val="0039516A"/>
    <w:rsid w:val="00395AE9"/>
    <w:rsid w:val="00395BCE"/>
    <w:rsid w:val="00395C85"/>
    <w:rsid w:val="00395DE3"/>
    <w:rsid w:val="00395EA7"/>
    <w:rsid w:val="00395F83"/>
    <w:rsid w:val="0039603D"/>
    <w:rsid w:val="00396A17"/>
    <w:rsid w:val="00396CAE"/>
    <w:rsid w:val="00396D88"/>
    <w:rsid w:val="00396E08"/>
    <w:rsid w:val="00397130"/>
    <w:rsid w:val="00397274"/>
    <w:rsid w:val="00397851"/>
    <w:rsid w:val="00397B33"/>
    <w:rsid w:val="003A0722"/>
    <w:rsid w:val="003A0817"/>
    <w:rsid w:val="003A08D7"/>
    <w:rsid w:val="003A0D94"/>
    <w:rsid w:val="003A1933"/>
    <w:rsid w:val="003A1D5F"/>
    <w:rsid w:val="003A21BC"/>
    <w:rsid w:val="003A21EF"/>
    <w:rsid w:val="003A22F8"/>
    <w:rsid w:val="003A267E"/>
    <w:rsid w:val="003A27A8"/>
    <w:rsid w:val="003A2B60"/>
    <w:rsid w:val="003A2D08"/>
    <w:rsid w:val="003A2E8E"/>
    <w:rsid w:val="003A2FB3"/>
    <w:rsid w:val="003A3386"/>
    <w:rsid w:val="003A34BB"/>
    <w:rsid w:val="003A405E"/>
    <w:rsid w:val="003A4339"/>
    <w:rsid w:val="003A45D5"/>
    <w:rsid w:val="003A4AFF"/>
    <w:rsid w:val="003A4C86"/>
    <w:rsid w:val="003A4F6B"/>
    <w:rsid w:val="003A4FBF"/>
    <w:rsid w:val="003A549A"/>
    <w:rsid w:val="003A5885"/>
    <w:rsid w:val="003A5906"/>
    <w:rsid w:val="003A59EB"/>
    <w:rsid w:val="003A5E6D"/>
    <w:rsid w:val="003A5F23"/>
    <w:rsid w:val="003A5FF2"/>
    <w:rsid w:val="003A60CA"/>
    <w:rsid w:val="003A643A"/>
    <w:rsid w:val="003A65DF"/>
    <w:rsid w:val="003A6711"/>
    <w:rsid w:val="003A6960"/>
    <w:rsid w:val="003A6DE2"/>
    <w:rsid w:val="003A6E1E"/>
    <w:rsid w:val="003A721A"/>
    <w:rsid w:val="003A72CF"/>
    <w:rsid w:val="003A7303"/>
    <w:rsid w:val="003A7D88"/>
    <w:rsid w:val="003A7F87"/>
    <w:rsid w:val="003B0253"/>
    <w:rsid w:val="003B03B5"/>
    <w:rsid w:val="003B05AE"/>
    <w:rsid w:val="003B05AF"/>
    <w:rsid w:val="003B093E"/>
    <w:rsid w:val="003B0A0E"/>
    <w:rsid w:val="003B0E89"/>
    <w:rsid w:val="003B0ED2"/>
    <w:rsid w:val="003B103B"/>
    <w:rsid w:val="003B1855"/>
    <w:rsid w:val="003B1EBA"/>
    <w:rsid w:val="003B1FBA"/>
    <w:rsid w:val="003B23DF"/>
    <w:rsid w:val="003B25AC"/>
    <w:rsid w:val="003B29A0"/>
    <w:rsid w:val="003B2B0B"/>
    <w:rsid w:val="003B2B3A"/>
    <w:rsid w:val="003B30F7"/>
    <w:rsid w:val="003B3149"/>
    <w:rsid w:val="003B3441"/>
    <w:rsid w:val="003B34D7"/>
    <w:rsid w:val="003B3538"/>
    <w:rsid w:val="003B3A84"/>
    <w:rsid w:val="003B3E59"/>
    <w:rsid w:val="003B418B"/>
    <w:rsid w:val="003B4369"/>
    <w:rsid w:val="003B4529"/>
    <w:rsid w:val="003B4A94"/>
    <w:rsid w:val="003B4B85"/>
    <w:rsid w:val="003B514D"/>
    <w:rsid w:val="003B55A6"/>
    <w:rsid w:val="003B6349"/>
    <w:rsid w:val="003B6565"/>
    <w:rsid w:val="003B6597"/>
    <w:rsid w:val="003B6A75"/>
    <w:rsid w:val="003B73C8"/>
    <w:rsid w:val="003B7471"/>
    <w:rsid w:val="003B7777"/>
    <w:rsid w:val="003B7AA8"/>
    <w:rsid w:val="003B7C26"/>
    <w:rsid w:val="003B7C42"/>
    <w:rsid w:val="003B7CF3"/>
    <w:rsid w:val="003C0100"/>
    <w:rsid w:val="003C0155"/>
    <w:rsid w:val="003C0768"/>
    <w:rsid w:val="003C09E9"/>
    <w:rsid w:val="003C0A10"/>
    <w:rsid w:val="003C0D3E"/>
    <w:rsid w:val="003C0FD1"/>
    <w:rsid w:val="003C1992"/>
    <w:rsid w:val="003C21CD"/>
    <w:rsid w:val="003C28DE"/>
    <w:rsid w:val="003C2A35"/>
    <w:rsid w:val="003C33E6"/>
    <w:rsid w:val="003C3AD3"/>
    <w:rsid w:val="003C3DAE"/>
    <w:rsid w:val="003C4466"/>
    <w:rsid w:val="003C4744"/>
    <w:rsid w:val="003C4850"/>
    <w:rsid w:val="003C4866"/>
    <w:rsid w:val="003C4961"/>
    <w:rsid w:val="003C4D8A"/>
    <w:rsid w:val="003C4DDA"/>
    <w:rsid w:val="003C515B"/>
    <w:rsid w:val="003C54A2"/>
    <w:rsid w:val="003C5724"/>
    <w:rsid w:val="003C5C5A"/>
    <w:rsid w:val="003C614D"/>
    <w:rsid w:val="003C6329"/>
    <w:rsid w:val="003C639A"/>
    <w:rsid w:val="003C651E"/>
    <w:rsid w:val="003C6978"/>
    <w:rsid w:val="003C6D4E"/>
    <w:rsid w:val="003C6E88"/>
    <w:rsid w:val="003C6FA5"/>
    <w:rsid w:val="003C7283"/>
    <w:rsid w:val="003C72BB"/>
    <w:rsid w:val="003C72F1"/>
    <w:rsid w:val="003C73C9"/>
    <w:rsid w:val="003C782F"/>
    <w:rsid w:val="003C7C37"/>
    <w:rsid w:val="003C7EAA"/>
    <w:rsid w:val="003D04A9"/>
    <w:rsid w:val="003D08F9"/>
    <w:rsid w:val="003D1340"/>
    <w:rsid w:val="003D1447"/>
    <w:rsid w:val="003D1CE1"/>
    <w:rsid w:val="003D1E71"/>
    <w:rsid w:val="003D1FCC"/>
    <w:rsid w:val="003D233A"/>
    <w:rsid w:val="003D2410"/>
    <w:rsid w:val="003D24A0"/>
    <w:rsid w:val="003D25E6"/>
    <w:rsid w:val="003D29C7"/>
    <w:rsid w:val="003D2E11"/>
    <w:rsid w:val="003D2FE4"/>
    <w:rsid w:val="003D2FFF"/>
    <w:rsid w:val="003D316D"/>
    <w:rsid w:val="003D3265"/>
    <w:rsid w:val="003D378F"/>
    <w:rsid w:val="003D37D8"/>
    <w:rsid w:val="003D3ED8"/>
    <w:rsid w:val="003D46BE"/>
    <w:rsid w:val="003D4B31"/>
    <w:rsid w:val="003D4D5D"/>
    <w:rsid w:val="003D568D"/>
    <w:rsid w:val="003D5C55"/>
    <w:rsid w:val="003D5E19"/>
    <w:rsid w:val="003D5E89"/>
    <w:rsid w:val="003D5EF9"/>
    <w:rsid w:val="003D5F47"/>
    <w:rsid w:val="003D64E3"/>
    <w:rsid w:val="003D667F"/>
    <w:rsid w:val="003D66C2"/>
    <w:rsid w:val="003D6817"/>
    <w:rsid w:val="003D7100"/>
    <w:rsid w:val="003D717E"/>
    <w:rsid w:val="003D7355"/>
    <w:rsid w:val="003D7ACA"/>
    <w:rsid w:val="003D7FCE"/>
    <w:rsid w:val="003E017D"/>
    <w:rsid w:val="003E0484"/>
    <w:rsid w:val="003E09DE"/>
    <w:rsid w:val="003E152F"/>
    <w:rsid w:val="003E15E2"/>
    <w:rsid w:val="003E1F76"/>
    <w:rsid w:val="003E1FA4"/>
    <w:rsid w:val="003E2116"/>
    <w:rsid w:val="003E2340"/>
    <w:rsid w:val="003E2E2E"/>
    <w:rsid w:val="003E2E63"/>
    <w:rsid w:val="003E354B"/>
    <w:rsid w:val="003E383E"/>
    <w:rsid w:val="003E3C27"/>
    <w:rsid w:val="003E3FB7"/>
    <w:rsid w:val="003E4141"/>
    <w:rsid w:val="003E418E"/>
    <w:rsid w:val="003E4286"/>
    <w:rsid w:val="003E452F"/>
    <w:rsid w:val="003E4550"/>
    <w:rsid w:val="003E45A9"/>
    <w:rsid w:val="003E4CEA"/>
    <w:rsid w:val="003E4D57"/>
    <w:rsid w:val="003E5379"/>
    <w:rsid w:val="003E5451"/>
    <w:rsid w:val="003E548E"/>
    <w:rsid w:val="003E5573"/>
    <w:rsid w:val="003E5636"/>
    <w:rsid w:val="003E56EF"/>
    <w:rsid w:val="003E5FE6"/>
    <w:rsid w:val="003E60A5"/>
    <w:rsid w:val="003E63AC"/>
    <w:rsid w:val="003E63B7"/>
    <w:rsid w:val="003E6426"/>
    <w:rsid w:val="003E68DD"/>
    <w:rsid w:val="003E69D3"/>
    <w:rsid w:val="003E6A43"/>
    <w:rsid w:val="003E6B88"/>
    <w:rsid w:val="003E6BC5"/>
    <w:rsid w:val="003E6F8F"/>
    <w:rsid w:val="003E702C"/>
    <w:rsid w:val="003E737A"/>
    <w:rsid w:val="003E74FD"/>
    <w:rsid w:val="003E78E4"/>
    <w:rsid w:val="003E7B9A"/>
    <w:rsid w:val="003E7F16"/>
    <w:rsid w:val="003F02C0"/>
    <w:rsid w:val="003F1018"/>
    <w:rsid w:val="003F1304"/>
    <w:rsid w:val="003F134E"/>
    <w:rsid w:val="003F143B"/>
    <w:rsid w:val="003F1670"/>
    <w:rsid w:val="003F1DA5"/>
    <w:rsid w:val="003F2159"/>
    <w:rsid w:val="003F299A"/>
    <w:rsid w:val="003F2D21"/>
    <w:rsid w:val="003F3069"/>
    <w:rsid w:val="003F31DD"/>
    <w:rsid w:val="003F33B2"/>
    <w:rsid w:val="003F38E4"/>
    <w:rsid w:val="003F4BD3"/>
    <w:rsid w:val="003F4D3B"/>
    <w:rsid w:val="003F4E8F"/>
    <w:rsid w:val="003F54D8"/>
    <w:rsid w:val="003F58B8"/>
    <w:rsid w:val="003F5AAD"/>
    <w:rsid w:val="003F5EE1"/>
    <w:rsid w:val="003F6341"/>
    <w:rsid w:val="003F6674"/>
    <w:rsid w:val="003F6BB1"/>
    <w:rsid w:val="003F6FD7"/>
    <w:rsid w:val="003F7095"/>
    <w:rsid w:val="003F7167"/>
    <w:rsid w:val="003F7234"/>
    <w:rsid w:val="003F72C5"/>
    <w:rsid w:val="003F73FE"/>
    <w:rsid w:val="003F744F"/>
    <w:rsid w:val="003F7510"/>
    <w:rsid w:val="003F7AA7"/>
    <w:rsid w:val="003F7AEA"/>
    <w:rsid w:val="003F7BD6"/>
    <w:rsid w:val="003F7C54"/>
    <w:rsid w:val="00400488"/>
    <w:rsid w:val="004005BA"/>
    <w:rsid w:val="004007BE"/>
    <w:rsid w:val="00400894"/>
    <w:rsid w:val="00400AC6"/>
    <w:rsid w:val="00400AF4"/>
    <w:rsid w:val="00400B04"/>
    <w:rsid w:val="00400F36"/>
    <w:rsid w:val="00400F76"/>
    <w:rsid w:val="004014BE"/>
    <w:rsid w:val="004015A4"/>
    <w:rsid w:val="00401617"/>
    <w:rsid w:val="00401722"/>
    <w:rsid w:val="00401E4D"/>
    <w:rsid w:val="00401EE4"/>
    <w:rsid w:val="00401F78"/>
    <w:rsid w:val="004029B8"/>
    <w:rsid w:val="00402E48"/>
    <w:rsid w:val="004034AC"/>
    <w:rsid w:val="00403C41"/>
    <w:rsid w:val="00403D53"/>
    <w:rsid w:val="0040414A"/>
    <w:rsid w:val="00404204"/>
    <w:rsid w:val="0040459C"/>
    <w:rsid w:val="004046FE"/>
    <w:rsid w:val="004048B6"/>
    <w:rsid w:val="00404C40"/>
    <w:rsid w:val="004050AF"/>
    <w:rsid w:val="004059C1"/>
    <w:rsid w:val="00405E4B"/>
    <w:rsid w:val="0040604F"/>
    <w:rsid w:val="00406411"/>
    <w:rsid w:val="004065B3"/>
    <w:rsid w:val="0040675D"/>
    <w:rsid w:val="00406978"/>
    <w:rsid w:val="00406A4D"/>
    <w:rsid w:val="00406E20"/>
    <w:rsid w:val="00406E3E"/>
    <w:rsid w:val="00406EDC"/>
    <w:rsid w:val="00407251"/>
    <w:rsid w:val="004076B8"/>
    <w:rsid w:val="004077A3"/>
    <w:rsid w:val="00407BCB"/>
    <w:rsid w:val="00407CE0"/>
    <w:rsid w:val="00407DE2"/>
    <w:rsid w:val="00410086"/>
    <w:rsid w:val="0041010F"/>
    <w:rsid w:val="00410185"/>
    <w:rsid w:val="00410E3C"/>
    <w:rsid w:val="004112EA"/>
    <w:rsid w:val="00411366"/>
    <w:rsid w:val="004117ED"/>
    <w:rsid w:val="00412108"/>
    <w:rsid w:val="00412930"/>
    <w:rsid w:val="00412F9B"/>
    <w:rsid w:val="00412FA4"/>
    <w:rsid w:val="00412FE6"/>
    <w:rsid w:val="0041368B"/>
    <w:rsid w:val="004138EB"/>
    <w:rsid w:val="00413C8F"/>
    <w:rsid w:val="00413CEE"/>
    <w:rsid w:val="00413D81"/>
    <w:rsid w:val="00413DC2"/>
    <w:rsid w:val="00414177"/>
    <w:rsid w:val="004142EA"/>
    <w:rsid w:val="00414521"/>
    <w:rsid w:val="00414616"/>
    <w:rsid w:val="00414666"/>
    <w:rsid w:val="00414B81"/>
    <w:rsid w:val="00414C5B"/>
    <w:rsid w:val="00414D02"/>
    <w:rsid w:val="00414E72"/>
    <w:rsid w:val="00415714"/>
    <w:rsid w:val="004159D0"/>
    <w:rsid w:val="00415AE0"/>
    <w:rsid w:val="00415BE6"/>
    <w:rsid w:val="00415E5A"/>
    <w:rsid w:val="00416057"/>
    <w:rsid w:val="0041637D"/>
    <w:rsid w:val="004164FE"/>
    <w:rsid w:val="0041686F"/>
    <w:rsid w:val="00417108"/>
    <w:rsid w:val="0041768A"/>
    <w:rsid w:val="004177A1"/>
    <w:rsid w:val="00417870"/>
    <w:rsid w:val="004178E6"/>
    <w:rsid w:val="004206CE"/>
    <w:rsid w:val="004215C0"/>
    <w:rsid w:val="004217AB"/>
    <w:rsid w:val="00421D47"/>
    <w:rsid w:val="00421E32"/>
    <w:rsid w:val="00421EFA"/>
    <w:rsid w:val="00422363"/>
    <w:rsid w:val="004223E2"/>
    <w:rsid w:val="004226AF"/>
    <w:rsid w:val="00422795"/>
    <w:rsid w:val="004228C1"/>
    <w:rsid w:val="004228DC"/>
    <w:rsid w:val="00422D19"/>
    <w:rsid w:val="00422F9F"/>
    <w:rsid w:val="00423401"/>
    <w:rsid w:val="00423C0E"/>
    <w:rsid w:val="00423C86"/>
    <w:rsid w:val="00424549"/>
    <w:rsid w:val="00424A38"/>
    <w:rsid w:val="00424D1C"/>
    <w:rsid w:val="00424D58"/>
    <w:rsid w:val="00424D91"/>
    <w:rsid w:val="0042514E"/>
    <w:rsid w:val="004255B5"/>
    <w:rsid w:val="004255DC"/>
    <w:rsid w:val="00425A22"/>
    <w:rsid w:val="00425B7A"/>
    <w:rsid w:val="00425C1B"/>
    <w:rsid w:val="00425C45"/>
    <w:rsid w:val="00425CA9"/>
    <w:rsid w:val="00425DD8"/>
    <w:rsid w:val="00426133"/>
    <w:rsid w:val="00426474"/>
    <w:rsid w:val="004264F3"/>
    <w:rsid w:val="00426922"/>
    <w:rsid w:val="00426989"/>
    <w:rsid w:val="00427541"/>
    <w:rsid w:val="00427666"/>
    <w:rsid w:val="004278DC"/>
    <w:rsid w:val="00427931"/>
    <w:rsid w:val="0042796C"/>
    <w:rsid w:val="00427E16"/>
    <w:rsid w:val="00427F48"/>
    <w:rsid w:val="00430200"/>
    <w:rsid w:val="00430608"/>
    <w:rsid w:val="00430AE0"/>
    <w:rsid w:val="00430CDE"/>
    <w:rsid w:val="00430CF6"/>
    <w:rsid w:val="0043113D"/>
    <w:rsid w:val="004311E9"/>
    <w:rsid w:val="0043153C"/>
    <w:rsid w:val="00431B44"/>
    <w:rsid w:val="00431B56"/>
    <w:rsid w:val="0043227A"/>
    <w:rsid w:val="00432303"/>
    <w:rsid w:val="004325F1"/>
    <w:rsid w:val="004325FF"/>
    <w:rsid w:val="0043264F"/>
    <w:rsid w:val="00432CA3"/>
    <w:rsid w:val="00433247"/>
    <w:rsid w:val="004332F2"/>
    <w:rsid w:val="00433366"/>
    <w:rsid w:val="0043365E"/>
    <w:rsid w:val="00433A4B"/>
    <w:rsid w:val="00433CB1"/>
    <w:rsid w:val="004341C7"/>
    <w:rsid w:val="004342F1"/>
    <w:rsid w:val="004343F2"/>
    <w:rsid w:val="004349EA"/>
    <w:rsid w:val="004349F4"/>
    <w:rsid w:val="00434BE4"/>
    <w:rsid w:val="00435683"/>
    <w:rsid w:val="004358AB"/>
    <w:rsid w:val="00435F17"/>
    <w:rsid w:val="00436037"/>
    <w:rsid w:val="00436118"/>
    <w:rsid w:val="0043649F"/>
    <w:rsid w:val="004365C6"/>
    <w:rsid w:val="00436704"/>
    <w:rsid w:val="00436B71"/>
    <w:rsid w:val="00436BCC"/>
    <w:rsid w:val="004375AC"/>
    <w:rsid w:val="004379FF"/>
    <w:rsid w:val="0044019A"/>
    <w:rsid w:val="00440557"/>
    <w:rsid w:val="004406DE"/>
    <w:rsid w:val="004408CF"/>
    <w:rsid w:val="00440C30"/>
    <w:rsid w:val="00440C6D"/>
    <w:rsid w:val="00440D2F"/>
    <w:rsid w:val="00440D38"/>
    <w:rsid w:val="00440E24"/>
    <w:rsid w:val="00440E9D"/>
    <w:rsid w:val="00441355"/>
    <w:rsid w:val="0044155D"/>
    <w:rsid w:val="00441B66"/>
    <w:rsid w:val="00441BC9"/>
    <w:rsid w:val="00441E04"/>
    <w:rsid w:val="004422DC"/>
    <w:rsid w:val="00442574"/>
    <w:rsid w:val="00442A71"/>
    <w:rsid w:val="00442B74"/>
    <w:rsid w:val="00443582"/>
    <w:rsid w:val="00443A95"/>
    <w:rsid w:val="00443B97"/>
    <w:rsid w:val="00443C35"/>
    <w:rsid w:val="00443D54"/>
    <w:rsid w:val="00443DE6"/>
    <w:rsid w:val="00444252"/>
    <w:rsid w:val="0044428B"/>
    <w:rsid w:val="0044459B"/>
    <w:rsid w:val="004446BA"/>
    <w:rsid w:val="00444EB8"/>
    <w:rsid w:val="00444F70"/>
    <w:rsid w:val="00444F71"/>
    <w:rsid w:val="00445D3C"/>
    <w:rsid w:val="00446CB4"/>
    <w:rsid w:val="0044708C"/>
    <w:rsid w:val="004471C7"/>
    <w:rsid w:val="00447310"/>
    <w:rsid w:val="00447632"/>
    <w:rsid w:val="00447709"/>
    <w:rsid w:val="00447C36"/>
    <w:rsid w:val="0045004F"/>
    <w:rsid w:val="004500D9"/>
    <w:rsid w:val="0045037D"/>
    <w:rsid w:val="00450460"/>
    <w:rsid w:val="004507FF"/>
    <w:rsid w:val="00450B8D"/>
    <w:rsid w:val="00450F12"/>
    <w:rsid w:val="0045179C"/>
    <w:rsid w:val="004524E1"/>
    <w:rsid w:val="00452512"/>
    <w:rsid w:val="004525BB"/>
    <w:rsid w:val="00452769"/>
    <w:rsid w:val="00452EFC"/>
    <w:rsid w:val="00452F99"/>
    <w:rsid w:val="004530FB"/>
    <w:rsid w:val="00453DA1"/>
    <w:rsid w:val="00453DC2"/>
    <w:rsid w:val="00454013"/>
    <w:rsid w:val="004540F6"/>
    <w:rsid w:val="004541B6"/>
    <w:rsid w:val="004548FF"/>
    <w:rsid w:val="00454BAF"/>
    <w:rsid w:val="00454E94"/>
    <w:rsid w:val="00454FBB"/>
    <w:rsid w:val="004552AB"/>
    <w:rsid w:val="00455342"/>
    <w:rsid w:val="0045558D"/>
    <w:rsid w:val="004556FD"/>
    <w:rsid w:val="00455954"/>
    <w:rsid w:val="00455D2C"/>
    <w:rsid w:val="00456543"/>
    <w:rsid w:val="0045690A"/>
    <w:rsid w:val="00456A78"/>
    <w:rsid w:val="00456D4F"/>
    <w:rsid w:val="00457254"/>
    <w:rsid w:val="00457679"/>
    <w:rsid w:val="00457AC4"/>
    <w:rsid w:val="00457B8E"/>
    <w:rsid w:val="004603BE"/>
    <w:rsid w:val="00460536"/>
    <w:rsid w:val="00460876"/>
    <w:rsid w:val="0046095C"/>
    <w:rsid w:val="004609DB"/>
    <w:rsid w:val="00460F04"/>
    <w:rsid w:val="0046122C"/>
    <w:rsid w:val="00461536"/>
    <w:rsid w:val="004615B9"/>
    <w:rsid w:val="004616B1"/>
    <w:rsid w:val="00461770"/>
    <w:rsid w:val="00461CC3"/>
    <w:rsid w:val="00461CCE"/>
    <w:rsid w:val="00461EB7"/>
    <w:rsid w:val="00461F61"/>
    <w:rsid w:val="00461FB7"/>
    <w:rsid w:val="0046293F"/>
    <w:rsid w:val="00462B3C"/>
    <w:rsid w:val="00462E22"/>
    <w:rsid w:val="00462ECD"/>
    <w:rsid w:val="004632A8"/>
    <w:rsid w:val="0046375D"/>
    <w:rsid w:val="00463BBD"/>
    <w:rsid w:val="00463BCB"/>
    <w:rsid w:val="004649FA"/>
    <w:rsid w:val="00464FB0"/>
    <w:rsid w:val="0046508E"/>
    <w:rsid w:val="0046520B"/>
    <w:rsid w:val="0046534F"/>
    <w:rsid w:val="004654FA"/>
    <w:rsid w:val="0046550B"/>
    <w:rsid w:val="00465571"/>
    <w:rsid w:val="0046592A"/>
    <w:rsid w:val="00465B51"/>
    <w:rsid w:val="00465C4A"/>
    <w:rsid w:val="00465C6D"/>
    <w:rsid w:val="00465F63"/>
    <w:rsid w:val="004661F8"/>
    <w:rsid w:val="00466AC5"/>
    <w:rsid w:val="00466CB3"/>
    <w:rsid w:val="004673C2"/>
    <w:rsid w:val="00467C28"/>
    <w:rsid w:val="00467D5C"/>
    <w:rsid w:val="0047065D"/>
    <w:rsid w:val="0047083D"/>
    <w:rsid w:val="00471455"/>
    <w:rsid w:val="00471C9F"/>
    <w:rsid w:val="004721D3"/>
    <w:rsid w:val="004724B6"/>
    <w:rsid w:val="00472688"/>
    <w:rsid w:val="00472989"/>
    <w:rsid w:val="00472E77"/>
    <w:rsid w:val="004731CF"/>
    <w:rsid w:val="00473251"/>
    <w:rsid w:val="004733C9"/>
    <w:rsid w:val="0047373F"/>
    <w:rsid w:val="00473BA0"/>
    <w:rsid w:val="00473EA1"/>
    <w:rsid w:val="004742CD"/>
    <w:rsid w:val="0047460B"/>
    <w:rsid w:val="00474B1E"/>
    <w:rsid w:val="0047515C"/>
    <w:rsid w:val="00475970"/>
    <w:rsid w:val="00475BD6"/>
    <w:rsid w:val="00475BE1"/>
    <w:rsid w:val="00475D9E"/>
    <w:rsid w:val="00475F24"/>
    <w:rsid w:val="0047639D"/>
    <w:rsid w:val="00476ADD"/>
    <w:rsid w:val="00476B82"/>
    <w:rsid w:val="00476CF6"/>
    <w:rsid w:val="0047733A"/>
    <w:rsid w:val="004773E8"/>
    <w:rsid w:val="00477E2D"/>
    <w:rsid w:val="004803EC"/>
    <w:rsid w:val="004804B2"/>
    <w:rsid w:val="00480503"/>
    <w:rsid w:val="0048055C"/>
    <w:rsid w:val="00480581"/>
    <w:rsid w:val="004809D4"/>
    <w:rsid w:val="00480CA1"/>
    <w:rsid w:val="0048102F"/>
    <w:rsid w:val="004811E8"/>
    <w:rsid w:val="004813A9"/>
    <w:rsid w:val="00481AF2"/>
    <w:rsid w:val="00481EA7"/>
    <w:rsid w:val="004822FC"/>
    <w:rsid w:val="00482B7E"/>
    <w:rsid w:val="00482EE5"/>
    <w:rsid w:val="00482F41"/>
    <w:rsid w:val="00482F5A"/>
    <w:rsid w:val="00482F90"/>
    <w:rsid w:val="00483DF5"/>
    <w:rsid w:val="00483EF6"/>
    <w:rsid w:val="004841C4"/>
    <w:rsid w:val="00484332"/>
    <w:rsid w:val="00484566"/>
    <w:rsid w:val="0048465D"/>
    <w:rsid w:val="004846FB"/>
    <w:rsid w:val="00484885"/>
    <w:rsid w:val="004848E8"/>
    <w:rsid w:val="004849C7"/>
    <w:rsid w:val="00484D1A"/>
    <w:rsid w:val="00485AA1"/>
    <w:rsid w:val="00485DF0"/>
    <w:rsid w:val="00485F9A"/>
    <w:rsid w:val="004864F3"/>
    <w:rsid w:val="004866E6"/>
    <w:rsid w:val="00486C41"/>
    <w:rsid w:val="00486F0C"/>
    <w:rsid w:val="004870BA"/>
    <w:rsid w:val="004874D5"/>
    <w:rsid w:val="00487F6E"/>
    <w:rsid w:val="0049061E"/>
    <w:rsid w:val="00490969"/>
    <w:rsid w:val="004911B6"/>
    <w:rsid w:val="004914A1"/>
    <w:rsid w:val="00491553"/>
    <w:rsid w:val="0049180E"/>
    <w:rsid w:val="00491CE9"/>
    <w:rsid w:val="00492196"/>
    <w:rsid w:val="0049220F"/>
    <w:rsid w:val="0049221A"/>
    <w:rsid w:val="004922D2"/>
    <w:rsid w:val="00492E14"/>
    <w:rsid w:val="00492F7A"/>
    <w:rsid w:val="00493049"/>
    <w:rsid w:val="00493098"/>
    <w:rsid w:val="00493214"/>
    <w:rsid w:val="00493278"/>
    <w:rsid w:val="00493330"/>
    <w:rsid w:val="00493788"/>
    <w:rsid w:val="00493B40"/>
    <w:rsid w:val="00493F8E"/>
    <w:rsid w:val="0049461A"/>
    <w:rsid w:val="004947B7"/>
    <w:rsid w:val="0049483B"/>
    <w:rsid w:val="00494A24"/>
    <w:rsid w:val="00494C87"/>
    <w:rsid w:val="00494EF5"/>
    <w:rsid w:val="004952CE"/>
    <w:rsid w:val="00495308"/>
    <w:rsid w:val="00495560"/>
    <w:rsid w:val="0049598F"/>
    <w:rsid w:val="0049622B"/>
    <w:rsid w:val="00496595"/>
    <w:rsid w:val="004968FB"/>
    <w:rsid w:val="00496B5A"/>
    <w:rsid w:val="00496CB1"/>
    <w:rsid w:val="00496CE6"/>
    <w:rsid w:val="00497022"/>
    <w:rsid w:val="00497D10"/>
    <w:rsid w:val="00497EF8"/>
    <w:rsid w:val="004A0180"/>
    <w:rsid w:val="004A030D"/>
    <w:rsid w:val="004A0333"/>
    <w:rsid w:val="004A0492"/>
    <w:rsid w:val="004A053C"/>
    <w:rsid w:val="004A07A4"/>
    <w:rsid w:val="004A0899"/>
    <w:rsid w:val="004A0C8D"/>
    <w:rsid w:val="004A170A"/>
    <w:rsid w:val="004A1C1F"/>
    <w:rsid w:val="004A1CF9"/>
    <w:rsid w:val="004A1DA6"/>
    <w:rsid w:val="004A1EE7"/>
    <w:rsid w:val="004A1FF3"/>
    <w:rsid w:val="004A2057"/>
    <w:rsid w:val="004A2194"/>
    <w:rsid w:val="004A2385"/>
    <w:rsid w:val="004A26E7"/>
    <w:rsid w:val="004A2988"/>
    <w:rsid w:val="004A2B91"/>
    <w:rsid w:val="004A3154"/>
    <w:rsid w:val="004A34B1"/>
    <w:rsid w:val="004A3786"/>
    <w:rsid w:val="004A3794"/>
    <w:rsid w:val="004A3848"/>
    <w:rsid w:val="004A3902"/>
    <w:rsid w:val="004A3922"/>
    <w:rsid w:val="004A3A99"/>
    <w:rsid w:val="004A3DA8"/>
    <w:rsid w:val="004A3EFA"/>
    <w:rsid w:val="004A40DB"/>
    <w:rsid w:val="004A434B"/>
    <w:rsid w:val="004A498F"/>
    <w:rsid w:val="004A4E6E"/>
    <w:rsid w:val="004A4F8B"/>
    <w:rsid w:val="004A5404"/>
    <w:rsid w:val="004A546F"/>
    <w:rsid w:val="004A5581"/>
    <w:rsid w:val="004A5610"/>
    <w:rsid w:val="004A5CEC"/>
    <w:rsid w:val="004A5F86"/>
    <w:rsid w:val="004A62F3"/>
    <w:rsid w:val="004A65FF"/>
    <w:rsid w:val="004A6E1B"/>
    <w:rsid w:val="004A7001"/>
    <w:rsid w:val="004A7324"/>
    <w:rsid w:val="004A7342"/>
    <w:rsid w:val="004A7879"/>
    <w:rsid w:val="004A7AC6"/>
    <w:rsid w:val="004A7DA9"/>
    <w:rsid w:val="004B0A19"/>
    <w:rsid w:val="004B0C2D"/>
    <w:rsid w:val="004B0CB5"/>
    <w:rsid w:val="004B1475"/>
    <w:rsid w:val="004B1845"/>
    <w:rsid w:val="004B1888"/>
    <w:rsid w:val="004B1985"/>
    <w:rsid w:val="004B29BF"/>
    <w:rsid w:val="004B2C64"/>
    <w:rsid w:val="004B31AA"/>
    <w:rsid w:val="004B3200"/>
    <w:rsid w:val="004B3861"/>
    <w:rsid w:val="004B3FDC"/>
    <w:rsid w:val="004B4F07"/>
    <w:rsid w:val="004B522D"/>
    <w:rsid w:val="004B5AE2"/>
    <w:rsid w:val="004B5E80"/>
    <w:rsid w:val="004B61E1"/>
    <w:rsid w:val="004B6494"/>
    <w:rsid w:val="004B6C6A"/>
    <w:rsid w:val="004B7132"/>
    <w:rsid w:val="004B7AB5"/>
    <w:rsid w:val="004B7AB8"/>
    <w:rsid w:val="004B7BDA"/>
    <w:rsid w:val="004B7CEA"/>
    <w:rsid w:val="004C053D"/>
    <w:rsid w:val="004C07BC"/>
    <w:rsid w:val="004C0C87"/>
    <w:rsid w:val="004C0E1E"/>
    <w:rsid w:val="004C0F3D"/>
    <w:rsid w:val="004C0FAF"/>
    <w:rsid w:val="004C1512"/>
    <w:rsid w:val="004C1940"/>
    <w:rsid w:val="004C1ECE"/>
    <w:rsid w:val="004C2162"/>
    <w:rsid w:val="004C258F"/>
    <w:rsid w:val="004C321E"/>
    <w:rsid w:val="004C3555"/>
    <w:rsid w:val="004C3B1E"/>
    <w:rsid w:val="004C41BC"/>
    <w:rsid w:val="004C48E1"/>
    <w:rsid w:val="004C4929"/>
    <w:rsid w:val="004C497D"/>
    <w:rsid w:val="004C49CF"/>
    <w:rsid w:val="004C4B96"/>
    <w:rsid w:val="004C4FED"/>
    <w:rsid w:val="004C526B"/>
    <w:rsid w:val="004C5468"/>
    <w:rsid w:val="004C547F"/>
    <w:rsid w:val="004C560E"/>
    <w:rsid w:val="004C5AEA"/>
    <w:rsid w:val="004C6248"/>
    <w:rsid w:val="004C64BC"/>
    <w:rsid w:val="004C65B4"/>
    <w:rsid w:val="004C6B60"/>
    <w:rsid w:val="004C6D1B"/>
    <w:rsid w:val="004C6E41"/>
    <w:rsid w:val="004C700E"/>
    <w:rsid w:val="004C728C"/>
    <w:rsid w:val="004C7346"/>
    <w:rsid w:val="004C73EB"/>
    <w:rsid w:val="004C7573"/>
    <w:rsid w:val="004C772A"/>
    <w:rsid w:val="004C77C4"/>
    <w:rsid w:val="004C78FB"/>
    <w:rsid w:val="004C7B7E"/>
    <w:rsid w:val="004D0123"/>
    <w:rsid w:val="004D0798"/>
    <w:rsid w:val="004D07CE"/>
    <w:rsid w:val="004D0CA3"/>
    <w:rsid w:val="004D0D16"/>
    <w:rsid w:val="004D12A1"/>
    <w:rsid w:val="004D15EE"/>
    <w:rsid w:val="004D16BF"/>
    <w:rsid w:val="004D17C7"/>
    <w:rsid w:val="004D1A6D"/>
    <w:rsid w:val="004D1CF2"/>
    <w:rsid w:val="004D2E73"/>
    <w:rsid w:val="004D3236"/>
    <w:rsid w:val="004D35AA"/>
    <w:rsid w:val="004D3EAA"/>
    <w:rsid w:val="004D44AE"/>
    <w:rsid w:val="004D4D85"/>
    <w:rsid w:val="004D4F34"/>
    <w:rsid w:val="004D4F3C"/>
    <w:rsid w:val="004D5094"/>
    <w:rsid w:val="004D52D4"/>
    <w:rsid w:val="004D57FD"/>
    <w:rsid w:val="004D5B1A"/>
    <w:rsid w:val="004D5F5D"/>
    <w:rsid w:val="004D5FEB"/>
    <w:rsid w:val="004D6018"/>
    <w:rsid w:val="004D6058"/>
    <w:rsid w:val="004D6432"/>
    <w:rsid w:val="004D67DE"/>
    <w:rsid w:val="004D71F2"/>
    <w:rsid w:val="004D742D"/>
    <w:rsid w:val="004D7CFF"/>
    <w:rsid w:val="004D7D81"/>
    <w:rsid w:val="004D7F32"/>
    <w:rsid w:val="004D7FE0"/>
    <w:rsid w:val="004E0077"/>
    <w:rsid w:val="004E00EA"/>
    <w:rsid w:val="004E0127"/>
    <w:rsid w:val="004E0171"/>
    <w:rsid w:val="004E076E"/>
    <w:rsid w:val="004E0890"/>
    <w:rsid w:val="004E0C10"/>
    <w:rsid w:val="004E0E06"/>
    <w:rsid w:val="004E0F61"/>
    <w:rsid w:val="004E10BB"/>
    <w:rsid w:val="004E14A2"/>
    <w:rsid w:val="004E1652"/>
    <w:rsid w:val="004E1988"/>
    <w:rsid w:val="004E19EB"/>
    <w:rsid w:val="004E1AE9"/>
    <w:rsid w:val="004E1BCD"/>
    <w:rsid w:val="004E1CE0"/>
    <w:rsid w:val="004E1FEF"/>
    <w:rsid w:val="004E2008"/>
    <w:rsid w:val="004E2039"/>
    <w:rsid w:val="004E20AB"/>
    <w:rsid w:val="004E2232"/>
    <w:rsid w:val="004E24F9"/>
    <w:rsid w:val="004E31FF"/>
    <w:rsid w:val="004E35F5"/>
    <w:rsid w:val="004E38C0"/>
    <w:rsid w:val="004E3A70"/>
    <w:rsid w:val="004E3BE4"/>
    <w:rsid w:val="004E40B7"/>
    <w:rsid w:val="004E41C9"/>
    <w:rsid w:val="004E4205"/>
    <w:rsid w:val="004E4367"/>
    <w:rsid w:val="004E4370"/>
    <w:rsid w:val="004E4F34"/>
    <w:rsid w:val="004E5090"/>
    <w:rsid w:val="004E525C"/>
    <w:rsid w:val="004E5825"/>
    <w:rsid w:val="004E5B10"/>
    <w:rsid w:val="004E5C58"/>
    <w:rsid w:val="004E5D78"/>
    <w:rsid w:val="004E5F63"/>
    <w:rsid w:val="004E671D"/>
    <w:rsid w:val="004E6809"/>
    <w:rsid w:val="004E6A3E"/>
    <w:rsid w:val="004E6DF6"/>
    <w:rsid w:val="004E6DF9"/>
    <w:rsid w:val="004E6F7A"/>
    <w:rsid w:val="004E715B"/>
    <w:rsid w:val="004E7D88"/>
    <w:rsid w:val="004F0004"/>
    <w:rsid w:val="004F0102"/>
    <w:rsid w:val="004F051B"/>
    <w:rsid w:val="004F057B"/>
    <w:rsid w:val="004F0633"/>
    <w:rsid w:val="004F0701"/>
    <w:rsid w:val="004F08DB"/>
    <w:rsid w:val="004F1187"/>
    <w:rsid w:val="004F189B"/>
    <w:rsid w:val="004F18E3"/>
    <w:rsid w:val="004F197D"/>
    <w:rsid w:val="004F1E45"/>
    <w:rsid w:val="004F21C3"/>
    <w:rsid w:val="004F221A"/>
    <w:rsid w:val="004F2365"/>
    <w:rsid w:val="004F313A"/>
    <w:rsid w:val="004F34A0"/>
    <w:rsid w:val="004F3607"/>
    <w:rsid w:val="004F381F"/>
    <w:rsid w:val="004F3E18"/>
    <w:rsid w:val="004F40E8"/>
    <w:rsid w:val="004F425E"/>
    <w:rsid w:val="004F4604"/>
    <w:rsid w:val="004F4718"/>
    <w:rsid w:val="004F4CB0"/>
    <w:rsid w:val="004F4D17"/>
    <w:rsid w:val="004F4E84"/>
    <w:rsid w:val="004F5150"/>
    <w:rsid w:val="004F5A1B"/>
    <w:rsid w:val="004F5A20"/>
    <w:rsid w:val="004F5BA1"/>
    <w:rsid w:val="004F6155"/>
    <w:rsid w:val="004F61BA"/>
    <w:rsid w:val="004F6A35"/>
    <w:rsid w:val="004F6AA5"/>
    <w:rsid w:val="004F6AC5"/>
    <w:rsid w:val="004F7437"/>
    <w:rsid w:val="004F7669"/>
    <w:rsid w:val="004F7861"/>
    <w:rsid w:val="004F7DDD"/>
    <w:rsid w:val="005004B6"/>
    <w:rsid w:val="00500767"/>
    <w:rsid w:val="00500C78"/>
    <w:rsid w:val="00500D24"/>
    <w:rsid w:val="00501229"/>
    <w:rsid w:val="0050123E"/>
    <w:rsid w:val="0050158B"/>
    <w:rsid w:val="005015D1"/>
    <w:rsid w:val="0050190A"/>
    <w:rsid w:val="00501A9B"/>
    <w:rsid w:val="00501B3F"/>
    <w:rsid w:val="00501C9A"/>
    <w:rsid w:val="00501CE6"/>
    <w:rsid w:val="005020A1"/>
    <w:rsid w:val="00502198"/>
    <w:rsid w:val="005021FD"/>
    <w:rsid w:val="005031E4"/>
    <w:rsid w:val="0050327D"/>
    <w:rsid w:val="005038FE"/>
    <w:rsid w:val="00503CD2"/>
    <w:rsid w:val="00503E10"/>
    <w:rsid w:val="0050416D"/>
    <w:rsid w:val="005041E0"/>
    <w:rsid w:val="00504351"/>
    <w:rsid w:val="0050469D"/>
    <w:rsid w:val="00504AFB"/>
    <w:rsid w:val="00504BD5"/>
    <w:rsid w:val="0050590D"/>
    <w:rsid w:val="005064CC"/>
    <w:rsid w:val="005067BD"/>
    <w:rsid w:val="00506ACE"/>
    <w:rsid w:val="00506CBE"/>
    <w:rsid w:val="00506EAD"/>
    <w:rsid w:val="0050754B"/>
    <w:rsid w:val="00507FD6"/>
    <w:rsid w:val="0051028B"/>
    <w:rsid w:val="0051065F"/>
    <w:rsid w:val="00510C0E"/>
    <w:rsid w:val="00510ECD"/>
    <w:rsid w:val="00511B79"/>
    <w:rsid w:val="00511BAF"/>
    <w:rsid w:val="00512104"/>
    <w:rsid w:val="00512721"/>
    <w:rsid w:val="00512753"/>
    <w:rsid w:val="005128D9"/>
    <w:rsid w:val="005131E9"/>
    <w:rsid w:val="005135EF"/>
    <w:rsid w:val="0051373D"/>
    <w:rsid w:val="005137BA"/>
    <w:rsid w:val="005137C6"/>
    <w:rsid w:val="00513A1D"/>
    <w:rsid w:val="00513AF5"/>
    <w:rsid w:val="00513BC4"/>
    <w:rsid w:val="0051447A"/>
    <w:rsid w:val="00514488"/>
    <w:rsid w:val="00514970"/>
    <w:rsid w:val="00514FE7"/>
    <w:rsid w:val="005155C9"/>
    <w:rsid w:val="0051617C"/>
    <w:rsid w:val="005162B4"/>
    <w:rsid w:val="0051654C"/>
    <w:rsid w:val="00516B25"/>
    <w:rsid w:val="0051726E"/>
    <w:rsid w:val="005174FF"/>
    <w:rsid w:val="00517797"/>
    <w:rsid w:val="00517DFE"/>
    <w:rsid w:val="00520220"/>
    <w:rsid w:val="0052046B"/>
    <w:rsid w:val="00520D1A"/>
    <w:rsid w:val="005211B8"/>
    <w:rsid w:val="00521267"/>
    <w:rsid w:val="00521825"/>
    <w:rsid w:val="00521DA6"/>
    <w:rsid w:val="00521DE2"/>
    <w:rsid w:val="00521FD3"/>
    <w:rsid w:val="00522617"/>
    <w:rsid w:val="00522A44"/>
    <w:rsid w:val="00522A5C"/>
    <w:rsid w:val="00522B86"/>
    <w:rsid w:val="00523098"/>
    <w:rsid w:val="0052389F"/>
    <w:rsid w:val="00523EB0"/>
    <w:rsid w:val="00523F98"/>
    <w:rsid w:val="00523FEA"/>
    <w:rsid w:val="00524103"/>
    <w:rsid w:val="00524AD5"/>
    <w:rsid w:val="00524E48"/>
    <w:rsid w:val="00524F40"/>
    <w:rsid w:val="00524F44"/>
    <w:rsid w:val="00525518"/>
    <w:rsid w:val="005256C6"/>
    <w:rsid w:val="00526114"/>
    <w:rsid w:val="00526E53"/>
    <w:rsid w:val="00526EF4"/>
    <w:rsid w:val="00526F69"/>
    <w:rsid w:val="005274CC"/>
    <w:rsid w:val="00527633"/>
    <w:rsid w:val="00527941"/>
    <w:rsid w:val="00527BDB"/>
    <w:rsid w:val="00527CA0"/>
    <w:rsid w:val="00527D2C"/>
    <w:rsid w:val="00530034"/>
    <w:rsid w:val="00530142"/>
    <w:rsid w:val="00530409"/>
    <w:rsid w:val="005305E1"/>
    <w:rsid w:val="005306D6"/>
    <w:rsid w:val="00530873"/>
    <w:rsid w:val="00531197"/>
    <w:rsid w:val="005311A2"/>
    <w:rsid w:val="0053133D"/>
    <w:rsid w:val="005315ED"/>
    <w:rsid w:val="005316DF"/>
    <w:rsid w:val="00531765"/>
    <w:rsid w:val="005318D4"/>
    <w:rsid w:val="00531D5C"/>
    <w:rsid w:val="00531DD8"/>
    <w:rsid w:val="005321DB"/>
    <w:rsid w:val="0053276A"/>
    <w:rsid w:val="00532934"/>
    <w:rsid w:val="00532A97"/>
    <w:rsid w:val="00533288"/>
    <w:rsid w:val="0053336B"/>
    <w:rsid w:val="005333AD"/>
    <w:rsid w:val="005334C8"/>
    <w:rsid w:val="00533561"/>
    <w:rsid w:val="00533796"/>
    <w:rsid w:val="005337B5"/>
    <w:rsid w:val="00533C5F"/>
    <w:rsid w:val="00533E2B"/>
    <w:rsid w:val="00533E7C"/>
    <w:rsid w:val="00533EF5"/>
    <w:rsid w:val="00533F2C"/>
    <w:rsid w:val="0053402D"/>
    <w:rsid w:val="00534605"/>
    <w:rsid w:val="00534B3E"/>
    <w:rsid w:val="00534E0E"/>
    <w:rsid w:val="005355D9"/>
    <w:rsid w:val="0053566B"/>
    <w:rsid w:val="005358BC"/>
    <w:rsid w:val="005358F7"/>
    <w:rsid w:val="00535914"/>
    <w:rsid w:val="00535E36"/>
    <w:rsid w:val="00535F17"/>
    <w:rsid w:val="0053609F"/>
    <w:rsid w:val="005360FD"/>
    <w:rsid w:val="00536544"/>
    <w:rsid w:val="00536675"/>
    <w:rsid w:val="00536B9F"/>
    <w:rsid w:val="00536ED3"/>
    <w:rsid w:val="0053707D"/>
    <w:rsid w:val="005370E1"/>
    <w:rsid w:val="00537342"/>
    <w:rsid w:val="00537345"/>
    <w:rsid w:val="005404D7"/>
    <w:rsid w:val="00540547"/>
    <w:rsid w:val="00540777"/>
    <w:rsid w:val="00540946"/>
    <w:rsid w:val="005411A0"/>
    <w:rsid w:val="005411B9"/>
    <w:rsid w:val="005415B8"/>
    <w:rsid w:val="005417D6"/>
    <w:rsid w:val="00541B7A"/>
    <w:rsid w:val="00541D72"/>
    <w:rsid w:val="00542781"/>
    <w:rsid w:val="0054278E"/>
    <w:rsid w:val="00542B66"/>
    <w:rsid w:val="00542BC7"/>
    <w:rsid w:val="00542C4A"/>
    <w:rsid w:val="00543132"/>
    <w:rsid w:val="005431DF"/>
    <w:rsid w:val="005431F6"/>
    <w:rsid w:val="0054325A"/>
    <w:rsid w:val="0054370C"/>
    <w:rsid w:val="00543B01"/>
    <w:rsid w:val="00544151"/>
    <w:rsid w:val="00544553"/>
    <w:rsid w:val="005448A2"/>
    <w:rsid w:val="00544955"/>
    <w:rsid w:val="00544B78"/>
    <w:rsid w:val="005450A4"/>
    <w:rsid w:val="005455B9"/>
    <w:rsid w:val="005455C6"/>
    <w:rsid w:val="00545AE4"/>
    <w:rsid w:val="00545B0B"/>
    <w:rsid w:val="00545CE7"/>
    <w:rsid w:val="00545E96"/>
    <w:rsid w:val="005460CD"/>
    <w:rsid w:val="00546256"/>
    <w:rsid w:val="005468EF"/>
    <w:rsid w:val="005469E2"/>
    <w:rsid w:val="00546E06"/>
    <w:rsid w:val="005473BC"/>
    <w:rsid w:val="005474D6"/>
    <w:rsid w:val="00547576"/>
    <w:rsid w:val="00547657"/>
    <w:rsid w:val="0054796F"/>
    <w:rsid w:val="00547A52"/>
    <w:rsid w:val="005509AD"/>
    <w:rsid w:val="0055139E"/>
    <w:rsid w:val="005514C3"/>
    <w:rsid w:val="00551935"/>
    <w:rsid w:val="00551DC8"/>
    <w:rsid w:val="00552157"/>
    <w:rsid w:val="005527B5"/>
    <w:rsid w:val="00552C57"/>
    <w:rsid w:val="00552D6E"/>
    <w:rsid w:val="00552FB5"/>
    <w:rsid w:val="005538BC"/>
    <w:rsid w:val="00553940"/>
    <w:rsid w:val="00553A0A"/>
    <w:rsid w:val="0055477F"/>
    <w:rsid w:val="00554A5F"/>
    <w:rsid w:val="00554EB6"/>
    <w:rsid w:val="005550B4"/>
    <w:rsid w:val="00555119"/>
    <w:rsid w:val="00555395"/>
    <w:rsid w:val="00555406"/>
    <w:rsid w:val="005558D1"/>
    <w:rsid w:val="0055611D"/>
    <w:rsid w:val="00556C02"/>
    <w:rsid w:val="00556F06"/>
    <w:rsid w:val="00556F13"/>
    <w:rsid w:val="005575E9"/>
    <w:rsid w:val="005575EB"/>
    <w:rsid w:val="00557612"/>
    <w:rsid w:val="00557A63"/>
    <w:rsid w:val="00557C47"/>
    <w:rsid w:val="00557D48"/>
    <w:rsid w:val="00557E4C"/>
    <w:rsid w:val="00560285"/>
    <w:rsid w:val="00560408"/>
    <w:rsid w:val="0056056B"/>
    <w:rsid w:val="005606CD"/>
    <w:rsid w:val="00560952"/>
    <w:rsid w:val="00560AF5"/>
    <w:rsid w:val="0056112D"/>
    <w:rsid w:val="005615E9"/>
    <w:rsid w:val="005617FF"/>
    <w:rsid w:val="005621A2"/>
    <w:rsid w:val="0056229E"/>
    <w:rsid w:val="005622B3"/>
    <w:rsid w:val="00562961"/>
    <w:rsid w:val="00562CD2"/>
    <w:rsid w:val="00562EC4"/>
    <w:rsid w:val="00563138"/>
    <w:rsid w:val="005631E4"/>
    <w:rsid w:val="005634F5"/>
    <w:rsid w:val="005635C3"/>
    <w:rsid w:val="00563730"/>
    <w:rsid w:val="00563D9A"/>
    <w:rsid w:val="00563FAF"/>
    <w:rsid w:val="00564832"/>
    <w:rsid w:val="0056499A"/>
    <w:rsid w:val="00564EB7"/>
    <w:rsid w:val="0056552A"/>
    <w:rsid w:val="00565AC4"/>
    <w:rsid w:val="00565BEB"/>
    <w:rsid w:val="00565C14"/>
    <w:rsid w:val="00565E29"/>
    <w:rsid w:val="00566402"/>
    <w:rsid w:val="0056656E"/>
    <w:rsid w:val="00566936"/>
    <w:rsid w:val="00566ACF"/>
    <w:rsid w:val="00566FA6"/>
    <w:rsid w:val="005672C5"/>
    <w:rsid w:val="00567336"/>
    <w:rsid w:val="005673DC"/>
    <w:rsid w:val="00567A86"/>
    <w:rsid w:val="0057010F"/>
    <w:rsid w:val="005702F1"/>
    <w:rsid w:val="00570420"/>
    <w:rsid w:val="005706F7"/>
    <w:rsid w:val="00570711"/>
    <w:rsid w:val="005708DF"/>
    <w:rsid w:val="00570A0B"/>
    <w:rsid w:val="00570B09"/>
    <w:rsid w:val="00570CAB"/>
    <w:rsid w:val="00570FDB"/>
    <w:rsid w:val="00571577"/>
    <w:rsid w:val="00571A08"/>
    <w:rsid w:val="00571C84"/>
    <w:rsid w:val="00571F55"/>
    <w:rsid w:val="0057238C"/>
    <w:rsid w:val="00572CB9"/>
    <w:rsid w:val="00573038"/>
    <w:rsid w:val="005730B5"/>
    <w:rsid w:val="005730CF"/>
    <w:rsid w:val="00573181"/>
    <w:rsid w:val="005733DE"/>
    <w:rsid w:val="00573643"/>
    <w:rsid w:val="005737CF"/>
    <w:rsid w:val="00573B50"/>
    <w:rsid w:val="00573DA6"/>
    <w:rsid w:val="00573E57"/>
    <w:rsid w:val="00574415"/>
    <w:rsid w:val="0057463E"/>
    <w:rsid w:val="005747DF"/>
    <w:rsid w:val="005747E6"/>
    <w:rsid w:val="00574BC6"/>
    <w:rsid w:val="00574F1C"/>
    <w:rsid w:val="005753A7"/>
    <w:rsid w:val="00575400"/>
    <w:rsid w:val="005756A1"/>
    <w:rsid w:val="005756DB"/>
    <w:rsid w:val="00575746"/>
    <w:rsid w:val="00575D14"/>
    <w:rsid w:val="00575D91"/>
    <w:rsid w:val="00575EFA"/>
    <w:rsid w:val="00575FF5"/>
    <w:rsid w:val="00576064"/>
    <w:rsid w:val="0057625F"/>
    <w:rsid w:val="00576702"/>
    <w:rsid w:val="00577163"/>
    <w:rsid w:val="00577591"/>
    <w:rsid w:val="00577B31"/>
    <w:rsid w:val="00577B41"/>
    <w:rsid w:val="00577EB1"/>
    <w:rsid w:val="00580781"/>
    <w:rsid w:val="00580786"/>
    <w:rsid w:val="0058085F"/>
    <w:rsid w:val="00580916"/>
    <w:rsid w:val="00580D30"/>
    <w:rsid w:val="0058160C"/>
    <w:rsid w:val="005816C6"/>
    <w:rsid w:val="00581AEA"/>
    <w:rsid w:val="00581C49"/>
    <w:rsid w:val="005822D6"/>
    <w:rsid w:val="0058266C"/>
    <w:rsid w:val="00582DB5"/>
    <w:rsid w:val="00582F89"/>
    <w:rsid w:val="00583009"/>
    <w:rsid w:val="005832A6"/>
    <w:rsid w:val="00583511"/>
    <w:rsid w:val="0058377B"/>
    <w:rsid w:val="0058378C"/>
    <w:rsid w:val="00583980"/>
    <w:rsid w:val="00583A2D"/>
    <w:rsid w:val="00583A61"/>
    <w:rsid w:val="005842D2"/>
    <w:rsid w:val="0058436A"/>
    <w:rsid w:val="0058456F"/>
    <w:rsid w:val="00584814"/>
    <w:rsid w:val="00584893"/>
    <w:rsid w:val="005848D0"/>
    <w:rsid w:val="005855B4"/>
    <w:rsid w:val="005857B7"/>
    <w:rsid w:val="00585A49"/>
    <w:rsid w:val="00586CC3"/>
    <w:rsid w:val="00586FEC"/>
    <w:rsid w:val="005876A6"/>
    <w:rsid w:val="00587934"/>
    <w:rsid w:val="00587C95"/>
    <w:rsid w:val="00587E3F"/>
    <w:rsid w:val="00587F81"/>
    <w:rsid w:val="005906AE"/>
    <w:rsid w:val="00590F45"/>
    <w:rsid w:val="0059136F"/>
    <w:rsid w:val="005914E5"/>
    <w:rsid w:val="00591617"/>
    <w:rsid w:val="00591664"/>
    <w:rsid w:val="00592696"/>
    <w:rsid w:val="00592A60"/>
    <w:rsid w:val="00592CE0"/>
    <w:rsid w:val="00592E88"/>
    <w:rsid w:val="00592EDF"/>
    <w:rsid w:val="00592FD6"/>
    <w:rsid w:val="005945C4"/>
    <w:rsid w:val="005946B5"/>
    <w:rsid w:val="00594766"/>
    <w:rsid w:val="00594870"/>
    <w:rsid w:val="005949C7"/>
    <w:rsid w:val="00594AA0"/>
    <w:rsid w:val="00594AA4"/>
    <w:rsid w:val="00595389"/>
    <w:rsid w:val="005954C6"/>
    <w:rsid w:val="00595EDB"/>
    <w:rsid w:val="00596344"/>
    <w:rsid w:val="005966DC"/>
    <w:rsid w:val="00596710"/>
    <w:rsid w:val="005967D7"/>
    <w:rsid w:val="00596A98"/>
    <w:rsid w:val="00596ADC"/>
    <w:rsid w:val="00596E2D"/>
    <w:rsid w:val="00596EA1"/>
    <w:rsid w:val="005A04BF"/>
    <w:rsid w:val="005A0CA1"/>
    <w:rsid w:val="005A0CB5"/>
    <w:rsid w:val="005A1066"/>
    <w:rsid w:val="005A1098"/>
    <w:rsid w:val="005A1683"/>
    <w:rsid w:val="005A1793"/>
    <w:rsid w:val="005A1A91"/>
    <w:rsid w:val="005A218B"/>
    <w:rsid w:val="005A23DC"/>
    <w:rsid w:val="005A24BC"/>
    <w:rsid w:val="005A2864"/>
    <w:rsid w:val="005A2A56"/>
    <w:rsid w:val="005A2A7B"/>
    <w:rsid w:val="005A2CC3"/>
    <w:rsid w:val="005A3441"/>
    <w:rsid w:val="005A356D"/>
    <w:rsid w:val="005A3E78"/>
    <w:rsid w:val="005A3EB0"/>
    <w:rsid w:val="005A4747"/>
    <w:rsid w:val="005A47B9"/>
    <w:rsid w:val="005A4F88"/>
    <w:rsid w:val="005A533B"/>
    <w:rsid w:val="005A5686"/>
    <w:rsid w:val="005A5BF7"/>
    <w:rsid w:val="005A5D6E"/>
    <w:rsid w:val="005A66FF"/>
    <w:rsid w:val="005A6E7E"/>
    <w:rsid w:val="005A6F9F"/>
    <w:rsid w:val="005A7208"/>
    <w:rsid w:val="005A74A3"/>
    <w:rsid w:val="005A754C"/>
    <w:rsid w:val="005A7665"/>
    <w:rsid w:val="005A78B8"/>
    <w:rsid w:val="005A7DE0"/>
    <w:rsid w:val="005A7F98"/>
    <w:rsid w:val="005B002E"/>
    <w:rsid w:val="005B05EF"/>
    <w:rsid w:val="005B09BC"/>
    <w:rsid w:val="005B0C5E"/>
    <w:rsid w:val="005B108A"/>
    <w:rsid w:val="005B17AF"/>
    <w:rsid w:val="005B18D9"/>
    <w:rsid w:val="005B1C7E"/>
    <w:rsid w:val="005B1D61"/>
    <w:rsid w:val="005B2149"/>
    <w:rsid w:val="005B22D6"/>
    <w:rsid w:val="005B2539"/>
    <w:rsid w:val="005B27EE"/>
    <w:rsid w:val="005B29E7"/>
    <w:rsid w:val="005B2D54"/>
    <w:rsid w:val="005B3027"/>
    <w:rsid w:val="005B376E"/>
    <w:rsid w:val="005B3867"/>
    <w:rsid w:val="005B3AF0"/>
    <w:rsid w:val="005B3BAE"/>
    <w:rsid w:val="005B3E0E"/>
    <w:rsid w:val="005B3E3E"/>
    <w:rsid w:val="005B3F1D"/>
    <w:rsid w:val="005B44F4"/>
    <w:rsid w:val="005B4BED"/>
    <w:rsid w:val="005B5276"/>
    <w:rsid w:val="005B533D"/>
    <w:rsid w:val="005B54ED"/>
    <w:rsid w:val="005B6045"/>
    <w:rsid w:val="005B6678"/>
    <w:rsid w:val="005B672B"/>
    <w:rsid w:val="005B680B"/>
    <w:rsid w:val="005B6F46"/>
    <w:rsid w:val="005B6FCB"/>
    <w:rsid w:val="005B77DB"/>
    <w:rsid w:val="005B7BE5"/>
    <w:rsid w:val="005B7F91"/>
    <w:rsid w:val="005C0217"/>
    <w:rsid w:val="005C071A"/>
    <w:rsid w:val="005C0B55"/>
    <w:rsid w:val="005C0D77"/>
    <w:rsid w:val="005C124C"/>
    <w:rsid w:val="005C28BF"/>
    <w:rsid w:val="005C2C89"/>
    <w:rsid w:val="005C31C7"/>
    <w:rsid w:val="005C31EB"/>
    <w:rsid w:val="005C339D"/>
    <w:rsid w:val="005C3469"/>
    <w:rsid w:val="005C3DDB"/>
    <w:rsid w:val="005C43FE"/>
    <w:rsid w:val="005C459F"/>
    <w:rsid w:val="005C478D"/>
    <w:rsid w:val="005C4C90"/>
    <w:rsid w:val="005C519A"/>
    <w:rsid w:val="005C5291"/>
    <w:rsid w:val="005C52D5"/>
    <w:rsid w:val="005C5459"/>
    <w:rsid w:val="005C5639"/>
    <w:rsid w:val="005C5729"/>
    <w:rsid w:val="005C5931"/>
    <w:rsid w:val="005C6414"/>
    <w:rsid w:val="005C668B"/>
    <w:rsid w:val="005C67AB"/>
    <w:rsid w:val="005C681A"/>
    <w:rsid w:val="005C687A"/>
    <w:rsid w:val="005C6A12"/>
    <w:rsid w:val="005C7008"/>
    <w:rsid w:val="005C7038"/>
    <w:rsid w:val="005C718D"/>
    <w:rsid w:val="005C73D7"/>
    <w:rsid w:val="005C7593"/>
    <w:rsid w:val="005C78BC"/>
    <w:rsid w:val="005C795C"/>
    <w:rsid w:val="005D0067"/>
    <w:rsid w:val="005D1008"/>
    <w:rsid w:val="005D1153"/>
    <w:rsid w:val="005D118C"/>
    <w:rsid w:val="005D15E6"/>
    <w:rsid w:val="005D1B88"/>
    <w:rsid w:val="005D1C1F"/>
    <w:rsid w:val="005D1D2A"/>
    <w:rsid w:val="005D1DD6"/>
    <w:rsid w:val="005D201A"/>
    <w:rsid w:val="005D20EC"/>
    <w:rsid w:val="005D21BD"/>
    <w:rsid w:val="005D2D7F"/>
    <w:rsid w:val="005D3328"/>
    <w:rsid w:val="005D3568"/>
    <w:rsid w:val="005D375A"/>
    <w:rsid w:val="005D38F7"/>
    <w:rsid w:val="005D3C15"/>
    <w:rsid w:val="005D3D1F"/>
    <w:rsid w:val="005D41FA"/>
    <w:rsid w:val="005D4221"/>
    <w:rsid w:val="005D44FB"/>
    <w:rsid w:val="005D4781"/>
    <w:rsid w:val="005D48A1"/>
    <w:rsid w:val="005D5150"/>
    <w:rsid w:val="005D531B"/>
    <w:rsid w:val="005D57BE"/>
    <w:rsid w:val="005D5810"/>
    <w:rsid w:val="005D5C6F"/>
    <w:rsid w:val="005D5CFE"/>
    <w:rsid w:val="005D63E7"/>
    <w:rsid w:val="005D6A26"/>
    <w:rsid w:val="005D6E25"/>
    <w:rsid w:val="005D708B"/>
    <w:rsid w:val="005D7702"/>
    <w:rsid w:val="005D78AC"/>
    <w:rsid w:val="005E03B2"/>
    <w:rsid w:val="005E04D4"/>
    <w:rsid w:val="005E090B"/>
    <w:rsid w:val="005E0D65"/>
    <w:rsid w:val="005E1247"/>
    <w:rsid w:val="005E1527"/>
    <w:rsid w:val="005E17DF"/>
    <w:rsid w:val="005E190A"/>
    <w:rsid w:val="005E190B"/>
    <w:rsid w:val="005E20BB"/>
    <w:rsid w:val="005E21D4"/>
    <w:rsid w:val="005E229D"/>
    <w:rsid w:val="005E23BF"/>
    <w:rsid w:val="005E294C"/>
    <w:rsid w:val="005E2ECF"/>
    <w:rsid w:val="005E34FA"/>
    <w:rsid w:val="005E3814"/>
    <w:rsid w:val="005E43A8"/>
    <w:rsid w:val="005E45DA"/>
    <w:rsid w:val="005E4A73"/>
    <w:rsid w:val="005E4B79"/>
    <w:rsid w:val="005E4D3A"/>
    <w:rsid w:val="005E4FC9"/>
    <w:rsid w:val="005E5175"/>
    <w:rsid w:val="005E51F9"/>
    <w:rsid w:val="005E5B20"/>
    <w:rsid w:val="005E5CB9"/>
    <w:rsid w:val="005E644F"/>
    <w:rsid w:val="005E6451"/>
    <w:rsid w:val="005E6CAA"/>
    <w:rsid w:val="005E6EE3"/>
    <w:rsid w:val="005E7733"/>
    <w:rsid w:val="005E7820"/>
    <w:rsid w:val="005F071D"/>
    <w:rsid w:val="005F07BD"/>
    <w:rsid w:val="005F1105"/>
    <w:rsid w:val="005F150A"/>
    <w:rsid w:val="005F155C"/>
    <w:rsid w:val="005F156F"/>
    <w:rsid w:val="005F1E83"/>
    <w:rsid w:val="005F2451"/>
    <w:rsid w:val="005F2906"/>
    <w:rsid w:val="005F2A58"/>
    <w:rsid w:val="005F3024"/>
    <w:rsid w:val="005F312A"/>
    <w:rsid w:val="005F32AA"/>
    <w:rsid w:val="005F33D8"/>
    <w:rsid w:val="005F34C7"/>
    <w:rsid w:val="005F3B16"/>
    <w:rsid w:val="005F3D56"/>
    <w:rsid w:val="005F3EB2"/>
    <w:rsid w:val="005F40A8"/>
    <w:rsid w:val="005F40F7"/>
    <w:rsid w:val="005F448C"/>
    <w:rsid w:val="005F44E6"/>
    <w:rsid w:val="005F4568"/>
    <w:rsid w:val="005F4734"/>
    <w:rsid w:val="005F49CE"/>
    <w:rsid w:val="005F4B86"/>
    <w:rsid w:val="005F4BFF"/>
    <w:rsid w:val="005F4C16"/>
    <w:rsid w:val="005F4DA9"/>
    <w:rsid w:val="005F4EE1"/>
    <w:rsid w:val="005F5279"/>
    <w:rsid w:val="005F531E"/>
    <w:rsid w:val="005F53EC"/>
    <w:rsid w:val="005F545D"/>
    <w:rsid w:val="005F59CD"/>
    <w:rsid w:val="005F5A6D"/>
    <w:rsid w:val="005F60EC"/>
    <w:rsid w:val="005F6489"/>
    <w:rsid w:val="005F64E9"/>
    <w:rsid w:val="005F6826"/>
    <w:rsid w:val="005F6C21"/>
    <w:rsid w:val="005F722C"/>
    <w:rsid w:val="005F731A"/>
    <w:rsid w:val="005F739C"/>
    <w:rsid w:val="005F7544"/>
    <w:rsid w:val="005F7778"/>
    <w:rsid w:val="005F7B28"/>
    <w:rsid w:val="005F7D3A"/>
    <w:rsid w:val="005F7DC6"/>
    <w:rsid w:val="006006DE"/>
    <w:rsid w:val="00600CAF"/>
    <w:rsid w:val="00600CBF"/>
    <w:rsid w:val="00600EE2"/>
    <w:rsid w:val="00601A4C"/>
    <w:rsid w:val="00601C22"/>
    <w:rsid w:val="00602437"/>
    <w:rsid w:val="0060275A"/>
    <w:rsid w:val="006029A8"/>
    <w:rsid w:val="00602BCB"/>
    <w:rsid w:val="006036E3"/>
    <w:rsid w:val="0060380D"/>
    <w:rsid w:val="00603DF8"/>
    <w:rsid w:val="00603EE6"/>
    <w:rsid w:val="00603FE5"/>
    <w:rsid w:val="006042F9"/>
    <w:rsid w:val="0060451E"/>
    <w:rsid w:val="006045FF"/>
    <w:rsid w:val="00604BA9"/>
    <w:rsid w:val="00604CFB"/>
    <w:rsid w:val="00604EBC"/>
    <w:rsid w:val="00605392"/>
    <w:rsid w:val="00605460"/>
    <w:rsid w:val="00605764"/>
    <w:rsid w:val="00605CC8"/>
    <w:rsid w:val="00605EF8"/>
    <w:rsid w:val="006060C6"/>
    <w:rsid w:val="00606198"/>
    <w:rsid w:val="006065DB"/>
    <w:rsid w:val="006067CE"/>
    <w:rsid w:val="006067F3"/>
    <w:rsid w:val="006068F5"/>
    <w:rsid w:val="00606BA6"/>
    <w:rsid w:val="00606C0C"/>
    <w:rsid w:val="00606CB7"/>
    <w:rsid w:val="00606D52"/>
    <w:rsid w:val="00606E28"/>
    <w:rsid w:val="00606FBB"/>
    <w:rsid w:val="0060722E"/>
    <w:rsid w:val="006075A6"/>
    <w:rsid w:val="00607613"/>
    <w:rsid w:val="006076A5"/>
    <w:rsid w:val="00607A49"/>
    <w:rsid w:val="00610597"/>
    <w:rsid w:val="006107B4"/>
    <w:rsid w:val="006109BF"/>
    <w:rsid w:val="00610B36"/>
    <w:rsid w:val="00610C7B"/>
    <w:rsid w:val="00610CE3"/>
    <w:rsid w:val="00610E34"/>
    <w:rsid w:val="00610F18"/>
    <w:rsid w:val="00610FF2"/>
    <w:rsid w:val="006110AE"/>
    <w:rsid w:val="006114CE"/>
    <w:rsid w:val="00611508"/>
    <w:rsid w:val="00611849"/>
    <w:rsid w:val="00611BD1"/>
    <w:rsid w:val="00612001"/>
    <w:rsid w:val="00612CF7"/>
    <w:rsid w:val="006130B6"/>
    <w:rsid w:val="0061346E"/>
    <w:rsid w:val="006134B0"/>
    <w:rsid w:val="0061355D"/>
    <w:rsid w:val="00613F36"/>
    <w:rsid w:val="00614441"/>
    <w:rsid w:val="006147F6"/>
    <w:rsid w:val="0061494A"/>
    <w:rsid w:val="0061495D"/>
    <w:rsid w:val="00614E86"/>
    <w:rsid w:val="00614EF3"/>
    <w:rsid w:val="006150CF"/>
    <w:rsid w:val="00615152"/>
    <w:rsid w:val="006154D3"/>
    <w:rsid w:val="00615BE7"/>
    <w:rsid w:val="00615E11"/>
    <w:rsid w:val="00615F7A"/>
    <w:rsid w:val="00616400"/>
    <w:rsid w:val="00616410"/>
    <w:rsid w:val="006166C4"/>
    <w:rsid w:val="00616A1F"/>
    <w:rsid w:val="00616D98"/>
    <w:rsid w:val="006170DC"/>
    <w:rsid w:val="00617142"/>
    <w:rsid w:val="006173D6"/>
    <w:rsid w:val="00617489"/>
    <w:rsid w:val="006175BC"/>
    <w:rsid w:val="00617801"/>
    <w:rsid w:val="006200FE"/>
    <w:rsid w:val="00620B45"/>
    <w:rsid w:val="00621144"/>
    <w:rsid w:val="00621242"/>
    <w:rsid w:val="0062142C"/>
    <w:rsid w:val="0062148E"/>
    <w:rsid w:val="006215C2"/>
    <w:rsid w:val="00621B7B"/>
    <w:rsid w:val="00622093"/>
    <w:rsid w:val="0062251C"/>
    <w:rsid w:val="0062254A"/>
    <w:rsid w:val="0062293D"/>
    <w:rsid w:val="006229D0"/>
    <w:rsid w:val="0062332C"/>
    <w:rsid w:val="00623C3A"/>
    <w:rsid w:val="00623DB4"/>
    <w:rsid w:val="00623E98"/>
    <w:rsid w:val="00623EE6"/>
    <w:rsid w:val="006240CA"/>
    <w:rsid w:val="00624126"/>
    <w:rsid w:val="0062481A"/>
    <w:rsid w:val="0062487E"/>
    <w:rsid w:val="00624D39"/>
    <w:rsid w:val="00624D42"/>
    <w:rsid w:val="0062544D"/>
    <w:rsid w:val="00625453"/>
    <w:rsid w:val="00625A1E"/>
    <w:rsid w:val="006260B1"/>
    <w:rsid w:val="0062630D"/>
    <w:rsid w:val="0062638B"/>
    <w:rsid w:val="00626575"/>
    <w:rsid w:val="0062695C"/>
    <w:rsid w:val="00626D52"/>
    <w:rsid w:val="00626FA7"/>
    <w:rsid w:val="006270BF"/>
    <w:rsid w:val="0062714F"/>
    <w:rsid w:val="0062717B"/>
    <w:rsid w:val="006272DA"/>
    <w:rsid w:val="0062739C"/>
    <w:rsid w:val="00627772"/>
    <w:rsid w:val="00627D43"/>
    <w:rsid w:val="00630681"/>
    <w:rsid w:val="00630A1B"/>
    <w:rsid w:val="00630DD7"/>
    <w:rsid w:val="00631741"/>
    <w:rsid w:val="0063183D"/>
    <w:rsid w:val="00631B5A"/>
    <w:rsid w:val="00631C61"/>
    <w:rsid w:val="0063203D"/>
    <w:rsid w:val="0063212E"/>
    <w:rsid w:val="006324C7"/>
    <w:rsid w:val="00632820"/>
    <w:rsid w:val="00632A84"/>
    <w:rsid w:val="00632AB3"/>
    <w:rsid w:val="00632AE7"/>
    <w:rsid w:val="0063309F"/>
    <w:rsid w:val="00633481"/>
    <w:rsid w:val="00633672"/>
    <w:rsid w:val="0063370F"/>
    <w:rsid w:val="00633ABA"/>
    <w:rsid w:val="00633D8F"/>
    <w:rsid w:val="00633E73"/>
    <w:rsid w:val="00633F3E"/>
    <w:rsid w:val="00634099"/>
    <w:rsid w:val="0063469C"/>
    <w:rsid w:val="00634872"/>
    <w:rsid w:val="00634DB4"/>
    <w:rsid w:val="00634DB5"/>
    <w:rsid w:val="00635941"/>
    <w:rsid w:val="00635E49"/>
    <w:rsid w:val="00636075"/>
    <w:rsid w:val="00636101"/>
    <w:rsid w:val="0063647F"/>
    <w:rsid w:val="00636B95"/>
    <w:rsid w:val="00636F35"/>
    <w:rsid w:val="00637076"/>
    <w:rsid w:val="00637146"/>
    <w:rsid w:val="0063746A"/>
    <w:rsid w:val="0063749B"/>
    <w:rsid w:val="00640347"/>
    <w:rsid w:val="00640975"/>
    <w:rsid w:val="00640EEA"/>
    <w:rsid w:val="0064156E"/>
    <w:rsid w:val="006416E0"/>
    <w:rsid w:val="0064193B"/>
    <w:rsid w:val="00641DB5"/>
    <w:rsid w:val="00642180"/>
    <w:rsid w:val="006421C8"/>
    <w:rsid w:val="00642352"/>
    <w:rsid w:val="0064241E"/>
    <w:rsid w:val="0064244E"/>
    <w:rsid w:val="006425B8"/>
    <w:rsid w:val="006426C2"/>
    <w:rsid w:val="006426E6"/>
    <w:rsid w:val="0064287D"/>
    <w:rsid w:val="00642990"/>
    <w:rsid w:val="00642B74"/>
    <w:rsid w:val="00643090"/>
    <w:rsid w:val="00643421"/>
    <w:rsid w:val="00643642"/>
    <w:rsid w:val="00643726"/>
    <w:rsid w:val="00643892"/>
    <w:rsid w:val="00643E4C"/>
    <w:rsid w:val="00643F4A"/>
    <w:rsid w:val="006448A6"/>
    <w:rsid w:val="00644E58"/>
    <w:rsid w:val="00644F98"/>
    <w:rsid w:val="00644FBC"/>
    <w:rsid w:val="006462F0"/>
    <w:rsid w:val="006466CD"/>
    <w:rsid w:val="006469A5"/>
    <w:rsid w:val="00646B43"/>
    <w:rsid w:val="00646D8B"/>
    <w:rsid w:val="00646E21"/>
    <w:rsid w:val="006474D6"/>
    <w:rsid w:val="00647522"/>
    <w:rsid w:val="0064759C"/>
    <w:rsid w:val="00647821"/>
    <w:rsid w:val="00647ACB"/>
    <w:rsid w:val="00647F3C"/>
    <w:rsid w:val="0065013C"/>
    <w:rsid w:val="00650152"/>
    <w:rsid w:val="0065037B"/>
    <w:rsid w:val="006508E3"/>
    <w:rsid w:val="00650D80"/>
    <w:rsid w:val="00650FAE"/>
    <w:rsid w:val="006510F3"/>
    <w:rsid w:val="0065139D"/>
    <w:rsid w:val="00651784"/>
    <w:rsid w:val="00651D4C"/>
    <w:rsid w:val="00652376"/>
    <w:rsid w:val="0065246A"/>
    <w:rsid w:val="006529A5"/>
    <w:rsid w:val="00652DC8"/>
    <w:rsid w:val="00652E1A"/>
    <w:rsid w:val="00653456"/>
    <w:rsid w:val="00653686"/>
    <w:rsid w:val="006539CA"/>
    <w:rsid w:val="00653D68"/>
    <w:rsid w:val="00653FE4"/>
    <w:rsid w:val="006541A8"/>
    <w:rsid w:val="006541EB"/>
    <w:rsid w:val="0065446C"/>
    <w:rsid w:val="006549FE"/>
    <w:rsid w:val="006561DC"/>
    <w:rsid w:val="00656340"/>
    <w:rsid w:val="0065660F"/>
    <w:rsid w:val="00656EA5"/>
    <w:rsid w:val="00657736"/>
    <w:rsid w:val="00657889"/>
    <w:rsid w:val="006578CF"/>
    <w:rsid w:val="00657D74"/>
    <w:rsid w:val="00657DED"/>
    <w:rsid w:val="00657DF3"/>
    <w:rsid w:val="0066058A"/>
    <w:rsid w:val="00660597"/>
    <w:rsid w:val="006607F2"/>
    <w:rsid w:val="0066082D"/>
    <w:rsid w:val="00660D1A"/>
    <w:rsid w:val="00660FC9"/>
    <w:rsid w:val="00661316"/>
    <w:rsid w:val="0066148E"/>
    <w:rsid w:val="0066185A"/>
    <w:rsid w:val="006619D4"/>
    <w:rsid w:val="00662453"/>
    <w:rsid w:val="006624A5"/>
    <w:rsid w:val="00662673"/>
    <w:rsid w:val="006626EE"/>
    <w:rsid w:val="00662757"/>
    <w:rsid w:val="0066275B"/>
    <w:rsid w:val="00662BF2"/>
    <w:rsid w:val="00662D2F"/>
    <w:rsid w:val="00662F6D"/>
    <w:rsid w:val="00662F9B"/>
    <w:rsid w:val="0066332B"/>
    <w:rsid w:val="006635E5"/>
    <w:rsid w:val="006636F0"/>
    <w:rsid w:val="006645E4"/>
    <w:rsid w:val="00665055"/>
    <w:rsid w:val="00665364"/>
    <w:rsid w:val="00665881"/>
    <w:rsid w:val="00665B8C"/>
    <w:rsid w:val="00665E93"/>
    <w:rsid w:val="00665EB3"/>
    <w:rsid w:val="00665F7F"/>
    <w:rsid w:val="0066635C"/>
    <w:rsid w:val="00666C3C"/>
    <w:rsid w:val="00666CC1"/>
    <w:rsid w:val="00666E61"/>
    <w:rsid w:val="00666F84"/>
    <w:rsid w:val="006670F3"/>
    <w:rsid w:val="006672F0"/>
    <w:rsid w:val="006674E8"/>
    <w:rsid w:val="00667898"/>
    <w:rsid w:val="00667916"/>
    <w:rsid w:val="00667E3A"/>
    <w:rsid w:val="00667FF6"/>
    <w:rsid w:val="006700BF"/>
    <w:rsid w:val="00670495"/>
    <w:rsid w:val="00670C95"/>
    <w:rsid w:val="00671417"/>
    <w:rsid w:val="00671676"/>
    <w:rsid w:val="00671795"/>
    <w:rsid w:val="0067182A"/>
    <w:rsid w:val="006718B2"/>
    <w:rsid w:val="00671AA8"/>
    <w:rsid w:val="006721B6"/>
    <w:rsid w:val="00672285"/>
    <w:rsid w:val="006722EE"/>
    <w:rsid w:val="00672649"/>
    <w:rsid w:val="0067288F"/>
    <w:rsid w:val="00672E2D"/>
    <w:rsid w:val="0067304D"/>
    <w:rsid w:val="0067382E"/>
    <w:rsid w:val="00673861"/>
    <w:rsid w:val="00673D01"/>
    <w:rsid w:val="00673D6A"/>
    <w:rsid w:val="00673DF9"/>
    <w:rsid w:val="00674241"/>
    <w:rsid w:val="0067485D"/>
    <w:rsid w:val="00674A78"/>
    <w:rsid w:val="00675085"/>
    <w:rsid w:val="006751F2"/>
    <w:rsid w:val="00675A25"/>
    <w:rsid w:val="00675A46"/>
    <w:rsid w:val="00675F61"/>
    <w:rsid w:val="00676075"/>
    <w:rsid w:val="0067661D"/>
    <w:rsid w:val="006768A1"/>
    <w:rsid w:val="00676D9D"/>
    <w:rsid w:val="00676E9A"/>
    <w:rsid w:val="0067708E"/>
    <w:rsid w:val="006772A3"/>
    <w:rsid w:val="006772F0"/>
    <w:rsid w:val="00680943"/>
    <w:rsid w:val="00680A8E"/>
    <w:rsid w:val="00680B0D"/>
    <w:rsid w:val="00680BD2"/>
    <w:rsid w:val="0068105C"/>
    <w:rsid w:val="00681593"/>
    <w:rsid w:val="00681908"/>
    <w:rsid w:val="00681FEE"/>
    <w:rsid w:val="00682027"/>
    <w:rsid w:val="006824B0"/>
    <w:rsid w:val="006824D3"/>
    <w:rsid w:val="00682C1B"/>
    <w:rsid w:val="00682EC7"/>
    <w:rsid w:val="006834D4"/>
    <w:rsid w:val="006836AB"/>
    <w:rsid w:val="00683F9B"/>
    <w:rsid w:val="0068405D"/>
    <w:rsid w:val="006840AE"/>
    <w:rsid w:val="0068438B"/>
    <w:rsid w:val="0068444E"/>
    <w:rsid w:val="0068444F"/>
    <w:rsid w:val="00684747"/>
    <w:rsid w:val="006847C6"/>
    <w:rsid w:val="0068496C"/>
    <w:rsid w:val="00684C65"/>
    <w:rsid w:val="00684EB5"/>
    <w:rsid w:val="00684F95"/>
    <w:rsid w:val="006852B6"/>
    <w:rsid w:val="006854F0"/>
    <w:rsid w:val="006856DE"/>
    <w:rsid w:val="00685977"/>
    <w:rsid w:val="00685A8D"/>
    <w:rsid w:val="00685BC7"/>
    <w:rsid w:val="006860DA"/>
    <w:rsid w:val="00686207"/>
    <w:rsid w:val="0068692E"/>
    <w:rsid w:val="00686BDD"/>
    <w:rsid w:val="00687021"/>
    <w:rsid w:val="0068749A"/>
    <w:rsid w:val="0068754A"/>
    <w:rsid w:val="00687932"/>
    <w:rsid w:val="00690237"/>
    <w:rsid w:val="00690480"/>
    <w:rsid w:val="006906A3"/>
    <w:rsid w:val="006907FC"/>
    <w:rsid w:val="00690B89"/>
    <w:rsid w:val="00690D16"/>
    <w:rsid w:val="00691397"/>
    <w:rsid w:val="0069146A"/>
    <w:rsid w:val="0069185E"/>
    <w:rsid w:val="00691925"/>
    <w:rsid w:val="00691CBA"/>
    <w:rsid w:val="00691D00"/>
    <w:rsid w:val="00691EAC"/>
    <w:rsid w:val="00692089"/>
    <w:rsid w:val="0069269F"/>
    <w:rsid w:val="00692767"/>
    <w:rsid w:val="0069298D"/>
    <w:rsid w:val="00692A07"/>
    <w:rsid w:val="00692C81"/>
    <w:rsid w:val="00692DB0"/>
    <w:rsid w:val="00692F26"/>
    <w:rsid w:val="0069335E"/>
    <w:rsid w:val="00693B5D"/>
    <w:rsid w:val="00693BDA"/>
    <w:rsid w:val="00694257"/>
    <w:rsid w:val="006942BA"/>
    <w:rsid w:val="006943D4"/>
    <w:rsid w:val="006945A7"/>
    <w:rsid w:val="0069472B"/>
    <w:rsid w:val="00694731"/>
    <w:rsid w:val="00694736"/>
    <w:rsid w:val="00694C1E"/>
    <w:rsid w:val="006954F7"/>
    <w:rsid w:val="00695ADF"/>
    <w:rsid w:val="00695E46"/>
    <w:rsid w:val="00695FC9"/>
    <w:rsid w:val="00696047"/>
    <w:rsid w:val="00696184"/>
    <w:rsid w:val="00696238"/>
    <w:rsid w:val="0069663D"/>
    <w:rsid w:val="006969F9"/>
    <w:rsid w:val="00696C70"/>
    <w:rsid w:val="00697276"/>
    <w:rsid w:val="006976CC"/>
    <w:rsid w:val="0069777D"/>
    <w:rsid w:val="006977F3"/>
    <w:rsid w:val="006979BF"/>
    <w:rsid w:val="006A0578"/>
    <w:rsid w:val="006A07FD"/>
    <w:rsid w:val="006A08E4"/>
    <w:rsid w:val="006A0BB8"/>
    <w:rsid w:val="006A0C42"/>
    <w:rsid w:val="006A0DC4"/>
    <w:rsid w:val="006A1151"/>
    <w:rsid w:val="006A169C"/>
    <w:rsid w:val="006A1FB8"/>
    <w:rsid w:val="006A2234"/>
    <w:rsid w:val="006A2AFC"/>
    <w:rsid w:val="006A2E34"/>
    <w:rsid w:val="006A3AA3"/>
    <w:rsid w:val="006A42DD"/>
    <w:rsid w:val="006A5335"/>
    <w:rsid w:val="006A54FD"/>
    <w:rsid w:val="006A565D"/>
    <w:rsid w:val="006A5801"/>
    <w:rsid w:val="006A5AB6"/>
    <w:rsid w:val="006A5AF0"/>
    <w:rsid w:val="006A5E2B"/>
    <w:rsid w:val="006A6158"/>
    <w:rsid w:val="006A6435"/>
    <w:rsid w:val="006A65E5"/>
    <w:rsid w:val="006A668C"/>
    <w:rsid w:val="006A6B7D"/>
    <w:rsid w:val="006A6C51"/>
    <w:rsid w:val="006A6CCB"/>
    <w:rsid w:val="006A6EC7"/>
    <w:rsid w:val="006A752F"/>
    <w:rsid w:val="006A78EA"/>
    <w:rsid w:val="006A7F24"/>
    <w:rsid w:val="006A7FB3"/>
    <w:rsid w:val="006B0104"/>
    <w:rsid w:val="006B02B3"/>
    <w:rsid w:val="006B088F"/>
    <w:rsid w:val="006B10F0"/>
    <w:rsid w:val="006B1522"/>
    <w:rsid w:val="006B1821"/>
    <w:rsid w:val="006B1A93"/>
    <w:rsid w:val="006B1AD9"/>
    <w:rsid w:val="006B1AF3"/>
    <w:rsid w:val="006B1C04"/>
    <w:rsid w:val="006B1CC5"/>
    <w:rsid w:val="006B1DD3"/>
    <w:rsid w:val="006B2418"/>
    <w:rsid w:val="006B2A76"/>
    <w:rsid w:val="006B2B53"/>
    <w:rsid w:val="006B2F64"/>
    <w:rsid w:val="006B3085"/>
    <w:rsid w:val="006B32F5"/>
    <w:rsid w:val="006B3BBB"/>
    <w:rsid w:val="006B3BED"/>
    <w:rsid w:val="006B3D99"/>
    <w:rsid w:val="006B3DC2"/>
    <w:rsid w:val="006B3FB8"/>
    <w:rsid w:val="006B42B9"/>
    <w:rsid w:val="006B4697"/>
    <w:rsid w:val="006B4FD7"/>
    <w:rsid w:val="006B505A"/>
    <w:rsid w:val="006B5081"/>
    <w:rsid w:val="006B5A57"/>
    <w:rsid w:val="006B5AD6"/>
    <w:rsid w:val="006B5E3C"/>
    <w:rsid w:val="006B6126"/>
    <w:rsid w:val="006B679A"/>
    <w:rsid w:val="006B69CC"/>
    <w:rsid w:val="006B6F55"/>
    <w:rsid w:val="006B6FDA"/>
    <w:rsid w:val="006B711D"/>
    <w:rsid w:val="006B781A"/>
    <w:rsid w:val="006B7C70"/>
    <w:rsid w:val="006C0190"/>
    <w:rsid w:val="006C0203"/>
    <w:rsid w:val="006C0728"/>
    <w:rsid w:val="006C0D6D"/>
    <w:rsid w:val="006C0FFB"/>
    <w:rsid w:val="006C10C0"/>
    <w:rsid w:val="006C1A67"/>
    <w:rsid w:val="006C1B2D"/>
    <w:rsid w:val="006C208B"/>
    <w:rsid w:val="006C2144"/>
    <w:rsid w:val="006C233F"/>
    <w:rsid w:val="006C23FE"/>
    <w:rsid w:val="006C2761"/>
    <w:rsid w:val="006C2AEC"/>
    <w:rsid w:val="006C2BB9"/>
    <w:rsid w:val="006C2EF8"/>
    <w:rsid w:val="006C2FBD"/>
    <w:rsid w:val="006C3618"/>
    <w:rsid w:val="006C37A5"/>
    <w:rsid w:val="006C38DC"/>
    <w:rsid w:val="006C424B"/>
    <w:rsid w:val="006C4877"/>
    <w:rsid w:val="006C4E1E"/>
    <w:rsid w:val="006C4FBB"/>
    <w:rsid w:val="006C505C"/>
    <w:rsid w:val="006C571E"/>
    <w:rsid w:val="006C5880"/>
    <w:rsid w:val="006C5940"/>
    <w:rsid w:val="006C5C30"/>
    <w:rsid w:val="006C60A4"/>
    <w:rsid w:val="006C63D2"/>
    <w:rsid w:val="006C6645"/>
    <w:rsid w:val="006C6664"/>
    <w:rsid w:val="006C6688"/>
    <w:rsid w:val="006C6B9C"/>
    <w:rsid w:val="006C6DE8"/>
    <w:rsid w:val="006C7017"/>
    <w:rsid w:val="006C71E8"/>
    <w:rsid w:val="006C78D0"/>
    <w:rsid w:val="006C79D6"/>
    <w:rsid w:val="006D0185"/>
    <w:rsid w:val="006D04D5"/>
    <w:rsid w:val="006D0621"/>
    <w:rsid w:val="006D06C8"/>
    <w:rsid w:val="006D0ACB"/>
    <w:rsid w:val="006D1410"/>
    <w:rsid w:val="006D145F"/>
    <w:rsid w:val="006D177B"/>
    <w:rsid w:val="006D17E9"/>
    <w:rsid w:val="006D1B7A"/>
    <w:rsid w:val="006D1C0D"/>
    <w:rsid w:val="006D22F8"/>
    <w:rsid w:val="006D25AC"/>
    <w:rsid w:val="006D27E8"/>
    <w:rsid w:val="006D2DA5"/>
    <w:rsid w:val="006D2DDE"/>
    <w:rsid w:val="006D3077"/>
    <w:rsid w:val="006D309D"/>
    <w:rsid w:val="006D30FF"/>
    <w:rsid w:val="006D3442"/>
    <w:rsid w:val="006D3699"/>
    <w:rsid w:val="006D374F"/>
    <w:rsid w:val="006D37AE"/>
    <w:rsid w:val="006D3F72"/>
    <w:rsid w:val="006D414C"/>
    <w:rsid w:val="006D4521"/>
    <w:rsid w:val="006D4895"/>
    <w:rsid w:val="006D4AB3"/>
    <w:rsid w:val="006D4B32"/>
    <w:rsid w:val="006D50DD"/>
    <w:rsid w:val="006D5272"/>
    <w:rsid w:val="006D535B"/>
    <w:rsid w:val="006D540F"/>
    <w:rsid w:val="006D561E"/>
    <w:rsid w:val="006D579D"/>
    <w:rsid w:val="006D57F3"/>
    <w:rsid w:val="006D5903"/>
    <w:rsid w:val="006D6089"/>
    <w:rsid w:val="006D6123"/>
    <w:rsid w:val="006D61D9"/>
    <w:rsid w:val="006D620A"/>
    <w:rsid w:val="006D64FA"/>
    <w:rsid w:val="006D66F6"/>
    <w:rsid w:val="006D68CE"/>
    <w:rsid w:val="006D6B09"/>
    <w:rsid w:val="006D6BB7"/>
    <w:rsid w:val="006D6C0B"/>
    <w:rsid w:val="006D6E0C"/>
    <w:rsid w:val="006D6F93"/>
    <w:rsid w:val="006D72F5"/>
    <w:rsid w:val="006D730D"/>
    <w:rsid w:val="006D740E"/>
    <w:rsid w:val="006D7963"/>
    <w:rsid w:val="006D7A57"/>
    <w:rsid w:val="006D7F66"/>
    <w:rsid w:val="006E003E"/>
    <w:rsid w:val="006E0150"/>
    <w:rsid w:val="006E01D9"/>
    <w:rsid w:val="006E04FB"/>
    <w:rsid w:val="006E05BE"/>
    <w:rsid w:val="006E0612"/>
    <w:rsid w:val="006E08A0"/>
    <w:rsid w:val="006E0B3E"/>
    <w:rsid w:val="006E0BD9"/>
    <w:rsid w:val="006E0E06"/>
    <w:rsid w:val="006E1267"/>
    <w:rsid w:val="006E14DC"/>
    <w:rsid w:val="006E1747"/>
    <w:rsid w:val="006E1991"/>
    <w:rsid w:val="006E1FBC"/>
    <w:rsid w:val="006E28A1"/>
    <w:rsid w:val="006E2C0A"/>
    <w:rsid w:val="006E2DAA"/>
    <w:rsid w:val="006E30C2"/>
    <w:rsid w:val="006E324D"/>
    <w:rsid w:val="006E3308"/>
    <w:rsid w:val="006E398C"/>
    <w:rsid w:val="006E3A0E"/>
    <w:rsid w:val="006E3BFF"/>
    <w:rsid w:val="006E4404"/>
    <w:rsid w:val="006E44A6"/>
    <w:rsid w:val="006E463C"/>
    <w:rsid w:val="006E4A89"/>
    <w:rsid w:val="006E518E"/>
    <w:rsid w:val="006E52AE"/>
    <w:rsid w:val="006E52D2"/>
    <w:rsid w:val="006E5447"/>
    <w:rsid w:val="006E5650"/>
    <w:rsid w:val="006E599A"/>
    <w:rsid w:val="006E5A2A"/>
    <w:rsid w:val="006E5E8C"/>
    <w:rsid w:val="006E611D"/>
    <w:rsid w:val="006E6864"/>
    <w:rsid w:val="006E6B2C"/>
    <w:rsid w:val="006E73D1"/>
    <w:rsid w:val="006E7CF7"/>
    <w:rsid w:val="006E7F90"/>
    <w:rsid w:val="006F0442"/>
    <w:rsid w:val="006F05F7"/>
    <w:rsid w:val="006F0912"/>
    <w:rsid w:val="006F193D"/>
    <w:rsid w:val="006F1C49"/>
    <w:rsid w:val="006F1C55"/>
    <w:rsid w:val="006F1CFF"/>
    <w:rsid w:val="006F1D6E"/>
    <w:rsid w:val="006F211E"/>
    <w:rsid w:val="006F2640"/>
    <w:rsid w:val="006F26A5"/>
    <w:rsid w:val="006F2984"/>
    <w:rsid w:val="006F2A47"/>
    <w:rsid w:val="006F2D38"/>
    <w:rsid w:val="006F3187"/>
    <w:rsid w:val="006F3445"/>
    <w:rsid w:val="006F49AE"/>
    <w:rsid w:val="006F4A38"/>
    <w:rsid w:val="006F4DD8"/>
    <w:rsid w:val="006F50FE"/>
    <w:rsid w:val="006F5A35"/>
    <w:rsid w:val="006F6408"/>
    <w:rsid w:val="006F6530"/>
    <w:rsid w:val="006F66BE"/>
    <w:rsid w:val="006F6881"/>
    <w:rsid w:val="006F69C1"/>
    <w:rsid w:val="006F6F86"/>
    <w:rsid w:val="006F730D"/>
    <w:rsid w:val="006F763F"/>
    <w:rsid w:val="006F7802"/>
    <w:rsid w:val="006F78AF"/>
    <w:rsid w:val="006F7976"/>
    <w:rsid w:val="006F79C3"/>
    <w:rsid w:val="006F7B0D"/>
    <w:rsid w:val="00700155"/>
    <w:rsid w:val="007001DF"/>
    <w:rsid w:val="0070024C"/>
    <w:rsid w:val="00700D51"/>
    <w:rsid w:val="00700E17"/>
    <w:rsid w:val="007011F9"/>
    <w:rsid w:val="007014EC"/>
    <w:rsid w:val="007019A9"/>
    <w:rsid w:val="007019EC"/>
    <w:rsid w:val="00701C55"/>
    <w:rsid w:val="00701DE8"/>
    <w:rsid w:val="00701F2C"/>
    <w:rsid w:val="00702490"/>
    <w:rsid w:val="00702A92"/>
    <w:rsid w:val="00702AC1"/>
    <w:rsid w:val="00702BE6"/>
    <w:rsid w:val="0070358B"/>
    <w:rsid w:val="00703649"/>
    <w:rsid w:val="00703796"/>
    <w:rsid w:val="00703872"/>
    <w:rsid w:val="007039B6"/>
    <w:rsid w:val="00703E41"/>
    <w:rsid w:val="00703E63"/>
    <w:rsid w:val="00703ED3"/>
    <w:rsid w:val="0070415B"/>
    <w:rsid w:val="00704177"/>
    <w:rsid w:val="0070457A"/>
    <w:rsid w:val="0070458C"/>
    <w:rsid w:val="0070480C"/>
    <w:rsid w:val="00704821"/>
    <w:rsid w:val="0070561C"/>
    <w:rsid w:val="007059BD"/>
    <w:rsid w:val="00705F9F"/>
    <w:rsid w:val="00706006"/>
    <w:rsid w:val="007064AD"/>
    <w:rsid w:val="00706569"/>
    <w:rsid w:val="007065FE"/>
    <w:rsid w:val="0070670F"/>
    <w:rsid w:val="0070692B"/>
    <w:rsid w:val="00706B3D"/>
    <w:rsid w:val="007070B8"/>
    <w:rsid w:val="0070710B"/>
    <w:rsid w:val="007074DB"/>
    <w:rsid w:val="00707ED9"/>
    <w:rsid w:val="00707EF8"/>
    <w:rsid w:val="00710767"/>
    <w:rsid w:val="007107D9"/>
    <w:rsid w:val="007107E9"/>
    <w:rsid w:val="00710869"/>
    <w:rsid w:val="00710A05"/>
    <w:rsid w:val="00710C2D"/>
    <w:rsid w:val="00710E8B"/>
    <w:rsid w:val="007117B1"/>
    <w:rsid w:val="0071196A"/>
    <w:rsid w:val="00711F88"/>
    <w:rsid w:val="00711FFA"/>
    <w:rsid w:val="0071210C"/>
    <w:rsid w:val="007122A3"/>
    <w:rsid w:val="00712561"/>
    <w:rsid w:val="00712BDE"/>
    <w:rsid w:val="00712D03"/>
    <w:rsid w:val="00712E74"/>
    <w:rsid w:val="007130B9"/>
    <w:rsid w:val="00713124"/>
    <w:rsid w:val="007133B5"/>
    <w:rsid w:val="007134EC"/>
    <w:rsid w:val="0071355F"/>
    <w:rsid w:val="0071372C"/>
    <w:rsid w:val="007138FB"/>
    <w:rsid w:val="00714167"/>
    <w:rsid w:val="0071430E"/>
    <w:rsid w:val="00714543"/>
    <w:rsid w:val="0071469A"/>
    <w:rsid w:val="00714E96"/>
    <w:rsid w:val="007152AD"/>
    <w:rsid w:val="007152C4"/>
    <w:rsid w:val="00715979"/>
    <w:rsid w:val="00716587"/>
    <w:rsid w:val="007165EE"/>
    <w:rsid w:val="00716C8C"/>
    <w:rsid w:val="007171F3"/>
    <w:rsid w:val="0071738C"/>
    <w:rsid w:val="0071755B"/>
    <w:rsid w:val="00717DE1"/>
    <w:rsid w:val="0072015F"/>
    <w:rsid w:val="007202A3"/>
    <w:rsid w:val="00720414"/>
    <w:rsid w:val="0072047F"/>
    <w:rsid w:val="00720712"/>
    <w:rsid w:val="007207D9"/>
    <w:rsid w:val="00720B07"/>
    <w:rsid w:val="00720B8A"/>
    <w:rsid w:val="00720B9F"/>
    <w:rsid w:val="00720D0F"/>
    <w:rsid w:val="0072101A"/>
    <w:rsid w:val="0072134E"/>
    <w:rsid w:val="00721393"/>
    <w:rsid w:val="00721527"/>
    <w:rsid w:val="0072190C"/>
    <w:rsid w:val="007219F3"/>
    <w:rsid w:val="00721E5D"/>
    <w:rsid w:val="00721EE2"/>
    <w:rsid w:val="007225F0"/>
    <w:rsid w:val="007227FC"/>
    <w:rsid w:val="00722991"/>
    <w:rsid w:val="007229E8"/>
    <w:rsid w:val="00723DD9"/>
    <w:rsid w:val="0072433B"/>
    <w:rsid w:val="00724B59"/>
    <w:rsid w:val="007250E5"/>
    <w:rsid w:val="0072511C"/>
    <w:rsid w:val="007256AF"/>
    <w:rsid w:val="00725B63"/>
    <w:rsid w:val="00725F4D"/>
    <w:rsid w:val="00726194"/>
    <w:rsid w:val="0072625B"/>
    <w:rsid w:val="007262F4"/>
    <w:rsid w:val="0072667B"/>
    <w:rsid w:val="00726BBD"/>
    <w:rsid w:val="00727346"/>
    <w:rsid w:val="00727AC0"/>
    <w:rsid w:val="00727E5B"/>
    <w:rsid w:val="00730082"/>
    <w:rsid w:val="00730384"/>
    <w:rsid w:val="007307E9"/>
    <w:rsid w:val="00730B26"/>
    <w:rsid w:val="00730DDE"/>
    <w:rsid w:val="007310EF"/>
    <w:rsid w:val="00731884"/>
    <w:rsid w:val="00731A02"/>
    <w:rsid w:val="00731D44"/>
    <w:rsid w:val="00731F23"/>
    <w:rsid w:val="0073212D"/>
    <w:rsid w:val="00732BE9"/>
    <w:rsid w:val="00732C60"/>
    <w:rsid w:val="007339A0"/>
    <w:rsid w:val="00733BFA"/>
    <w:rsid w:val="00733DA8"/>
    <w:rsid w:val="00733E1A"/>
    <w:rsid w:val="0073423B"/>
    <w:rsid w:val="00734644"/>
    <w:rsid w:val="00734BFD"/>
    <w:rsid w:val="00734CAF"/>
    <w:rsid w:val="00734EDF"/>
    <w:rsid w:val="00735E39"/>
    <w:rsid w:val="0073603C"/>
    <w:rsid w:val="00736130"/>
    <w:rsid w:val="00736D3B"/>
    <w:rsid w:val="00736F6B"/>
    <w:rsid w:val="00737007"/>
    <w:rsid w:val="00737016"/>
    <w:rsid w:val="007375B2"/>
    <w:rsid w:val="00737AB0"/>
    <w:rsid w:val="007400B1"/>
    <w:rsid w:val="0074040F"/>
    <w:rsid w:val="007406F8"/>
    <w:rsid w:val="00740718"/>
    <w:rsid w:val="00740A7C"/>
    <w:rsid w:val="00740C2C"/>
    <w:rsid w:val="0074112A"/>
    <w:rsid w:val="007417D5"/>
    <w:rsid w:val="00741B5C"/>
    <w:rsid w:val="00741FC7"/>
    <w:rsid w:val="00741FCA"/>
    <w:rsid w:val="00742756"/>
    <w:rsid w:val="007428B1"/>
    <w:rsid w:val="00742A45"/>
    <w:rsid w:val="00742E38"/>
    <w:rsid w:val="00743380"/>
    <w:rsid w:val="00743827"/>
    <w:rsid w:val="00743D31"/>
    <w:rsid w:val="00743FB8"/>
    <w:rsid w:val="00743FBF"/>
    <w:rsid w:val="007444D8"/>
    <w:rsid w:val="0074472C"/>
    <w:rsid w:val="007449AB"/>
    <w:rsid w:val="00744CB5"/>
    <w:rsid w:val="007451F4"/>
    <w:rsid w:val="007453F3"/>
    <w:rsid w:val="00745591"/>
    <w:rsid w:val="007456FC"/>
    <w:rsid w:val="00745A7C"/>
    <w:rsid w:val="00745D27"/>
    <w:rsid w:val="00745F32"/>
    <w:rsid w:val="00745FE4"/>
    <w:rsid w:val="0074609C"/>
    <w:rsid w:val="007463E2"/>
    <w:rsid w:val="007466D9"/>
    <w:rsid w:val="0074693D"/>
    <w:rsid w:val="00746A3E"/>
    <w:rsid w:val="00746A71"/>
    <w:rsid w:val="00746AE3"/>
    <w:rsid w:val="00746D60"/>
    <w:rsid w:val="00746E07"/>
    <w:rsid w:val="0074791F"/>
    <w:rsid w:val="00747ED3"/>
    <w:rsid w:val="00747F40"/>
    <w:rsid w:val="00747FBF"/>
    <w:rsid w:val="00750232"/>
    <w:rsid w:val="00750B5C"/>
    <w:rsid w:val="00750D08"/>
    <w:rsid w:val="007516BB"/>
    <w:rsid w:val="00751814"/>
    <w:rsid w:val="00751868"/>
    <w:rsid w:val="007519E3"/>
    <w:rsid w:val="00751C33"/>
    <w:rsid w:val="00752135"/>
    <w:rsid w:val="0075214D"/>
    <w:rsid w:val="0075235F"/>
    <w:rsid w:val="007525FF"/>
    <w:rsid w:val="007526F2"/>
    <w:rsid w:val="007527C4"/>
    <w:rsid w:val="007527D3"/>
    <w:rsid w:val="00752966"/>
    <w:rsid w:val="00752E8C"/>
    <w:rsid w:val="00752FE9"/>
    <w:rsid w:val="00753493"/>
    <w:rsid w:val="007535E1"/>
    <w:rsid w:val="007538E3"/>
    <w:rsid w:val="00753CBB"/>
    <w:rsid w:val="0075419D"/>
    <w:rsid w:val="00754311"/>
    <w:rsid w:val="00754573"/>
    <w:rsid w:val="00754778"/>
    <w:rsid w:val="00754AB9"/>
    <w:rsid w:val="00755461"/>
    <w:rsid w:val="00755772"/>
    <w:rsid w:val="007557CE"/>
    <w:rsid w:val="00755C27"/>
    <w:rsid w:val="00755D76"/>
    <w:rsid w:val="007560C2"/>
    <w:rsid w:val="007561C9"/>
    <w:rsid w:val="00756D4C"/>
    <w:rsid w:val="00756D7E"/>
    <w:rsid w:val="007571D3"/>
    <w:rsid w:val="00757D6A"/>
    <w:rsid w:val="00760054"/>
    <w:rsid w:val="00760192"/>
    <w:rsid w:val="0076027E"/>
    <w:rsid w:val="00760A42"/>
    <w:rsid w:val="00760CF3"/>
    <w:rsid w:val="007610AB"/>
    <w:rsid w:val="00761258"/>
    <w:rsid w:val="0076135C"/>
    <w:rsid w:val="007615F6"/>
    <w:rsid w:val="00761815"/>
    <w:rsid w:val="007619CA"/>
    <w:rsid w:val="00761BA7"/>
    <w:rsid w:val="00761C38"/>
    <w:rsid w:val="00762068"/>
    <w:rsid w:val="00762226"/>
    <w:rsid w:val="00762B84"/>
    <w:rsid w:val="00762BF9"/>
    <w:rsid w:val="00762D01"/>
    <w:rsid w:val="007630A0"/>
    <w:rsid w:val="00763D65"/>
    <w:rsid w:val="00764947"/>
    <w:rsid w:val="007651E0"/>
    <w:rsid w:val="00765632"/>
    <w:rsid w:val="007657D4"/>
    <w:rsid w:val="007658FD"/>
    <w:rsid w:val="00765F74"/>
    <w:rsid w:val="0076607E"/>
    <w:rsid w:val="007665B8"/>
    <w:rsid w:val="00766913"/>
    <w:rsid w:val="00766BF8"/>
    <w:rsid w:val="0076721B"/>
    <w:rsid w:val="007678F6"/>
    <w:rsid w:val="007679DE"/>
    <w:rsid w:val="0077027F"/>
    <w:rsid w:val="007702BC"/>
    <w:rsid w:val="007702DE"/>
    <w:rsid w:val="00770569"/>
    <w:rsid w:val="007705BE"/>
    <w:rsid w:val="00770673"/>
    <w:rsid w:val="0077086B"/>
    <w:rsid w:val="00771915"/>
    <w:rsid w:val="00771A2A"/>
    <w:rsid w:val="00771BE1"/>
    <w:rsid w:val="00771D18"/>
    <w:rsid w:val="007729CC"/>
    <w:rsid w:val="00772A19"/>
    <w:rsid w:val="00772FEB"/>
    <w:rsid w:val="0077332D"/>
    <w:rsid w:val="00773852"/>
    <w:rsid w:val="0077388C"/>
    <w:rsid w:val="00773AE5"/>
    <w:rsid w:val="00773BA4"/>
    <w:rsid w:val="00773C86"/>
    <w:rsid w:val="00773DDE"/>
    <w:rsid w:val="0077409F"/>
    <w:rsid w:val="00774185"/>
    <w:rsid w:val="007741DF"/>
    <w:rsid w:val="007747D5"/>
    <w:rsid w:val="00774AC3"/>
    <w:rsid w:val="00774E66"/>
    <w:rsid w:val="0077506C"/>
    <w:rsid w:val="007757FC"/>
    <w:rsid w:val="0077588C"/>
    <w:rsid w:val="007759F3"/>
    <w:rsid w:val="00775A4B"/>
    <w:rsid w:val="00775FC0"/>
    <w:rsid w:val="00776463"/>
    <w:rsid w:val="00777179"/>
    <w:rsid w:val="007774A9"/>
    <w:rsid w:val="00777521"/>
    <w:rsid w:val="0077760F"/>
    <w:rsid w:val="0078037F"/>
    <w:rsid w:val="00780D27"/>
    <w:rsid w:val="00780E86"/>
    <w:rsid w:val="00781151"/>
    <w:rsid w:val="0078143C"/>
    <w:rsid w:val="00781742"/>
    <w:rsid w:val="007818DC"/>
    <w:rsid w:val="00781EBE"/>
    <w:rsid w:val="00781F64"/>
    <w:rsid w:val="00782351"/>
    <w:rsid w:val="00782375"/>
    <w:rsid w:val="00782991"/>
    <w:rsid w:val="007832BC"/>
    <w:rsid w:val="0078385B"/>
    <w:rsid w:val="00783B48"/>
    <w:rsid w:val="007840B6"/>
    <w:rsid w:val="0078411B"/>
    <w:rsid w:val="00784511"/>
    <w:rsid w:val="0078511A"/>
    <w:rsid w:val="007853C2"/>
    <w:rsid w:val="007854F4"/>
    <w:rsid w:val="0078580B"/>
    <w:rsid w:val="00785FF5"/>
    <w:rsid w:val="00786716"/>
    <w:rsid w:val="00786937"/>
    <w:rsid w:val="0078694A"/>
    <w:rsid w:val="00786AC9"/>
    <w:rsid w:val="00786BC6"/>
    <w:rsid w:val="00786EC3"/>
    <w:rsid w:val="007873BF"/>
    <w:rsid w:val="007874A7"/>
    <w:rsid w:val="00787D29"/>
    <w:rsid w:val="00787DA0"/>
    <w:rsid w:val="007905E2"/>
    <w:rsid w:val="0079064D"/>
    <w:rsid w:val="007906C6"/>
    <w:rsid w:val="00790746"/>
    <w:rsid w:val="0079094F"/>
    <w:rsid w:val="00790D3D"/>
    <w:rsid w:val="00790D98"/>
    <w:rsid w:val="00790FC9"/>
    <w:rsid w:val="007911D9"/>
    <w:rsid w:val="007912FD"/>
    <w:rsid w:val="0079140F"/>
    <w:rsid w:val="00791435"/>
    <w:rsid w:val="0079164B"/>
    <w:rsid w:val="00791822"/>
    <w:rsid w:val="0079188F"/>
    <w:rsid w:val="00791C33"/>
    <w:rsid w:val="00791FA0"/>
    <w:rsid w:val="007926D1"/>
    <w:rsid w:val="007927A0"/>
    <w:rsid w:val="0079284A"/>
    <w:rsid w:val="00792D4A"/>
    <w:rsid w:val="007934BE"/>
    <w:rsid w:val="0079379D"/>
    <w:rsid w:val="00793829"/>
    <w:rsid w:val="00793B0C"/>
    <w:rsid w:val="00793C5D"/>
    <w:rsid w:val="007943C1"/>
    <w:rsid w:val="007946D7"/>
    <w:rsid w:val="007949E6"/>
    <w:rsid w:val="00794A77"/>
    <w:rsid w:val="00794BA4"/>
    <w:rsid w:val="00794F2E"/>
    <w:rsid w:val="007953C1"/>
    <w:rsid w:val="00795776"/>
    <w:rsid w:val="00795962"/>
    <w:rsid w:val="00795A58"/>
    <w:rsid w:val="00795B86"/>
    <w:rsid w:val="00796113"/>
    <w:rsid w:val="00796405"/>
    <w:rsid w:val="0079655E"/>
    <w:rsid w:val="00796677"/>
    <w:rsid w:val="00796C5B"/>
    <w:rsid w:val="0079703E"/>
    <w:rsid w:val="00797049"/>
    <w:rsid w:val="00797234"/>
    <w:rsid w:val="007973B4"/>
    <w:rsid w:val="0079750A"/>
    <w:rsid w:val="0079750F"/>
    <w:rsid w:val="00797DBF"/>
    <w:rsid w:val="007A03A0"/>
    <w:rsid w:val="007A0A13"/>
    <w:rsid w:val="007A0CB9"/>
    <w:rsid w:val="007A1658"/>
    <w:rsid w:val="007A1BD4"/>
    <w:rsid w:val="007A1F0B"/>
    <w:rsid w:val="007A2715"/>
    <w:rsid w:val="007A3406"/>
    <w:rsid w:val="007A3721"/>
    <w:rsid w:val="007A385D"/>
    <w:rsid w:val="007A38B1"/>
    <w:rsid w:val="007A4104"/>
    <w:rsid w:val="007A410C"/>
    <w:rsid w:val="007A4402"/>
    <w:rsid w:val="007A456A"/>
    <w:rsid w:val="007A476B"/>
    <w:rsid w:val="007A521C"/>
    <w:rsid w:val="007A5345"/>
    <w:rsid w:val="007A5356"/>
    <w:rsid w:val="007A5447"/>
    <w:rsid w:val="007A5DE9"/>
    <w:rsid w:val="007A5F69"/>
    <w:rsid w:val="007A60F2"/>
    <w:rsid w:val="007A6242"/>
    <w:rsid w:val="007A643D"/>
    <w:rsid w:val="007A682B"/>
    <w:rsid w:val="007A68FE"/>
    <w:rsid w:val="007A6AC9"/>
    <w:rsid w:val="007A6C95"/>
    <w:rsid w:val="007A7C20"/>
    <w:rsid w:val="007A7D49"/>
    <w:rsid w:val="007B0721"/>
    <w:rsid w:val="007B07EF"/>
    <w:rsid w:val="007B0BE9"/>
    <w:rsid w:val="007B0DD7"/>
    <w:rsid w:val="007B121B"/>
    <w:rsid w:val="007B14AF"/>
    <w:rsid w:val="007B1658"/>
    <w:rsid w:val="007B1DFD"/>
    <w:rsid w:val="007B1E7E"/>
    <w:rsid w:val="007B2222"/>
    <w:rsid w:val="007B278D"/>
    <w:rsid w:val="007B2B8F"/>
    <w:rsid w:val="007B2E55"/>
    <w:rsid w:val="007B3367"/>
    <w:rsid w:val="007B34D9"/>
    <w:rsid w:val="007B3B28"/>
    <w:rsid w:val="007B3B76"/>
    <w:rsid w:val="007B3B9D"/>
    <w:rsid w:val="007B42BF"/>
    <w:rsid w:val="007B43AB"/>
    <w:rsid w:val="007B4603"/>
    <w:rsid w:val="007B4655"/>
    <w:rsid w:val="007B47DA"/>
    <w:rsid w:val="007B4AC9"/>
    <w:rsid w:val="007B5825"/>
    <w:rsid w:val="007B60DA"/>
    <w:rsid w:val="007B6308"/>
    <w:rsid w:val="007B671B"/>
    <w:rsid w:val="007B7721"/>
    <w:rsid w:val="007B7850"/>
    <w:rsid w:val="007B7AD1"/>
    <w:rsid w:val="007C014B"/>
    <w:rsid w:val="007C0197"/>
    <w:rsid w:val="007C05F4"/>
    <w:rsid w:val="007C075A"/>
    <w:rsid w:val="007C08EA"/>
    <w:rsid w:val="007C0B2A"/>
    <w:rsid w:val="007C0CF4"/>
    <w:rsid w:val="007C0D60"/>
    <w:rsid w:val="007C0E2D"/>
    <w:rsid w:val="007C0FBC"/>
    <w:rsid w:val="007C0FFC"/>
    <w:rsid w:val="007C1070"/>
    <w:rsid w:val="007C1571"/>
    <w:rsid w:val="007C15A2"/>
    <w:rsid w:val="007C17BA"/>
    <w:rsid w:val="007C183C"/>
    <w:rsid w:val="007C185F"/>
    <w:rsid w:val="007C18F4"/>
    <w:rsid w:val="007C241C"/>
    <w:rsid w:val="007C2A78"/>
    <w:rsid w:val="007C2ACB"/>
    <w:rsid w:val="007C2BB5"/>
    <w:rsid w:val="007C3132"/>
    <w:rsid w:val="007C3463"/>
    <w:rsid w:val="007C363B"/>
    <w:rsid w:val="007C38D7"/>
    <w:rsid w:val="007C4052"/>
    <w:rsid w:val="007C4186"/>
    <w:rsid w:val="007C435B"/>
    <w:rsid w:val="007C43B2"/>
    <w:rsid w:val="007C4718"/>
    <w:rsid w:val="007C489D"/>
    <w:rsid w:val="007C4DEB"/>
    <w:rsid w:val="007C500F"/>
    <w:rsid w:val="007C5396"/>
    <w:rsid w:val="007C53F9"/>
    <w:rsid w:val="007C5A41"/>
    <w:rsid w:val="007C5DE1"/>
    <w:rsid w:val="007C611B"/>
    <w:rsid w:val="007C6B1F"/>
    <w:rsid w:val="007C703A"/>
    <w:rsid w:val="007C70B0"/>
    <w:rsid w:val="007D01AA"/>
    <w:rsid w:val="007D06A9"/>
    <w:rsid w:val="007D0922"/>
    <w:rsid w:val="007D09D2"/>
    <w:rsid w:val="007D0B78"/>
    <w:rsid w:val="007D11ED"/>
    <w:rsid w:val="007D1234"/>
    <w:rsid w:val="007D159D"/>
    <w:rsid w:val="007D19F6"/>
    <w:rsid w:val="007D1B1B"/>
    <w:rsid w:val="007D1E26"/>
    <w:rsid w:val="007D22B0"/>
    <w:rsid w:val="007D2351"/>
    <w:rsid w:val="007D26BD"/>
    <w:rsid w:val="007D2F7A"/>
    <w:rsid w:val="007D307B"/>
    <w:rsid w:val="007D3179"/>
    <w:rsid w:val="007D32D4"/>
    <w:rsid w:val="007D3C3E"/>
    <w:rsid w:val="007D3DFE"/>
    <w:rsid w:val="007D422F"/>
    <w:rsid w:val="007D4248"/>
    <w:rsid w:val="007D43F8"/>
    <w:rsid w:val="007D4EF8"/>
    <w:rsid w:val="007D5291"/>
    <w:rsid w:val="007D53F9"/>
    <w:rsid w:val="007D580D"/>
    <w:rsid w:val="007D59D0"/>
    <w:rsid w:val="007D5A39"/>
    <w:rsid w:val="007D5B91"/>
    <w:rsid w:val="007D5C75"/>
    <w:rsid w:val="007D6108"/>
    <w:rsid w:val="007D63E5"/>
    <w:rsid w:val="007D640B"/>
    <w:rsid w:val="007D6425"/>
    <w:rsid w:val="007D6DFA"/>
    <w:rsid w:val="007D6FA9"/>
    <w:rsid w:val="007D70B7"/>
    <w:rsid w:val="007D711A"/>
    <w:rsid w:val="007D7530"/>
    <w:rsid w:val="007D7889"/>
    <w:rsid w:val="007D78A1"/>
    <w:rsid w:val="007D799E"/>
    <w:rsid w:val="007D7A51"/>
    <w:rsid w:val="007D7BDB"/>
    <w:rsid w:val="007D7EAA"/>
    <w:rsid w:val="007D7F08"/>
    <w:rsid w:val="007E0175"/>
    <w:rsid w:val="007E0811"/>
    <w:rsid w:val="007E0A72"/>
    <w:rsid w:val="007E0CC6"/>
    <w:rsid w:val="007E0E6F"/>
    <w:rsid w:val="007E1353"/>
    <w:rsid w:val="007E14F7"/>
    <w:rsid w:val="007E17AB"/>
    <w:rsid w:val="007E1959"/>
    <w:rsid w:val="007E23B5"/>
    <w:rsid w:val="007E2B44"/>
    <w:rsid w:val="007E2BEB"/>
    <w:rsid w:val="007E2D9C"/>
    <w:rsid w:val="007E2E09"/>
    <w:rsid w:val="007E2EF7"/>
    <w:rsid w:val="007E2FEE"/>
    <w:rsid w:val="007E2FFA"/>
    <w:rsid w:val="007E3F37"/>
    <w:rsid w:val="007E414B"/>
    <w:rsid w:val="007E4386"/>
    <w:rsid w:val="007E47BF"/>
    <w:rsid w:val="007E494A"/>
    <w:rsid w:val="007E503E"/>
    <w:rsid w:val="007E5324"/>
    <w:rsid w:val="007E5ABE"/>
    <w:rsid w:val="007E6034"/>
    <w:rsid w:val="007E606C"/>
    <w:rsid w:val="007E6288"/>
    <w:rsid w:val="007E6562"/>
    <w:rsid w:val="007E6626"/>
    <w:rsid w:val="007E71F2"/>
    <w:rsid w:val="007E754D"/>
    <w:rsid w:val="007E785B"/>
    <w:rsid w:val="007F05E4"/>
    <w:rsid w:val="007F087E"/>
    <w:rsid w:val="007F0DF8"/>
    <w:rsid w:val="007F193C"/>
    <w:rsid w:val="007F1D5F"/>
    <w:rsid w:val="007F2230"/>
    <w:rsid w:val="007F2596"/>
    <w:rsid w:val="007F269E"/>
    <w:rsid w:val="007F26BB"/>
    <w:rsid w:val="007F26E8"/>
    <w:rsid w:val="007F28DF"/>
    <w:rsid w:val="007F2A64"/>
    <w:rsid w:val="007F2EB1"/>
    <w:rsid w:val="007F304A"/>
    <w:rsid w:val="007F3133"/>
    <w:rsid w:val="007F36D8"/>
    <w:rsid w:val="007F3916"/>
    <w:rsid w:val="007F3A2A"/>
    <w:rsid w:val="007F3D60"/>
    <w:rsid w:val="007F3EEC"/>
    <w:rsid w:val="007F3F71"/>
    <w:rsid w:val="007F41F1"/>
    <w:rsid w:val="007F4B03"/>
    <w:rsid w:val="007F4B18"/>
    <w:rsid w:val="007F4D20"/>
    <w:rsid w:val="007F510C"/>
    <w:rsid w:val="007F52CB"/>
    <w:rsid w:val="007F6264"/>
    <w:rsid w:val="007F65F0"/>
    <w:rsid w:val="007F6A1B"/>
    <w:rsid w:val="007F6A91"/>
    <w:rsid w:val="007F6B7E"/>
    <w:rsid w:val="007F6DD8"/>
    <w:rsid w:val="007F6EA3"/>
    <w:rsid w:val="007F70FC"/>
    <w:rsid w:val="007F7B45"/>
    <w:rsid w:val="00800334"/>
    <w:rsid w:val="00800C3A"/>
    <w:rsid w:val="00800D81"/>
    <w:rsid w:val="00801463"/>
    <w:rsid w:val="00801953"/>
    <w:rsid w:val="008022AA"/>
    <w:rsid w:val="008024F0"/>
    <w:rsid w:val="00802777"/>
    <w:rsid w:val="008027F4"/>
    <w:rsid w:val="00802BDD"/>
    <w:rsid w:val="00802FE9"/>
    <w:rsid w:val="0080342C"/>
    <w:rsid w:val="008038A1"/>
    <w:rsid w:val="00803A2C"/>
    <w:rsid w:val="00803C2A"/>
    <w:rsid w:val="00803C52"/>
    <w:rsid w:val="00803CBB"/>
    <w:rsid w:val="00803E7F"/>
    <w:rsid w:val="00804119"/>
    <w:rsid w:val="00804177"/>
    <w:rsid w:val="008041BA"/>
    <w:rsid w:val="00804922"/>
    <w:rsid w:val="00804AC1"/>
    <w:rsid w:val="00804EC9"/>
    <w:rsid w:val="0080515F"/>
    <w:rsid w:val="00805174"/>
    <w:rsid w:val="00805202"/>
    <w:rsid w:val="0080539A"/>
    <w:rsid w:val="00806830"/>
    <w:rsid w:val="008069F5"/>
    <w:rsid w:val="00806CE6"/>
    <w:rsid w:val="00806EBE"/>
    <w:rsid w:val="0080718E"/>
    <w:rsid w:val="008072E5"/>
    <w:rsid w:val="008077E0"/>
    <w:rsid w:val="00807A86"/>
    <w:rsid w:val="00807C6A"/>
    <w:rsid w:val="00807E48"/>
    <w:rsid w:val="00807F7B"/>
    <w:rsid w:val="008103CB"/>
    <w:rsid w:val="00810651"/>
    <w:rsid w:val="00810B46"/>
    <w:rsid w:val="00810CF6"/>
    <w:rsid w:val="00810E31"/>
    <w:rsid w:val="00810F1F"/>
    <w:rsid w:val="00810F96"/>
    <w:rsid w:val="008114BD"/>
    <w:rsid w:val="008115A4"/>
    <w:rsid w:val="008115BF"/>
    <w:rsid w:val="008119A8"/>
    <w:rsid w:val="0081251D"/>
    <w:rsid w:val="00812B0E"/>
    <w:rsid w:val="00812B74"/>
    <w:rsid w:val="0081345B"/>
    <w:rsid w:val="0081366E"/>
    <w:rsid w:val="00813791"/>
    <w:rsid w:val="008138E1"/>
    <w:rsid w:val="00813CA7"/>
    <w:rsid w:val="00813D43"/>
    <w:rsid w:val="00813E3E"/>
    <w:rsid w:val="00814208"/>
    <w:rsid w:val="0081424D"/>
    <w:rsid w:val="00814847"/>
    <w:rsid w:val="00815493"/>
    <w:rsid w:val="008154A9"/>
    <w:rsid w:val="0081578F"/>
    <w:rsid w:val="008159BC"/>
    <w:rsid w:val="00815D46"/>
    <w:rsid w:val="0081600D"/>
    <w:rsid w:val="008160E7"/>
    <w:rsid w:val="00816264"/>
    <w:rsid w:val="008169D9"/>
    <w:rsid w:val="00816DAE"/>
    <w:rsid w:val="00816F12"/>
    <w:rsid w:val="00816FEC"/>
    <w:rsid w:val="0081735F"/>
    <w:rsid w:val="008207C0"/>
    <w:rsid w:val="00820CC8"/>
    <w:rsid w:val="00820FF8"/>
    <w:rsid w:val="00821467"/>
    <w:rsid w:val="008215F9"/>
    <w:rsid w:val="00821B19"/>
    <w:rsid w:val="00821B3B"/>
    <w:rsid w:val="00821F03"/>
    <w:rsid w:val="008221DF"/>
    <w:rsid w:val="00822529"/>
    <w:rsid w:val="008230FE"/>
    <w:rsid w:val="00823146"/>
    <w:rsid w:val="0082329E"/>
    <w:rsid w:val="0082398D"/>
    <w:rsid w:val="00823BE9"/>
    <w:rsid w:val="00823DA2"/>
    <w:rsid w:val="00823F28"/>
    <w:rsid w:val="00824483"/>
    <w:rsid w:val="008247FC"/>
    <w:rsid w:val="00824AB6"/>
    <w:rsid w:val="00824CF6"/>
    <w:rsid w:val="00824E81"/>
    <w:rsid w:val="00824F63"/>
    <w:rsid w:val="00824F7A"/>
    <w:rsid w:val="0082511F"/>
    <w:rsid w:val="00825146"/>
    <w:rsid w:val="00825537"/>
    <w:rsid w:val="008258F6"/>
    <w:rsid w:val="00825D43"/>
    <w:rsid w:val="00825DBE"/>
    <w:rsid w:val="00825EAC"/>
    <w:rsid w:val="0082614B"/>
    <w:rsid w:val="00826281"/>
    <w:rsid w:val="008262E3"/>
    <w:rsid w:val="008263FE"/>
    <w:rsid w:val="00826521"/>
    <w:rsid w:val="008268FB"/>
    <w:rsid w:val="00826C63"/>
    <w:rsid w:val="00826E5B"/>
    <w:rsid w:val="00826FCF"/>
    <w:rsid w:val="0082704C"/>
    <w:rsid w:val="00830030"/>
    <w:rsid w:val="00830068"/>
    <w:rsid w:val="00830283"/>
    <w:rsid w:val="0083058C"/>
    <w:rsid w:val="00830783"/>
    <w:rsid w:val="00830BC9"/>
    <w:rsid w:val="00830BD1"/>
    <w:rsid w:val="00830CE2"/>
    <w:rsid w:val="008312DE"/>
    <w:rsid w:val="00831404"/>
    <w:rsid w:val="008318FC"/>
    <w:rsid w:val="00831C63"/>
    <w:rsid w:val="00832017"/>
    <w:rsid w:val="008323F7"/>
    <w:rsid w:val="00832B68"/>
    <w:rsid w:val="00832CA1"/>
    <w:rsid w:val="00833173"/>
    <w:rsid w:val="00833702"/>
    <w:rsid w:val="008339C7"/>
    <w:rsid w:val="00833A5F"/>
    <w:rsid w:val="00833BC1"/>
    <w:rsid w:val="00834378"/>
    <w:rsid w:val="00834426"/>
    <w:rsid w:val="008348E3"/>
    <w:rsid w:val="00834B15"/>
    <w:rsid w:val="00834B6C"/>
    <w:rsid w:val="00834BDD"/>
    <w:rsid w:val="00834C88"/>
    <w:rsid w:val="00834CCA"/>
    <w:rsid w:val="00834ED4"/>
    <w:rsid w:val="00834F38"/>
    <w:rsid w:val="00835086"/>
    <w:rsid w:val="00835611"/>
    <w:rsid w:val="00835A96"/>
    <w:rsid w:val="00835B76"/>
    <w:rsid w:val="00835C94"/>
    <w:rsid w:val="00835D9F"/>
    <w:rsid w:val="008362EE"/>
    <w:rsid w:val="00836307"/>
    <w:rsid w:val="00836729"/>
    <w:rsid w:val="0083697D"/>
    <w:rsid w:val="00836AD4"/>
    <w:rsid w:val="00836F22"/>
    <w:rsid w:val="00837158"/>
    <w:rsid w:val="0083740C"/>
    <w:rsid w:val="008379D5"/>
    <w:rsid w:val="00837DBF"/>
    <w:rsid w:val="00840364"/>
    <w:rsid w:val="008409C6"/>
    <w:rsid w:val="00840B3A"/>
    <w:rsid w:val="00840C12"/>
    <w:rsid w:val="00840E0C"/>
    <w:rsid w:val="00841041"/>
    <w:rsid w:val="0084155E"/>
    <w:rsid w:val="00841CA9"/>
    <w:rsid w:val="00841EF3"/>
    <w:rsid w:val="0084234B"/>
    <w:rsid w:val="00842757"/>
    <w:rsid w:val="00842ACC"/>
    <w:rsid w:val="00842B22"/>
    <w:rsid w:val="00843232"/>
    <w:rsid w:val="008433CF"/>
    <w:rsid w:val="00843694"/>
    <w:rsid w:val="008437CB"/>
    <w:rsid w:val="008437D3"/>
    <w:rsid w:val="0084381F"/>
    <w:rsid w:val="00843D68"/>
    <w:rsid w:val="00844243"/>
    <w:rsid w:val="00844339"/>
    <w:rsid w:val="0084548A"/>
    <w:rsid w:val="008455C0"/>
    <w:rsid w:val="00845759"/>
    <w:rsid w:val="0084592C"/>
    <w:rsid w:val="00845BF0"/>
    <w:rsid w:val="00845EA0"/>
    <w:rsid w:val="00845F54"/>
    <w:rsid w:val="00846194"/>
    <w:rsid w:val="0084671C"/>
    <w:rsid w:val="008468BE"/>
    <w:rsid w:val="008469EA"/>
    <w:rsid w:val="00846A98"/>
    <w:rsid w:val="00846FD2"/>
    <w:rsid w:val="008479F6"/>
    <w:rsid w:val="00847C8E"/>
    <w:rsid w:val="0085015F"/>
    <w:rsid w:val="008503A7"/>
    <w:rsid w:val="00850402"/>
    <w:rsid w:val="00850509"/>
    <w:rsid w:val="00850DA1"/>
    <w:rsid w:val="00850FAE"/>
    <w:rsid w:val="00851086"/>
    <w:rsid w:val="008512AF"/>
    <w:rsid w:val="008513D2"/>
    <w:rsid w:val="0085148D"/>
    <w:rsid w:val="0085160D"/>
    <w:rsid w:val="008516DF"/>
    <w:rsid w:val="00851762"/>
    <w:rsid w:val="00851867"/>
    <w:rsid w:val="00851E83"/>
    <w:rsid w:val="0085236C"/>
    <w:rsid w:val="0085257D"/>
    <w:rsid w:val="00852967"/>
    <w:rsid w:val="00852B0E"/>
    <w:rsid w:val="00853289"/>
    <w:rsid w:val="008532BC"/>
    <w:rsid w:val="008535A5"/>
    <w:rsid w:val="0085364F"/>
    <w:rsid w:val="00853AF1"/>
    <w:rsid w:val="00854153"/>
    <w:rsid w:val="00854869"/>
    <w:rsid w:val="00854988"/>
    <w:rsid w:val="00854B51"/>
    <w:rsid w:val="0085526B"/>
    <w:rsid w:val="00855308"/>
    <w:rsid w:val="00855542"/>
    <w:rsid w:val="00855783"/>
    <w:rsid w:val="0085580B"/>
    <w:rsid w:val="0085608A"/>
    <w:rsid w:val="00856351"/>
    <w:rsid w:val="0085685D"/>
    <w:rsid w:val="00856944"/>
    <w:rsid w:val="00856F62"/>
    <w:rsid w:val="00857FE2"/>
    <w:rsid w:val="008600AB"/>
    <w:rsid w:val="00860231"/>
    <w:rsid w:val="0086032E"/>
    <w:rsid w:val="008605D6"/>
    <w:rsid w:val="008608EC"/>
    <w:rsid w:val="0086090D"/>
    <w:rsid w:val="00860B9E"/>
    <w:rsid w:val="00860C50"/>
    <w:rsid w:val="00860CA9"/>
    <w:rsid w:val="00860DCB"/>
    <w:rsid w:val="00861013"/>
    <w:rsid w:val="0086111C"/>
    <w:rsid w:val="008611B0"/>
    <w:rsid w:val="008611BA"/>
    <w:rsid w:val="008614AD"/>
    <w:rsid w:val="00861B0C"/>
    <w:rsid w:val="00861DAB"/>
    <w:rsid w:val="00861F14"/>
    <w:rsid w:val="008620F0"/>
    <w:rsid w:val="0086219C"/>
    <w:rsid w:val="00862232"/>
    <w:rsid w:val="008622DC"/>
    <w:rsid w:val="008624CA"/>
    <w:rsid w:val="0086263C"/>
    <w:rsid w:val="008627FD"/>
    <w:rsid w:val="00862E4C"/>
    <w:rsid w:val="00862EEC"/>
    <w:rsid w:val="00862F6E"/>
    <w:rsid w:val="00863362"/>
    <w:rsid w:val="00863603"/>
    <w:rsid w:val="00863EF9"/>
    <w:rsid w:val="00864345"/>
    <w:rsid w:val="0086447A"/>
    <w:rsid w:val="008646F5"/>
    <w:rsid w:val="00864A5D"/>
    <w:rsid w:val="00864C60"/>
    <w:rsid w:val="008650F3"/>
    <w:rsid w:val="00865107"/>
    <w:rsid w:val="0086587F"/>
    <w:rsid w:val="00865C58"/>
    <w:rsid w:val="008660BC"/>
    <w:rsid w:val="008661FC"/>
    <w:rsid w:val="008663B0"/>
    <w:rsid w:val="00866744"/>
    <w:rsid w:val="00866940"/>
    <w:rsid w:val="008672EC"/>
    <w:rsid w:val="00867341"/>
    <w:rsid w:val="008674A5"/>
    <w:rsid w:val="008674BB"/>
    <w:rsid w:val="00867633"/>
    <w:rsid w:val="00867668"/>
    <w:rsid w:val="008679F3"/>
    <w:rsid w:val="00867C59"/>
    <w:rsid w:val="00867EED"/>
    <w:rsid w:val="00867F54"/>
    <w:rsid w:val="00870117"/>
    <w:rsid w:val="00870435"/>
    <w:rsid w:val="00870707"/>
    <w:rsid w:val="008708D6"/>
    <w:rsid w:val="008711E9"/>
    <w:rsid w:val="008713A7"/>
    <w:rsid w:val="008713F3"/>
    <w:rsid w:val="00871465"/>
    <w:rsid w:val="008715A2"/>
    <w:rsid w:val="00871AAE"/>
    <w:rsid w:val="0087207D"/>
    <w:rsid w:val="0087211B"/>
    <w:rsid w:val="0087246E"/>
    <w:rsid w:val="00872635"/>
    <w:rsid w:val="00872BAA"/>
    <w:rsid w:val="00872E5A"/>
    <w:rsid w:val="00872EBD"/>
    <w:rsid w:val="00872FA8"/>
    <w:rsid w:val="008738A6"/>
    <w:rsid w:val="0087420B"/>
    <w:rsid w:val="0087428C"/>
    <w:rsid w:val="0087485F"/>
    <w:rsid w:val="00874C59"/>
    <w:rsid w:val="00874CA8"/>
    <w:rsid w:val="00874DE8"/>
    <w:rsid w:val="00874E2F"/>
    <w:rsid w:val="00874F78"/>
    <w:rsid w:val="00875052"/>
    <w:rsid w:val="008752ED"/>
    <w:rsid w:val="008756C9"/>
    <w:rsid w:val="00875923"/>
    <w:rsid w:val="0087597E"/>
    <w:rsid w:val="00875A63"/>
    <w:rsid w:val="00875C0A"/>
    <w:rsid w:val="00875CBD"/>
    <w:rsid w:val="00876209"/>
    <w:rsid w:val="0087648D"/>
    <w:rsid w:val="00876C18"/>
    <w:rsid w:val="00876C96"/>
    <w:rsid w:val="00876F55"/>
    <w:rsid w:val="0087711B"/>
    <w:rsid w:val="00877369"/>
    <w:rsid w:val="00877DBB"/>
    <w:rsid w:val="008804C2"/>
    <w:rsid w:val="008804CF"/>
    <w:rsid w:val="0088079E"/>
    <w:rsid w:val="00880BA1"/>
    <w:rsid w:val="00880D59"/>
    <w:rsid w:val="008819E9"/>
    <w:rsid w:val="00881C4A"/>
    <w:rsid w:val="00881E21"/>
    <w:rsid w:val="00881F67"/>
    <w:rsid w:val="008821EA"/>
    <w:rsid w:val="008828ED"/>
    <w:rsid w:val="00882F91"/>
    <w:rsid w:val="00882F99"/>
    <w:rsid w:val="008830CD"/>
    <w:rsid w:val="00883110"/>
    <w:rsid w:val="00883184"/>
    <w:rsid w:val="008837DB"/>
    <w:rsid w:val="008839AC"/>
    <w:rsid w:val="00883BA0"/>
    <w:rsid w:val="00883D74"/>
    <w:rsid w:val="008840BD"/>
    <w:rsid w:val="00884FE9"/>
    <w:rsid w:val="0088562E"/>
    <w:rsid w:val="00885A80"/>
    <w:rsid w:val="00885D3A"/>
    <w:rsid w:val="008863C7"/>
    <w:rsid w:val="00886602"/>
    <w:rsid w:val="00886927"/>
    <w:rsid w:val="00886C69"/>
    <w:rsid w:val="00886DD1"/>
    <w:rsid w:val="00886F27"/>
    <w:rsid w:val="00887155"/>
    <w:rsid w:val="0088732D"/>
    <w:rsid w:val="008877A2"/>
    <w:rsid w:val="00887939"/>
    <w:rsid w:val="00887E9C"/>
    <w:rsid w:val="0089051A"/>
    <w:rsid w:val="00890579"/>
    <w:rsid w:val="008908A2"/>
    <w:rsid w:val="00890992"/>
    <w:rsid w:val="00890BA8"/>
    <w:rsid w:val="00890C24"/>
    <w:rsid w:val="00891278"/>
    <w:rsid w:val="00891593"/>
    <w:rsid w:val="0089163B"/>
    <w:rsid w:val="00891883"/>
    <w:rsid w:val="00891986"/>
    <w:rsid w:val="00891A64"/>
    <w:rsid w:val="00891C6C"/>
    <w:rsid w:val="00891CFF"/>
    <w:rsid w:val="00891F11"/>
    <w:rsid w:val="00891F50"/>
    <w:rsid w:val="00892159"/>
    <w:rsid w:val="0089217B"/>
    <w:rsid w:val="008925EE"/>
    <w:rsid w:val="0089267F"/>
    <w:rsid w:val="0089281B"/>
    <w:rsid w:val="00892A2B"/>
    <w:rsid w:val="00892D54"/>
    <w:rsid w:val="00892F26"/>
    <w:rsid w:val="0089314F"/>
    <w:rsid w:val="008934AB"/>
    <w:rsid w:val="008937CC"/>
    <w:rsid w:val="00893A27"/>
    <w:rsid w:val="00893C04"/>
    <w:rsid w:val="00893F0F"/>
    <w:rsid w:val="00893F41"/>
    <w:rsid w:val="008940B7"/>
    <w:rsid w:val="008944BA"/>
    <w:rsid w:val="0089452C"/>
    <w:rsid w:val="0089471D"/>
    <w:rsid w:val="0089476B"/>
    <w:rsid w:val="00894925"/>
    <w:rsid w:val="00894AF5"/>
    <w:rsid w:val="00894B49"/>
    <w:rsid w:val="00894C89"/>
    <w:rsid w:val="00894E6E"/>
    <w:rsid w:val="00894E92"/>
    <w:rsid w:val="00894F59"/>
    <w:rsid w:val="0089507F"/>
    <w:rsid w:val="008951AF"/>
    <w:rsid w:val="00895244"/>
    <w:rsid w:val="008953E8"/>
    <w:rsid w:val="00895778"/>
    <w:rsid w:val="0089579C"/>
    <w:rsid w:val="00895861"/>
    <w:rsid w:val="008958A3"/>
    <w:rsid w:val="008958FE"/>
    <w:rsid w:val="00895912"/>
    <w:rsid w:val="00895AB8"/>
    <w:rsid w:val="00895BE0"/>
    <w:rsid w:val="00895E47"/>
    <w:rsid w:val="00896056"/>
    <w:rsid w:val="008960EA"/>
    <w:rsid w:val="0089610F"/>
    <w:rsid w:val="0089648E"/>
    <w:rsid w:val="00896895"/>
    <w:rsid w:val="008969FA"/>
    <w:rsid w:val="00896E3A"/>
    <w:rsid w:val="00896F40"/>
    <w:rsid w:val="008971AD"/>
    <w:rsid w:val="008974FC"/>
    <w:rsid w:val="00897516"/>
    <w:rsid w:val="00897CA5"/>
    <w:rsid w:val="008A004C"/>
    <w:rsid w:val="008A0095"/>
    <w:rsid w:val="008A00E4"/>
    <w:rsid w:val="008A02F5"/>
    <w:rsid w:val="008A089E"/>
    <w:rsid w:val="008A0946"/>
    <w:rsid w:val="008A096A"/>
    <w:rsid w:val="008A0A6E"/>
    <w:rsid w:val="008A0DDB"/>
    <w:rsid w:val="008A1065"/>
    <w:rsid w:val="008A12C9"/>
    <w:rsid w:val="008A1B8C"/>
    <w:rsid w:val="008A1FAF"/>
    <w:rsid w:val="008A2458"/>
    <w:rsid w:val="008A2491"/>
    <w:rsid w:val="008A2746"/>
    <w:rsid w:val="008A2890"/>
    <w:rsid w:val="008A2A02"/>
    <w:rsid w:val="008A2A58"/>
    <w:rsid w:val="008A2BAD"/>
    <w:rsid w:val="008A34BC"/>
    <w:rsid w:val="008A3639"/>
    <w:rsid w:val="008A38C2"/>
    <w:rsid w:val="008A3BCA"/>
    <w:rsid w:val="008A3FBB"/>
    <w:rsid w:val="008A405B"/>
    <w:rsid w:val="008A40CA"/>
    <w:rsid w:val="008A413D"/>
    <w:rsid w:val="008A469A"/>
    <w:rsid w:val="008A47BC"/>
    <w:rsid w:val="008A48EF"/>
    <w:rsid w:val="008A4ABC"/>
    <w:rsid w:val="008A4C57"/>
    <w:rsid w:val="008A4C79"/>
    <w:rsid w:val="008A531B"/>
    <w:rsid w:val="008A5886"/>
    <w:rsid w:val="008A613E"/>
    <w:rsid w:val="008A62F5"/>
    <w:rsid w:val="008A6A9F"/>
    <w:rsid w:val="008A6B56"/>
    <w:rsid w:val="008A6BAF"/>
    <w:rsid w:val="008A6BD5"/>
    <w:rsid w:val="008A6CF2"/>
    <w:rsid w:val="008A707A"/>
    <w:rsid w:val="008A7714"/>
    <w:rsid w:val="008B0452"/>
    <w:rsid w:val="008B0456"/>
    <w:rsid w:val="008B1117"/>
    <w:rsid w:val="008B1DFD"/>
    <w:rsid w:val="008B1E97"/>
    <w:rsid w:val="008B2175"/>
    <w:rsid w:val="008B24ED"/>
    <w:rsid w:val="008B2661"/>
    <w:rsid w:val="008B26FF"/>
    <w:rsid w:val="008B2C8F"/>
    <w:rsid w:val="008B2DDF"/>
    <w:rsid w:val="008B3203"/>
    <w:rsid w:val="008B3373"/>
    <w:rsid w:val="008B3530"/>
    <w:rsid w:val="008B3853"/>
    <w:rsid w:val="008B3C86"/>
    <w:rsid w:val="008B3DBA"/>
    <w:rsid w:val="008B3F87"/>
    <w:rsid w:val="008B3FDC"/>
    <w:rsid w:val="008B40A2"/>
    <w:rsid w:val="008B417E"/>
    <w:rsid w:val="008B42E6"/>
    <w:rsid w:val="008B4311"/>
    <w:rsid w:val="008B445E"/>
    <w:rsid w:val="008B44E8"/>
    <w:rsid w:val="008B4746"/>
    <w:rsid w:val="008B4779"/>
    <w:rsid w:val="008B4945"/>
    <w:rsid w:val="008B4BAE"/>
    <w:rsid w:val="008B54A1"/>
    <w:rsid w:val="008B553D"/>
    <w:rsid w:val="008B5719"/>
    <w:rsid w:val="008B5B0A"/>
    <w:rsid w:val="008B5F71"/>
    <w:rsid w:val="008B6450"/>
    <w:rsid w:val="008B6640"/>
    <w:rsid w:val="008B6CDA"/>
    <w:rsid w:val="008B6DB6"/>
    <w:rsid w:val="008B72F0"/>
    <w:rsid w:val="008B7726"/>
    <w:rsid w:val="008B77AB"/>
    <w:rsid w:val="008B7897"/>
    <w:rsid w:val="008C055A"/>
    <w:rsid w:val="008C0C2E"/>
    <w:rsid w:val="008C0F6E"/>
    <w:rsid w:val="008C1085"/>
    <w:rsid w:val="008C10C9"/>
    <w:rsid w:val="008C11F9"/>
    <w:rsid w:val="008C1253"/>
    <w:rsid w:val="008C183D"/>
    <w:rsid w:val="008C18F6"/>
    <w:rsid w:val="008C207F"/>
    <w:rsid w:val="008C214A"/>
    <w:rsid w:val="008C21AD"/>
    <w:rsid w:val="008C23A9"/>
    <w:rsid w:val="008C25D7"/>
    <w:rsid w:val="008C2882"/>
    <w:rsid w:val="008C2903"/>
    <w:rsid w:val="008C29B0"/>
    <w:rsid w:val="008C2E5C"/>
    <w:rsid w:val="008C3079"/>
    <w:rsid w:val="008C317B"/>
    <w:rsid w:val="008C32BC"/>
    <w:rsid w:val="008C349D"/>
    <w:rsid w:val="008C3787"/>
    <w:rsid w:val="008C3F9D"/>
    <w:rsid w:val="008C3FB6"/>
    <w:rsid w:val="008C42F9"/>
    <w:rsid w:val="008C47DE"/>
    <w:rsid w:val="008C47F7"/>
    <w:rsid w:val="008C4CA1"/>
    <w:rsid w:val="008C4E2D"/>
    <w:rsid w:val="008C4EAE"/>
    <w:rsid w:val="008C4FCB"/>
    <w:rsid w:val="008C51A3"/>
    <w:rsid w:val="008C5287"/>
    <w:rsid w:val="008C5442"/>
    <w:rsid w:val="008C5443"/>
    <w:rsid w:val="008C5B75"/>
    <w:rsid w:val="008C5C5D"/>
    <w:rsid w:val="008C5E70"/>
    <w:rsid w:val="008C655E"/>
    <w:rsid w:val="008C6C21"/>
    <w:rsid w:val="008C770C"/>
    <w:rsid w:val="008C7984"/>
    <w:rsid w:val="008D04A8"/>
    <w:rsid w:val="008D0C47"/>
    <w:rsid w:val="008D0CD1"/>
    <w:rsid w:val="008D0D4D"/>
    <w:rsid w:val="008D0E2C"/>
    <w:rsid w:val="008D0FCC"/>
    <w:rsid w:val="008D0FDC"/>
    <w:rsid w:val="008D11F2"/>
    <w:rsid w:val="008D1540"/>
    <w:rsid w:val="008D1763"/>
    <w:rsid w:val="008D1D6B"/>
    <w:rsid w:val="008D1DDC"/>
    <w:rsid w:val="008D23B2"/>
    <w:rsid w:val="008D255C"/>
    <w:rsid w:val="008D2747"/>
    <w:rsid w:val="008D2926"/>
    <w:rsid w:val="008D29D5"/>
    <w:rsid w:val="008D3162"/>
    <w:rsid w:val="008D32B2"/>
    <w:rsid w:val="008D371C"/>
    <w:rsid w:val="008D3D61"/>
    <w:rsid w:val="008D3D8B"/>
    <w:rsid w:val="008D40A0"/>
    <w:rsid w:val="008D40E2"/>
    <w:rsid w:val="008D471A"/>
    <w:rsid w:val="008D4B2C"/>
    <w:rsid w:val="008D5142"/>
    <w:rsid w:val="008D5178"/>
    <w:rsid w:val="008D51D7"/>
    <w:rsid w:val="008D520D"/>
    <w:rsid w:val="008D59A9"/>
    <w:rsid w:val="008D5B56"/>
    <w:rsid w:val="008D5C13"/>
    <w:rsid w:val="008D6415"/>
    <w:rsid w:val="008D6500"/>
    <w:rsid w:val="008D65D4"/>
    <w:rsid w:val="008D6901"/>
    <w:rsid w:val="008D6D65"/>
    <w:rsid w:val="008D71C8"/>
    <w:rsid w:val="008D71F3"/>
    <w:rsid w:val="008D733B"/>
    <w:rsid w:val="008D75F2"/>
    <w:rsid w:val="008D76FC"/>
    <w:rsid w:val="008D77B8"/>
    <w:rsid w:val="008D79EB"/>
    <w:rsid w:val="008D7C6C"/>
    <w:rsid w:val="008D7CE4"/>
    <w:rsid w:val="008E0373"/>
    <w:rsid w:val="008E0668"/>
    <w:rsid w:val="008E0791"/>
    <w:rsid w:val="008E08EF"/>
    <w:rsid w:val="008E0B80"/>
    <w:rsid w:val="008E0E1D"/>
    <w:rsid w:val="008E0F0A"/>
    <w:rsid w:val="008E1412"/>
    <w:rsid w:val="008E16A4"/>
    <w:rsid w:val="008E17D2"/>
    <w:rsid w:val="008E1F04"/>
    <w:rsid w:val="008E1FF7"/>
    <w:rsid w:val="008E2060"/>
    <w:rsid w:val="008E2A0E"/>
    <w:rsid w:val="008E2D04"/>
    <w:rsid w:val="008E365E"/>
    <w:rsid w:val="008E36E0"/>
    <w:rsid w:val="008E375A"/>
    <w:rsid w:val="008E3A37"/>
    <w:rsid w:val="008E3ADC"/>
    <w:rsid w:val="008E3D55"/>
    <w:rsid w:val="008E3F41"/>
    <w:rsid w:val="008E4347"/>
    <w:rsid w:val="008E43B2"/>
    <w:rsid w:val="008E499E"/>
    <w:rsid w:val="008E4E21"/>
    <w:rsid w:val="008E4FD2"/>
    <w:rsid w:val="008E5A58"/>
    <w:rsid w:val="008E6136"/>
    <w:rsid w:val="008E62E3"/>
    <w:rsid w:val="008E6935"/>
    <w:rsid w:val="008E6AF2"/>
    <w:rsid w:val="008E6B0F"/>
    <w:rsid w:val="008E753F"/>
    <w:rsid w:val="008E7C92"/>
    <w:rsid w:val="008F01C1"/>
    <w:rsid w:val="008F027E"/>
    <w:rsid w:val="008F086B"/>
    <w:rsid w:val="008F0910"/>
    <w:rsid w:val="008F21B5"/>
    <w:rsid w:val="008F22AE"/>
    <w:rsid w:val="008F24D6"/>
    <w:rsid w:val="008F254D"/>
    <w:rsid w:val="008F2782"/>
    <w:rsid w:val="008F2BA2"/>
    <w:rsid w:val="008F2C81"/>
    <w:rsid w:val="008F3254"/>
    <w:rsid w:val="008F36B1"/>
    <w:rsid w:val="008F3805"/>
    <w:rsid w:val="008F3D43"/>
    <w:rsid w:val="008F3F74"/>
    <w:rsid w:val="008F3FEB"/>
    <w:rsid w:val="008F47B2"/>
    <w:rsid w:val="008F4CA3"/>
    <w:rsid w:val="008F62A9"/>
    <w:rsid w:val="008F638D"/>
    <w:rsid w:val="008F68F5"/>
    <w:rsid w:val="008F6954"/>
    <w:rsid w:val="008F6B6B"/>
    <w:rsid w:val="008F6C0C"/>
    <w:rsid w:val="008F6C42"/>
    <w:rsid w:val="008F6C61"/>
    <w:rsid w:val="008F6EB2"/>
    <w:rsid w:val="008F6F1D"/>
    <w:rsid w:val="008F751C"/>
    <w:rsid w:val="008F767B"/>
    <w:rsid w:val="008F7E38"/>
    <w:rsid w:val="009003F4"/>
    <w:rsid w:val="009008A2"/>
    <w:rsid w:val="00900C6B"/>
    <w:rsid w:val="00901110"/>
    <w:rsid w:val="00901469"/>
    <w:rsid w:val="00901722"/>
    <w:rsid w:val="00901792"/>
    <w:rsid w:val="00901945"/>
    <w:rsid w:val="00901CB2"/>
    <w:rsid w:val="00901EFF"/>
    <w:rsid w:val="00902128"/>
    <w:rsid w:val="0090223B"/>
    <w:rsid w:val="00902473"/>
    <w:rsid w:val="00902859"/>
    <w:rsid w:val="00902ABE"/>
    <w:rsid w:val="009034E7"/>
    <w:rsid w:val="00903697"/>
    <w:rsid w:val="0090390C"/>
    <w:rsid w:val="00903925"/>
    <w:rsid w:val="00903D87"/>
    <w:rsid w:val="00904032"/>
    <w:rsid w:val="00904053"/>
    <w:rsid w:val="009040AF"/>
    <w:rsid w:val="009049F0"/>
    <w:rsid w:val="009049FB"/>
    <w:rsid w:val="00904BDA"/>
    <w:rsid w:val="00904DB1"/>
    <w:rsid w:val="009050F0"/>
    <w:rsid w:val="009051BD"/>
    <w:rsid w:val="0090582C"/>
    <w:rsid w:val="009058D2"/>
    <w:rsid w:val="0090596D"/>
    <w:rsid w:val="00905DA9"/>
    <w:rsid w:val="0090665B"/>
    <w:rsid w:val="00906B3F"/>
    <w:rsid w:val="00906C67"/>
    <w:rsid w:val="00906C86"/>
    <w:rsid w:val="00906CF3"/>
    <w:rsid w:val="0090703E"/>
    <w:rsid w:val="0090718F"/>
    <w:rsid w:val="00907920"/>
    <w:rsid w:val="00907E8D"/>
    <w:rsid w:val="009100BB"/>
    <w:rsid w:val="00910443"/>
    <w:rsid w:val="00910C88"/>
    <w:rsid w:val="00910E54"/>
    <w:rsid w:val="00910F9F"/>
    <w:rsid w:val="00911166"/>
    <w:rsid w:val="00911205"/>
    <w:rsid w:val="009112CE"/>
    <w:rsid w:val="009112E1"/>
    <w:rsid w:val="00911347"/>
    <w:rsid w:val="009115AC"/>
    <w:rsid w:val="009115F8"/>
    <w:rsid w:val="009116F5"/>
    <w:rsid w:val="009117F4"/>
    <w:rsid w:val="009118D0"/>
    <w:rsid w:val="00911990"/>
    <w:rsid w:val="00911B75"/>
    <w:rsid w:val="009120BD"/>
    <w:rsid w:val="00912281"/>
    <w:rsid w:val="009123CC"/>
    <w:rsid w:val="00912625"/>
    <w:rsid w:val="00912A7F"/>
    <w:rsid w:val="00912C3E"/>
    <w:rsid w:val="00912D23"/>
    <w:rsid w:val="0091361B"/>
    <w:rsid w:val="00913641"/>
    <w:rsid w:val="00913A93"/>
    <w:rsid w:val="00913BC5"/>
    <w:rsid w:val="0091421E"/>
    <w:rsid w:val="0091428F"/>
    <w:rsid w:val="00914A42"/>
    <w:rsid w:val="00914BF1"/>
    <w:rsid w:val="009151B8"/>
    <w:rsid w:val="009155CB"/>
    <w:rsid w:val="0091580D"/>
    <w:rsid w:val="0091597B"/>
    <w:rsid w:val="00915CC2"/>
    <w:rsid w:val="00916962"/>
    <w:rsid w:val="00916BB4"/>
    <w:rsid w:val="00917078"/>
    <w:rsid w:val="009173ED"/>
    <w:rsid w:val="0091764E"/>
    <w:rsid w:val="0091799E"/>
    <w:rsid w:val="00920316"/>
    <w:rsid w:val="009205AF"/>
    <w:rsid w:val="00920AE4"/>
    <w:rsid w:val="0092105E"/>
    <w:rsid w:val="009213C8"/>
    <w:rsid w:val="00921ED9"/>
    <w:rsid w:val="009223AE"/>
    <w:rsid w:val="00922BA3"/>
    <w:rsid w:val="0092302B"/>
    <w:rsid w:val="00923344"/>
    <w:rsid w:val="009236C4"/>
    <w:rsid w:val="009239D5"/>
    <w:rsid w:val="00923A1B"/>
    <w:rsid w:val="009243DE"/>
    <w:rsid w:val="00924502"/>
    <w:rsid w:val="00924977"/>
    <w:rsid w:val="009249DD"/>
    <w:rsid w:val="00924E80"/>
    <w:rsid w:val="00924F41"/>
    <w:rsid w:val="0092504F"/>
    <w:rsid w:val="00925116"/>
    <w:rsid w:val="0092548D"/>
    <w:rsid w:val="00925B49"/>
    <w:rsid w:val="00925C01"/>
    <w:rsid w:val="00925E55"/>
    <w:rsid w:val="00925F93"/>
    <w:rsid w:val="009260CA"/>
    <w:rsid w:val="00926633"/>
    <w:rsid w:val="00926E77"/>
    <w:rsid w:val="00927522"/>
    <w:rsid w:val="00930067"/>
    <w:rsid w:val="009302D3"/>
    <w:rsid w:val="00930560"/>
    <w:rsid w:val="0093095C"/>
    <w:rsid w:val="009309E9"/>
    <w:rsid w:val="00930AEC"/>
    <w:rsid w:val="00930DCC"/>
    <w:rsid w:val="00930E77"/>
    <w:rsid w:val="00930EEC"/>
    <w:rsid w:val="00931432"/>
    <w:rsid w:val="009317BB"/>
    <w:rsid w:val="009319B1"/>
    <w:rsid w:val="00931A33"/>
    <w:rsid w:val="00931A76"/>
    <w:rsid w:val="00931BDF"/>
    <w:rsid w:val="00931BFE"/>
    <w:rsid w:val="00931EEC"/>
    <w:rsid w:val="0093228C"/>
    <w:rsid w:val="00932541"/>
    <w:rsid w:val="00932751"/>
    <w:rsid w:val="00932B30"/>
    <w:rsid w:val="00932D31"/>
    <w:rsid w:val="00932EE4"/>
    <w:rsid w:val="00933285"/>
    <w:rsid w:val="00933484"/>
    <w:rsid w:val="009335B1"/>
    <w:rsid w:val="009339E0"/>
    <w:rsid w:val="00933E3D"/>
    <w:rsid w:val="00933E54"/>
    <w:rsid w:val="0093438C"/>
    <w:rsid w:val="009345F8"/>
    <w:rsid w:val="00934677"/>
    <w:rsid w:val="009355C5"/>
    <w:rsid w:val="00935717"/>
    <w:rsid w:val="00935CC1"/>
    <w:rsid w:val="00935E5F"/>
    <w:rsid w:val="00936986"/>
    <w:rsid w:val="0093741F"/>
    <w:rsid w:val="00937EEB"/>
    <w:rsid w:val="0094022F"/>
    <w:rsid w:val="009402D3"/>
    <w:rsid w:val="00940316"/>
    <w:rsid w:val="009405DE"/>
    <w:rsid w:val="00940B84"/>
    <w:rsid w:val="00940E65"/>
    <w:rsid w:val="009418A2"/>
    <w:rsid w:val="009418CE"/>
    <w:rsid w:val="00941B93"/>
    <w:rsid w:val="00942E35"/>
    <w:rsid w:val="009431DA"/>
    <w:rsid w:val="009435AD"/>
    <w:rsid w:val="00943619"/>
    <w:rsid w:val="00943634"/>
    <w:rsid w:val="009436F7"/>
    <w:rsid w:val="009439EE"/>
    <w:rsid w:val="00943D13"/>
    <w:rsid w:val="00944101"/>
    <w:rsid w:val="00944199"/>
    <w:rsid w:val="009444FD"/>
    <w:rsid w:val="0094499D"/>
    <w:rsid w:val="009449BD"/>
    <w:rsid w:val="00944E0C"/>
    <w:rsid w:val="00944EE3"/>
    <w:rsid w:val="00945737"/>
    <w:rsid w:val="0094667C"/>
    <w:rsid w:val="00946B53"/>
    <w:rsid w:val="00946D4A"/>
    <w:rsid w:val="0094713B"/>
    <w:rsid w:val="009471D0"/>
    <w:rsid w:val="00950122"/>
    <w:rsid w:val="00950438"/>
    <w:rsid w:val="00950877"/>
    <w:rsid w:val="00950909"/>
    <w:rsid w:val="00950C2B"/>
    <w:rsid w:val="009517B5"/>
    <w:rsid w:val="00951882"/>
    <w:rsid w:val="00951D09"/>
    <w:rsid w:val="009525B5"/>
    <w:rsid w:val="00952753"/>
    <w:rsid w:val="0095347B"/>
    <w:rsid w:val="00953895"/>
    <w:rsid w:val="00953957"/>
    <w:rsid w:val="00953DF3"/>
    <w:rsid w:val="00953F86"/>
    <w:rsid w:val="0095475B"/>
    <w:rsid w:val="00954A47"/>
    <w:rsid w:val="00954E51"/>
    <w:rsid w:val="00956522"/>
    <w:rsid w:val="00956EED"/>
    <w:rsid w:val="00956F74"/>
    <w:rsid w:val="00957060"/>
    <w:rsid w:val="00957800"/>
    <w:rsid w:val="009579BD"/>
    <w:rsid w:val="00957D7D"/>
    <w:rsid w:val="0096035D"/>
    <w:rsid w:val="009604B0"/>
    <w:rsid w:val="00960A69"/>
    <w:rsid w:val="00960B6C"/>
    <w:rsid w:val="00960DD0"/>
    <w:rsid w:val="00960FF6"/>
    <w:rsid w:val="00961243"/>
    <w:rsid w:val="0096147F"/>
    <w:rsid w:val="0096167D"/>
    <w:rsid w:val="0096174A"/>
    <w:rsid w:val="00961C25"/>
    <w:rsid w:val="00961D94"/>
    <w:rsid w:val="00961F8D"/>
    <w:rsid w:val="009625E1"/>
    <w:rsid w:val="0096272E"/>
    <w:rsid w:val="00962A82"/>
    <w:rsid w:val="00962BBF"/>
    <w:rsid w:val="00962BFF"/>
    <w:rsid w:val="00962F6F"/>
    <w:rsid w:val="00963232"/>
    <w:rsid w:val="00963439"/>
    <w:rsid w:val="009638F4"/>
    <w:rsid w:val="00963A26"/>
    <w:rsid w:val="00963D23"/>
    <w:rsid w:val="00963DE7"/>
    <w:rsid w:val="00963FB2"/>
    <w:rsid w:val="00964538"/>
    <w:rsid w:val="00964808"/>
    <w:rsid w:val="00964C53"/>
    <w:rsid w:val="00964D8E"/>
    <w:rsid w:val="00964E33"/>
    <w:rsid w:val="0096513D"/>
    <w:rsid w:val="0096555E"/>
    <w:rsid w:val="0096578F"/>
    <w:rsid w:val="009658C0"/>
    <w:rsid w:val="00965A32"/>
    <w:rsid w:val="00965D12"/>
    <w:rsid w:val="00965DC8"/>
    <w:rsid w:val="00965E77"/>
    <w:rsid w:val="0096646D"/>
    <w:rsid w:val="0096654D"/>
    <w:rsid w:val="00966DE3"/>
    <w:rsid w:val="00967514"/>
    <w:rsid w:val="00967617"/>
    <w:rsid w:val="009678E1"/>
    <w:rsid w:val="00967DBF"/>
    <w:rsid w:val="00970079"/>
    <w:rsid w:val="009701BD"/>
    <w:rsid w:val="00970603"/>
    <w:rsid w:val="0097135F"/>
    <w:rsid w:val="009714CD"/>
    <w:rsid w:val="0097154B"/>
    <w:rsid w:val="009717EA"/>
    <w:rsid w:val="00971D2F"/>
    <w:rsid w:val="0097211A"/>
    <w:rsid w:val="009724E9"/>
    <w:rsid w:val="0097297F"/>
    <w:rsid w:val="00972F4F"/>
    <w:rsid w:val="00973219"/>
    <w:rsid w:val="009732BC"/>
    <w:rsid w:val="0097376E"/>
    <w:rsid w:val="0097377E"/>
    <w:rsid w:val="009737DE"/>
    <w:rsid w:val="00973E9F"/>
    <w:rsid w:val="009740E7"/>
    <w:rsid w:val="009744BE"/>
    <w:rsid w:val="00974E7F"/>
    <w:rsid w:val="00974FFB"/>
    <w:rsid w:val="0097547B"/>
    <w:rsid w:val="00975B66"/>
    <w:rsid w:val="00975CE4"/>
    <w:rsid w:val="00975F88"/>
    <w:rsid w:val="009760C2"/>
    <w:rsid w:val="0097626F"/>
    <w:rsid w:val="00976757"/>
    <w:rsid w:val="009767C7"/>
    <w:rsid w:val="00976AA9"/>
    <w:rsid w:val="00976CF0"/>
    <w:rsid w:val="009777B3"/>
    <w:rsid w:val="00977868"/>
    <w:rsid w:val="00977894"/>
    <w:rsid w:val="009779C3"/>
    <w:rsid w:val="0098025B"/>
    <w:rsid w:val="0098030E"/>
    <w:rsid w:val="00980320"/>
    <w:rsid w:val="0098043C"/>
    <w:rsid w:val="009809D9"/>
    <w:rsid w:val="00980C2D"/>
    <w:rsid w:val="00980C4E"/>
    <w:rsid w:val="00980E9E"/>
    <w:rsid w:val="00981092"/>
    <w:rsid w:val="009811E6"/>
    <w:rsid w:val="009818E4"/>
    <w:rsid w:val="00981BB4"/>
    <w:rsid w:val="00982501"/>
    <w:rsid w:val="00982892"/>
    <w:rsid w:val="00982B75"/>
    <w:rsid w:val="00982B97"/>
    <w:rsid w:val="00982F0E"/>
    <w:rsid w:val="0098316F"/>
    <w:rsid w:val="009837E7"/>
    <w:rsid w:val="009839DD"/>
    <w:rsid w:val="00983AD6"/>
    <w:rsid w:val="0098410D"/>
    <w:rsid w:val="00984167"/>
    <w:rsid w:val="00984260"/>
    <w:rsid w:val="0098450A"/>
    <w:rsid w:val="00984572"/>
    <w:rsid w:val="00984637"/>
    <w:rsid w:val="00984A18"/>
    <w:rsid w:val="00984D8D"/>
    <w:rsid w:val="00985132"/>
    <w:rsid w:val="009851B6"/>
    <w:rsid w:val="0098560C"/>
    <w:rsid w:val="009857E9"/>
    <w:rsid w:val="00985B14"/>
    <w:rsid w:val="00985ED8"/>
    <w:rsid w:val="00986169"/>
    <w:rsid w:val="0098629A"/>
    <w:rsid w:val="009862C0"/>
    <w:rsid w:val="00986A07"/>
    <w:rsid w:val="00986C31"/>
    <w:rsid w:val="00986D0F"/>
    <w:rsid w:val="00987124"/>
    <w:rsid w:val="0098740B"/>
    <w:rsid w:val="0098748F"/>
    <w:rsid w:val="00987693"/>
    <w:rsid w:val="0098771B"/>
    <w:rsid w:val="00987930"/>
    <w:rsid w:val="00987EFC"/>
    <w:rsid w:val="00987F7D"/>
    <w:rsid w:val="00987FE7"/>
    <w:rsid w:val="0099043E"/>
    <w:rsid w:val="009909A8"/>
    <w:rsid w:val="00990F9E"/>
    <w:rsid w:val="00991123"/>
    <w:rsid w:val="009912F3"/>
    <w:rsid w:val="00991B83"/>
    <w:rsid w:val="00991C25"/>
    <w:rsid w:val="00991DD9"/>
    <w:rsid w:val="00992723"/>
    <w:rsid w:val="009927DE"/>
    <w:rsid w:val="0099285C"/>
    <w:rsid w:val="00992D24"/>
    <w:rsid w:val="00993033"/>
    <w:rsid w:val="009930F5"/>
    <w:rsid w:val="0099311D"/>
    <w:rsid w:val="00993529"/>
    <w:rsid w:val="0099376C"/>
    <w:rsid w:val="00993DD8"/>
    <w:rsid w:val="00993E92"/>
    <w:rsid w:val="00993EA7"/>
    <w:rsid w:val="0099442A"/>
    <w:rsid w:val="009948C4"/>
    <w:rsid w:val="00994C1E"/>
    <w:rsid w:val="009954F2"/>
    <w:rsid w:val="0099564F"/>
    <w:rsid w:val="00995AFD"/>
    <w:rsid w:val="0099623F"/>
    <w:rsid w:val="00997231"/>
    <w:rsid w:val="009972BB"/>
    <w:rsid w:val="009972C8"/>
    <w:rsid w:val="00997642"/>
    <w:rsid w:val="00997B74"/>
    <w:rsid w:val="009A00A0"/>
    <w:rsid w:val="009A010E"/>
    <w:rsid w:val="009A0244"/>
    <w:rsid w:val="009A03BD"/>
    <w:rsid w:val="009A07E2"/>
    <w:rsid w:val="009A08AF"/>
    <w:rsid w:val="009A0EDA"/>
    <w:rsid w:val="009A0F97"/>
    <w:rsid w:val="009A15BE"/>
    <w:rsid w:val="009A197A"/>
    <w:rsid w:val="009A1B75"/>
    <w:rsid w:val="009A1C18"/>
    <w:rsid w:val="009A1E32"/>
    <w:rsid w:val="009A1FCF"/>
    <w:rsid w:val="009A2275"/>
    <w:rsid w:val="009A23B7"/>
    <w:rsid w:val="009A275D"/>
    <w:rsid w:val="009A2D0B"/>
    <w:rsid w:val="009A30D8"/>
    <w:rsid w:val="009A3454"/>
    <w:rsid w:val="009A3468"/>
    <w:rsid w:val="009A357A"/>
    <w:rsid w:val="009A3B58"/>
    <w:rsid w:val="009A3D14"/>
    <w:rsid w:val="009A3F3B"/>
    <w:rsid w:val="009A4FEA"/>
    <w:rsid w:val="009A5183"/>
    <w:rsid w:val="009A5687"/>
    <w:rsid w:val="009A5902"/>
    <w:rsid w:val="009A5CB7"/>
    <w:rsid w:val="009A5D4B"/>
    <w:rsid w:val="009A679B"/>
    <w:rsid w:val="009A6B36"/>
    <w:rsid w:val="009A7613"/>
    <w:rsid w:val="009A7BED"/>
    <w:rsid w:val="009B0348"/>
    <w:rsid w:val="009B034E"/>
    <w:rsid w:val="009B0B4A"/>
    <w:rsid w:val="009B0E34"/>
    <w:rsid w:val="009B0F09"/>
    <w:rsid w:val="009B11EB"/>
    <w:rsid w:val="009B1226"/>
    <w:rsid w:val="009B1609"/>
    <w:rsid w:val="009B16E2"/>
    <w:rsid w:val="009B178C"/>
    <w:rsid w:val="009B1F0C"/>
    <w:rsid w:val="009B1F26"/>
    <w:rsid w:val="009B2AAC"/>
    <w:rsid w:val="009B2AED"/>
    <w:rsid w:val="009B2EB6"/>
    <w:rsid w:val="009B361D"/>
    <w:rsid w:val="009B386E"/>
    <w:rsid w:val="009B3D7B"/>
    <w:rsid w:val="009B3DB6"/>
    <w:rsid w:val="009B3F56"/>
    <w:rsid w:val="009B433C"/>
    <w:rsid w:val="009B465C"/>
    <w:rsid w:val="009B4B6E"/>
    <w:rsid w:val="009B5095"/>
    <w:rsid w:val="009B5156"/>
    <w:rsid w:val="009B52C1"/>
    <w:rsid w:val="009B5335"/>
    <w:rsid w:val="009B5516"/>
    <w:rsid w:val="009B56F3"/>
    <w:rsid w:val="009B576E"/>
    <w:rsid w:val="009B58B6"/>
    <w:rsid w:val="009B59BB"/>
    <w:rsid w:val="009B5A9F"/>
    <w:rsid w:val="009B6366"/>
    <w:rsid w:val="009B63CA"/>
    <w:rsid w:val="009B640C"/>
    <w:rsid w:val="009B655E"/>
    <w:rsid w:val="009B6AE9"/>
    <w:rsid w:val="009B72A8"/>
    <w:rsid w:val="009B7378"/>
    <w:rsid w:val="009B781A"/>
    <w:rsid w:val="009B7866"/>
    <w:rsid w:val="009B7B88"/>
    <w:rsid w:val="009C0E2E"/>
    <w:rsid w:val="009C1134"/>
    <w:rsid w:val="009C18AF"/>
    <w:rsid w:val="009C1A45"/>
    <w:rsid w:val="009C1D36"/>
    <w:rsid w:val="009C1F56"/>
    <w:rsid w:val="009C205A"/>
    <w:rsid w:val="009C25C8"/>
    <w:rsid w:val="009C2850"/>
    <w:rsid w:val="009C3242"/>
    <w:rsid w:val="009C32B8"/>
    <w:rsid w:val="009C37F8"/>
    <w:rsid w:val="009C3DDE"/>
    <w:rsid w:val="009C40D6"/>
    <w:rsid w:val="009C44B5"/>
    <w:rsid w:val="009C4545"/>
    <w:rsid w:val="009C461F"/>
    <w:rsid w:val="009C4811"/>
    <w:rsid w:val="009C490A"/>
    <w:rsid w:val="009C4CF9"/>
    <w:rsid w:val="009C5130"/>
    <w:rsid w:val="009C5252"/>
    <w:rsid w:val="009C54BA"/>
    <w:rsid w:val="009C55D3"/>
    <w:rsid w:val="009C5969"/>
    <w:rsid w:val="009C5EEB"/>
    <w:rsid w:val="009C5F2F"/>
    <w:rsid w:val="009C5FF8"/>
    <w:rsid w:val="009C65D3"/>
    <w:rsid w:val="009C6AF6"/>
    <w:rsid w:val="009C6E2B"/>
    <w:rsid w:val="009C722C"/>
    <w:rsid w:val="009C72B6"/>
    <w:rsid w:val="009C7360"/>
    <w:rsid w:val="009C738A"/>
    <w:rsid w:val="009C73AB"/>
    <w:rsid w:val="009C76E8"/>
    <w:rsid w:val="009C7823"/>
    <w:rsid w:val="009C7BA6"/>
    <w:rsid w:val="009D04BE"/>
    <w:rsid w:val="009D0A63"/>
    <w:rsid w:val="009D0EE4"/>
    <w:rsid w:val="009D13A2"/>
    <w:rsid w:val="009D13AE"/>
    <w:rsid w:val="009D149B"/>
    <w:rsid w:val="009D166A"/>
    <w:rsid w:val="009D16E1"/>
    <w:rsid w:val="009D1976"/>
    <w:rsid w:val="009D1A32"/>
    <w:rsid w:val="009D1E22"/>
    <w:rsid w:val="009D1EC6"/>
    <w:rsid w:val="009D3034"/>
    <w:rsid w:val="009D3500"/>
    <w:rsid w:val="009D356A"/>
    <w:rsid w:val="009D3576"/>
    <w:rsid w:val="009D3736"/>
    <w:rsid w:val="009D3DA4"/>
    <w:rsid w:val="009D3F6A"/>
    <w:rsid w:val="009D4336"/>
    <w:rsid w:val="009D4750"/>
    <w:rsid w:val="009D4915"/>
    <w:rsid w:val="009D4B6E"/>
    <w:rsid w:val="009D4C38"/>
    <w:rsid w:val="009D5791"/>
    <w:rsid w:val="009D5AF2"/>
    <w:rsid w:val="009D62A8"/>
    <w:rsid w:val="009D6693"/>
    <w:rsid w:val="009D6E7D"/>
    <w:rsid w:val="009D7069"/>
    <w:rsid w:val="009D7073"/>
    <w:rsid w:val="009D7119"/>
    <w:rsid w:val="009D7247"/>
    <w:rsid w:val="009D7441"/>
    <w:rsid w:val="009D7AB1"/>
    <w:rsid w:val="009E0164"/>
    <w:rsid w:val="009E082E"/>
    <w:rsid w:val="009E0DD5"/>
    <w:rsid w:val="009E0FD4"/>
    <w:rsid w:val="009E11B7"/>
    <w:rsid w:val="009E12C7"/>
    <w:rsid w:val="009E16F9"/>
    <w:rsid w:val="009E25E7"/>
    <w:rsid w:val="009E2A73"/>
    <w:rsid w:val="009E37B9"/>
    <w:rsid w:val="009E37D6"/>
    <w:rsid w:val="009E3919"/>
    <w:rsid w:val="009E39A2"/>
    <w:rsid w:val="009E3A1D"/>
    <w:rsid w:val="009E3A28"/>
    <w:rsid w:val="009E41CE"/>
    <w:rsid w:val="009E433D"/>
    <w:rsid w:val="009E445A"/>
    <w:rsid w:val="009E44AF"/>
    <w:rsid w:val="009E44C4"/>
    <w:rsid w:val="009E4778"/>
    <w:rsid w:val="009E4C2F"/>
    <w:rsid w:val="009E4D8E"/>
    <w:rsid w:val="009E5223"/>
    <w:rsid w:val="009E55DA"/>
    <w:rsid w:val="009E573A"/>
    <w:rsid w:val="009E5850"/>
    <w:rsid w:val="009E5A9E"/>
    <w:rsid w:val="009E5CCF"/>
    <w:rsid w:val="009E5DB6"/>
    <w:rsid w:val="009E5F12"/>
    <w:rsid w:val="009E71F1"/>
    <w:rsid w:val="009E747B"/>
    <w:rsid w:val="009E75C8"/>
    <w:rsid w:val="009E7711"/>
    <w:rsid w:val="009E7F38"/>
    <w:rsid w:val="009F016C"/>
    <w:rsid w:val="009F078D"/>
    <w:rsid w:val="009F0DD9"/>
    <w:rsid w:val="009F0E1A"/>
    <w:rsid w:val="009F10D4"/>
    <w:rsid w:val="009F10F3"/>
    <w:rsid w:val="009F1585"/>
    <w:rsid w:val="009F1AA4"/>
    <w:rsid w:val="009F2E6D"/>
    <w:rsid w:val="009F407B"/>
    <w:rsid w:val="009F43D0"/>
    <w:rsid w:val="009F454E"/>
    <w:rsid w:val="009F45D8"/>
    <w:rsid w:val="009F465D"/>
    <w:rsid w:val="009F4AD5"/>
    <w:rsid w:val="009F5B73"/>
    <w:rsid w:val="009F5C2F"/>
    <w:rsid w:val="009F6025"/>
    <w:rsid w:val="009F6344"/>
    <w:rsid w:val="009F652D"/>
    <w:rsid w:val="009F6640"/>
    <w:rsid w:val="009F669C"/>
    <w:rsid w:val="009F6759"/>
    <w:rsid w:val="009F681E"/>
    <w:rsid w:val="009F68AC"/>
    <w:rsid w:val="009F6C2C"/>
    <w:rsid w:val="009F6CB1"/>
    <w:rsid w:val="009F6DBB"/>
    <w:rsid w:val="009F7699"/>
    <w:rsid w:val="009F7AFD"/>
    <w:rsid w:val="009F7C2D"/>
    <w:rsid w:val="009F7C6F"/>
    <w:rsid w:val="009F7EE8"/>
    <w:rsid w:val="00A0031A"/>
    <w:rsid w:val="00A005A6"/>
    <w:rsid w:val="00A0062E"/>
    <w:rsid w:val="00A00AC2"/>
    <w:rsid w:val="00A00C6F"/>
    <w:rsid w:val="00A00D82"/>
    <w:rsid w:val="00A00E34"/>
    <w:rsid w:val="00A00F4F"/>
    <w:rsid w:val="00A01317"/>
    <w:rsid w:val="00A0151B"/>
    <w:rsid w:val="00A01626"/>
    <w:rsid w:val="00A01EA3"/>
    <w:rsid w:val="00A0239F"/>
    <w:rsid w:val="00A025D4"/>
    <w:rsid w:val="00A026A0"/>
    <w:rsid w:val="00A026F4"/>
    <w:rsid w:val="00A02D80"/>
    <w:rsid w:val="00A032BD"/>
    <w:rsid w:val="00A038AF"/>
    <w:rsid w:val="00A03C4C"/>
    <w:rsid w:val="00A0416D"/>
    <w:rsid w:val="00A04364"/>
    <w:rsid w:val="00A044DB"/>
    <w:rsid w:val="00A045C6"/>
    <w:rsid w:val="00A045F7"/>
    <w:rsid w:val="00A047AA"/>
    <w:rsid w:val="00A047C2"/>
    <w:rsid w:val="00A048F3"/>
    <w:rsid w:val="00A04BA1"/>
    <w:rsid w:val="00A05015"/>
    <w:rsid w:val="00A0524D"/>
    <w:rsid w:val="00A05AD7"/>
    <w:rsid w:val="00A05B6A"/>
    <w:rsid w:val="00A05C6A"/>
    <w:rsid w:val="00A05DFC"/>
    <w:rsid w:val="00A0656A"/>
    <w:rsid w:val="00A06902"/>
    <w:rsid w:val="00A06A46"/>
    <w:rsid w:val="00A06B2D"/>
    <w:rsid w:val="00A073E4"/>
    <w:rsid w:val="00A07B3C"/>
    <w:rsid w:val="00A07BEC"/>
    <w:rsid w:val="00A07F6B"/>
    <w:rsid w:val="00A1034C"/>
    <w:rsid w:val="00A10A7A"/>
    <w:rsid w:val="00A10C9B"/>
    <w:rsid w:val="00A10F14"/>
    <w:rsid w:val="00A11314"/>
    <w:rsid w:val="00A11322"/>
    <w:rsid w:val="00A116C8"/>
    <w:rsid w:val="00A117B7"/>
    <w:rsid w:val="00A11FBB"/>
    <w:rsid w:val="00A121C3"/>
    <w:rsid w:val="00A12665"/>
    <w:rsid w:val="00A127A1"/>
    <w:rsid w:val="00A12C21"/>
    <w:rsid w:val="00A12CFA"/>
    <w:rsid w:val="00A1364C"/>
    <w:rsid w:val="00A13684"/>
    <w:rsid w:val="00A137A6"/>
    <w:rsid w:val="00A139AB"/>
    <w:rsid w:val="00A13C07"/>
    <w:rsid w:val="00A1408B"/>
    <w:rsid w:val="00A14330"/>
    <w:rsid w:val="00A14856"/>
    <w:rsid w:val="00A148C7"/>
    <w:rsid w:val="00A14AD0"/>
    <w:rsid w:val="00A14C23"/>
    <w:rsid w:val="00A14C88"/>
    <w:rsid w:val="00A14ED0"/>
    <w:rsid w:val="00A14FA8"/>
    <w:rsid w:val="00A14FB2"/>
    <w:rsid w:val="00A1526F"/>
    <w:rsid w:val="00A15392"/>
    <w:rsid w:val="00A15405"/>
    <w:rsid w:val="00A1592D"/>
    <w:rsid w:val="00A15C4D"/>
    <w:rsid w:val="00A16158"/>
    <w:rsid w:val="00A163B2"/>
    <w:rsid w:val="00A1688F"/>
    <w:rsid w:val="00A16BE5"/>
    <w:rsid w:val="00A16FF2"/>
    <w:rsid w:val="00A17610"/>
    <w:rsid w:val="00A17617"/>
    <w:rsid w:val="00A17D0F"/>
    <w:rsid w:val="00A17EC3"/>
    <w:rsid w:val="00A20397"/>
    <w:rsid w:val="00A204B2"/>
    <w:rsid w:val="00A20638"/>
    <w:rsid w:val="00A2072D"/>
    <w:rsid w:val="00A207A7"/>
    <w:rsid w:val="00A20CFF"/>
    <w:rsid w:val="00A20F3C"/>
    <w:rsid w:val="00A21500"/>
    <w:rsid w:val="00A217DD"/>
    <w:rsid w:val="00A219F8"/>
    <w:rsid w:val="00A222E7"/>
    <w:rsid w:val="00A227C2"/>
    <w:rsid w:val="00A22D86"/>
    <w:rsid w:val="00A235B3"/>
    <w:rsid w:val="00A2384C"/>
    <w:rsid w:val="00A23A94"/>
    <w:rsid w:val="00A23C34"/>
    <w:rsid w:val="00A24434"/>
    <w:rsid w:val="00A247D5"/>
    <w:rsid w:val="00A24C60"/>
    <w:rsid w:val="00A24C66"/>
    <w:rsid w:val="00A24C6E"/>
    <w:rsid w:val="00A25530"/>
    <w:rsid w:val="00A258FF"/>
    <w:rsid w:val="00A25A88"/>
    <w:rsid w:val="00A25E49"/>
    <w:rsid w:val="00A260FF"/>
    <w:rsid w:val="00A262FA"/>
    <w:rsid w:val="00A2645A"/>
    <w:rsid w:val="00A269CF"/>
    <w:rsid w:val="00A26A39"/>
    <w:rsid w:val="00A26E5F"/>
    <w:rsid w:val="00A271CB"/>
    <w:rsid w:val="00A27467"/>
    <w:rsid w:val="00A27702"/>
    <w:rsid w:val="00A278D1"/>
    <w:rsid w:val="00A27BEC"/>
    <w:rsid w:val="00A3059D"/>
    <w:rsid w:val="00A3067F"/>
    <w:rsid w:val="00A3097E"/>
    <w:rsid w:val="00A30A6E"/>
    <w:rsid w:val="00A30B73"/>
    <w:rsid w:val="00A30D6A"/>
    <w:rsid w:val="00A31155"/>
    <w:rsid w:val="00A31371"/>
    <w:rsid w:val="00A3141C"/>
    <w:rsid w:val="00A3147A"/>
    <w:rsid w:val="00A31649"/>
    <w:rsid w:val="00A31CB4"/>
    <w:rsid w:val="00A31CBF"/>
    <w:rsid w:val="00A31EE0"/>
    <w:rsid w:val="00A31FB8"/>
    <w:rsid w:val="00A3272F"/>
    <w:rsid w:val="00A33BFA"/>
    <w:rsid w:val="00A33F43"/>
    <w:rsid w:val="00A33FB1"/>
    <w:rsid w:val="00A34353"/>
    <w:rsid w:val="00A344B7"/>
    <w:rsid w:val="00A34A02"/>
    <w:rsid w:val="00A35196"/>
    <w:rsid w:val="00A35203"/>
    <w:rsid w:val="00A35396"/>
    <w:rsid w:val="00A35A92"/>
    <w:rsid w:val="00A35ABD"/>
    <w:rsid w:val="00A35F33"/>
    <w:rsid w:val="00A360AC"/>
    <w:rsid w:val="00A362DC"/>
    <w:rsid w:val="00A367B1"/>
    <w:rsid w:val="00A367D4"/>
    <w:rsid w:val="00A36B1B"/>
    <w:rsid w:val="00A36BF3"/>
    <w:rsid w:val="00A36CB4"/>
    <w:rsid w:val="00A36F41"/>
    <w:rsid w:val="00A3715A"/>
    <w:rsid w:val="00A37463"/>
    <w:rsid w:val="00A37476"/>
    <w:rsid w:val="00A374C0"/>
    <w:rsid w:val="00A376D4"/>
    <w:rsid w:val="00A376F4"/>
    <w:rsid w:val="00A402DB"/>
    <w:rsid w:val="00A40BA6"/>
    <w:rsid w:val="00A40DEB"/>
    <w:rsid w:val="00A40ED5"/>
    <w:rsid w:val="00A40F5C"/>
    <w:rsid w:val="00A41684"/>
    <w:rsid w:val="00A41ABD"/>
    <w:rsid w:val="00A41E46"/>
    <w:rsid w:val="00A4229E"/>
    <w:rsid w:val="00A42360"/>
    <w:rsid w:val="00A42546"/>
    <w:rsid w:val="00A42883"/>
    <w:rsid w:val="00A43453"/>
    <w:rsid w:val="00A43602"/>
    <w:rsid w:val="00A439C2"/>
    <w:rsid w:val="00A43B31"/>
    <w:rsid w:val="00A44898"/>
    <w:rsid w:val="00A44901"/>
    <w:rsid w:val="00A44C0A"/>
    <w:rsid w:val="00A44D0A"/>
    <w:rsid w:val="00A44E6A"/>
    <w:rsid w:val="00A44FC8"/>
    <w:rsid w:val="00A45061"/>
    <w:rsid w:val="00A453AD"/>
    <w:rsid w:val="00A45463"/>
    <w:rsid w:val="00A457E6"/>
    <w:rsid w:val="00A45F3C"/>
    <w:rsid w:val="00A46C0D"/>
    <w:rsid w:val="00A47449"/>
    <w:rsid w:val="00A47A0C"/>
    <w:rsid w:val="00A47BC4"/>
    <w:rsid w:val="00A5004E"/>
    <w:rsid w:val="00A500B6"/>
    <w:rsid w:val="00A50232"/>
    <w:rsid w:val="00A50364"/>
    <w:rsid w:val="00A50EDD"/>
    <w:rsid w:val="00A510E4"/>
    <w:rsid w:val="00A51681"/>
    <w:rsid w:val="00A51877"/>
    <w:rsid w:val="00A51955"/>
    <w:rsid w:val="00A51975"/>
    <w:rsid w:val="00A51EFE"/>
    <w:rsid w:val="00A521F0"/>
    <w:rsid w:val="00A52248"/>
    <w:rsid w:val="00A52265"/>
    <w:rsid w:val="00A5264F"/>
    <w:rsid w:val="00A5333A"/>
    <w:rsid w:val="00A533EC"/>
    <w:rsid w:val="00A53702"/>
    <w:rsid w:val="00A54A80"/>
    <w:rsid w:val="00A54D51"/>
    <w:rsid w:val="00A54F42"/>
    <w:rsid w:val="00A55088"/>
    <w:rsid w:val="00A553AE"/>
    <w:rsid w:val="00A5574A"/>
    <w:rsid w:val="00A55B6E"/>
    <w:rsid w:val="00A55FC9"/>
    <w:rsid w:val="00A56126"/>
    <w:rsid w:val="00A563D5"/>
    <w:rsid w:val="00A56459"/>
    <w:rsid w:val="00A56737"/>
    <w:rsid w:val="00A56BC8"/>
    <w:rsid w:val="00A57487"/>
    <w:rsid w:val="00A5765C"/>
    <w:rsid w:val="00A57706"/>
    <w:rsid w:val="00A57980"/>
    <w:rsid w:val="00A57B33"/>
    <w:rsid w:val="00A57C10"/>
    <w:rsid w:val="00A57E41"/>
    <w:rsid w:val="00A57F06"/>
    <w:rsid w:val="00A602C4"/>
    <w:rsid w:val="00A60651"/>
    <w:rsid w:val="00A60B80"/>
    <w:rsid w:val="00A610D4"/>
    <w:rsid w:val="00A61240"/>
    <w:rsid w:val="00A61F04"/>
    <w:rsid w:val="00A62145"/>
    <w:rsid w:val="00A626CD"/>
    <w:rsid w:val="00A628C0"/>
    <w:rsid w:val="00A62DC3"/>
    <w:rsid w:val="00A62FDE"/>
    <w:rsid w:val="00A63033"/>
    <w:rsid w:val="00A631CE"/>
    <w:rsid w:val="00A6328E"/>
    <w:rsid w:val="00A633D0"/>
    <w:rsid w:val="00A635C2"/>
    <w:rsid w:val="00A63981"/>
    <w:rsid w:val="00A639F7"/>
    <w:rsid w:val="00A63B14"/>
    <w:rsid w:val="00A63CE2"/>
    <w:rsid w:val="00A63FC0"/>
    <w:rsid w:val="00A643D9"/>
    <w:rsid w:val="00A64654"/>
    <w:rsid w:val="00A64A2E"/>
    <w:rsid w:val="00A64A4E"/>
    <w:rsid w:val="00A64E1D"/>
    <w:rsid w:val="00A65075"/>
    <w:rsid w:val="00A652B1"/>
    <w:rsid w:val="00A6541F"/>
    <w:rsid w:val="00A6587A"/>
    <w:rsid w:val="00A659C2"/>
    <w:rsid w:val="00A65A6C"/>
    <w:rsid w:val="00A65CDD"/>
    <w:rsid w:val="00A65D0C"/>
    <w:rsid w:val="00A663F2"/>
    <w:rsid w:val="00A66499"/>
    <w:rsid w:val="00A664E2"/>
    <w:rsid w:val="00A66569"/>
    <w:rsid w:val="00A667EC"/>
    <w:rsid w:val="00A66EF5"/>
    <w:rsid w:val="00A66FC3"/>
    <w:rsid w:val="00A67590"/>
    <w:rsid w:val="00A67FC6"/>
    <w:rsid w:val="00A702BE"/>
    <w:rsid w:val="00A70BD0"/>
    <w:rsid w:val="00A70F45"/>
    <w:rsid w:val="00A711A8"/>
    <w:rsid w:val="00A71673"/>
    <w:rsid w:val="00A71B69"/>
    <w:rsid w:val="00A72072"/>
    <w:rsid w:val="00A72B8E"/>
    <w:rsid w:val="00A72BE2"/>
    <w:rsid w:val="00A7348A"/>
    <w:rsid w:val="00A73678"/>
    <w:rsid w:val="00A737B6"/>
    <w:rsid w:val="00A739E8"/>
    <w:rsid w:val="00A73AC2"/>
    <w:rsid w:val="00A74058"/>
    <w:rsid w:val="00A7472F"/>
    <w:rsid w:val="00A74A27"/>
    <w:rsid w:val="00A74A7D"/>
    <w:rsid w:val="00A74B15"/>
    <w:rsid w:val="00A74DF7"/>
    <w:rsid w:val="00A74E2F"/>
    <w:rsid w:val="00A75115"/>
    <w:rsid w:val="00A7514C"/>
    <w:rsid w:val="00A7533A"/>
    <w:rsid w:val="00A75515"/>
    <w:rsid w:val="00A756B2"/>
    <w:rsid w:val="00A75E75"/>
    <w:rsid w:val="00A7611A"/>
    <w:rsid w:val="00A769DE"/>
    <w:rsid w:val="00A76E56"/>
    <w:rsid w:val="00A772E6"/>
    <w:rsid w:val="00A77503"/>
    <w:rsid w:val="00A779E7"/>
    <w:rsid w:val="00A77E81"/>
    <w:rsid w:val="00A77F7D"/>
    <w:rsid w:val="00A77FB4"/>
    <w:rsid w:val="00A80192"/>
    <w:rsid w:val="00A80A73"/>
    <w:rsid w:val="00A8162E"/>
    <w:rsid w:val="00A81637"/>
    <w:rsid w:val="00A818EF"/>
    <w:rsid w:val="00A81CD5"/>
    <w:rsid w:val="00A81E04"/>
    <w:rsid w:val="00A81FBA"/>
    <w:rsid w:val="00A8203C"/>
    <w:rsid w:val="00A82041"/>
    <w:rsid w:val="00A821C7"/>
    <w:rsid w:val="00A8241F"/>
    <w:rsid w:val="00A82481"/>
    <w:rsid w:val="00A82559"/>
    <w:rsid w:val="00A82581"/>
    <w:rsid w:val="00A8299C"/>
    <w:rsid w:val="00A82B37"/>
    <w:rsid w:val="00A830EE"/>
    <w:rsid w:val="00A8354D"/>
    <w:rsid w:val="00A83698"/>
    <w:rsid w:val="00A8381C"/>
    <w:rsid w:val="00A83825"/>
    <w:rsid w:val="00A838A2"/>
    <w:rsid w:val="00A838D8"/>
    <w:rsid w:val="00A83CB9"/>
    <w:rsid w:val="00A83E98"/>
    <w:rsid w:val="00A840CC"/>
    <w:rsid w:val="00A84A7A"/>
    <w:rsid w:val="00A84D62"/>
    <w:rsid w:val="00A84FC7"/>
    <w:rsid w:val="00A8564B"/>
    <w:rsid w:val="00A858FD"/>
    <w:rsid w:val="00A85CB5"/>
    <w:rsid w:val="00A85D7D"/>
    <w:rsid w:val="00A8657F"/>
    <w:rsid w:val="00A866E8"/>
    <w:rsid w:val="00A869B7"/>
    <w:rsid w:val="00A87C86"/>
    <w:rsid w:val="00A87DD0"/>
    <w:rsid w:val="00A87F21"/>
    <w:rsid w:val="00A87F69"/>
    <w:rsid w:val="00A901C6"/>
    <w:rsid w:val="00A90343"/>
    <w:rsid w:val="00A904F3"/>
    <w:rsid w:val="00A909D2"/>
    <w:rsid w:val="00A90BB6"/>
    <w:rsid w:val="00A91308"/>
    <w:rsid w:val="00A9131A"/>
    <w:rsid w:val="00A9134D"/>
    <w:rsid w:val="00A913E2"/>
    <w:rsid w:val="00A91414"/>
    <w:rsid w:val="00A915B6"/>
    <w:rsid w:val="00A91919"/>
    <w:rsid w:val="00A919B4"/>
    <w:rsid w:val="00A91BA0"/>
    <w:rsid w:val="00A92049"/>
    <w:rsid w:val="00A921AE"/>
    <w:rsid w:val="00A92299"/>
    <w:rsid w:val="00A9291F"/>
    <w:rsid w:val="00A93686"/>
    <w:rsid w:val="00A93698"/>
    <w:rsid w:val="00A936F0"/>
    <w:rsid w:val="00A938A9"/>
    <w:rsid w:val="00A93DBF"/>
    <w:rsid w:val="00A9512B"/>
    <w:rsid w:val="00A95313"/>
    <w:rsid w:val="00A96194"/>
    <w:rsid w:val="00A96238"/>
    <w:rsid w:val="00A96546"/>
    <w:rsid w:val="00A9674B"/>
    <w:rsid w:val="00A96A8B"/>
    <w:rsid w:val="00A96BD6"/>
    <w:rsid w:val="00A96CA7"/>
    <w:rsid w:val="00A970CF"/>
    <w:rsid w:val="00A97129"/>
    <w:rsid w:val="00A978D9"/>
    <w:rsid w:val="00A97A65"/>
    <w:rsid w:val="00A97B7D"/>
    <w:rsid w:val="00A97C8B"/>
    <w:rsid w:val="00A97CA7"/>
    <w:rsid w:val="00AA0061"/>
    <w:rsid w:val="00AA03A0"/>
    <w:rsid w:val="00AA0543"/>
    <w:rsid w:val="00AA09D1"/>
    <w:rsid w:val="00AA0DBC"/>
    <w:rsid w:val="00AA0F90"/>
    <w:rsid w:val="00AA19FE"/>
    <w:rsid w:val="00AA1F30"/>
    <w:rsid w:val="00AA257E"/>
    <w:rsid w:val="00AA27D1"/>
    <w:rsid w:val="00AA27EE"/>
    <w:rsid w:val="00AA28B0"/>
    <w:rsid w:val="00AA2913"/>
    <w:rsid w:val="00AA2B98"/>
    <w:rsid w:val="00AA2CAB"/>
    <w:rsid w:val="00AA3119"/>
    <w:rsid w:val="00AA3477"/>
    <w:rsid w:val="00AA39FC"/>
    <w:rsid w:val="00AA4340"/>
    <w:rsid w:val="00AA4529"/>
    <w:rsid w:val="00AA4E20"/>
    <w:rsid w:val="00AA4E70"/>
    <w:rsid w:val="00AA4F0B"/>
    <w:rsid w:val="00AA5029"/>
    <w:rsid w:val="00AA508B"/>
    <w:rsid w:val="00AA547E"/>
    <w:rsid w:val="00AA5C65"/>
    <w:rsid w:val="00AA5E3E"/>
    <w:rsid w:val="00AA65A9"/>
    <w:rsid w:val="00AA676D"/>
    <w:rsid w:val="00AA6775"/>
    <w:rsid w:val="00AA68B4"/>
    <w:rsid w:val="00AA68EE"/>
    <w:rsid w:val="00AA73EB"/>
    <w:rsid w:val="00AA747C"/>
    <w:rsid w:val="00AA758F"/>
    <w:rsid w:val="00AA7AD2"/>
    <w:rsid w:val="00AA7C30"/>
    <w:rsid w:val="00AB0381"/>
    <w:rsid w:val="00AB06C1"/>
    <w:rsid w:val="00AB0F72"/>
    <w:rsid w:val="00AB10F4"/>
    <w:rsid w:val="00AB1CE5"/>
    <w:rsid w:val="00AB2484"/>
    <w:rsid w:val="00AB26EF"/>
    <w:rsid w:val="00AB3250"/>
    <w:rsid w:val="00AB32B3"/>
    <w:rsid w:val="00AB335B"/>
    <w:rsid w:val="00AB3720"/>
    <w:rsid w:val="00AB3B00"/>
    <w:rsid w:val="00AB3B06"/>
    <w:rsid w:val="00AB3B3B"/>
    <w:rsid w:val="00AB3FF4"/>
    <w:rsid w:val="00AB4F2F"/>
    <w:rsid w:val="00AB5210"/>
    <w:rsid w:val="00AB578A"/>
    <w:rsid w:val="00AB5792"/>
    <w:rsid w:val="00AB582C"/>
    <w:rsid w:val="00AB5866"/>
    <w:rsid w:val="00AB589E"/>
    <w:rsid w:val="00AB5D36"/>
    <w:rsid w:val="00AB5E15"/>
    <w:rsid w:val="00AB692D"/>
    <w:rsid w:val="00AB6A57"/>
    <w:rsid w:val="00AB6B3F"/>
    <w:rsid w:val="00AB6BA2"/>
    <w:rsid w:val="00AB6DF7"/>
    <w:rsid w:val="00AB6EFD"/>
    <w:rsid w:val="00AB71EA"/>
    <w:rsid w:val="00AB7278"/>
    <w:rsid w:val="00AB73AF"/>
    <w:rsid w:val="00AB7B28"/>
    <w:rsid w:val="00AB7CE5"/>
    <w:rsid w:val="00AC016E"/>
    <w:rsid w:val="00AC06A7"/>
    <w:rsid w:val="00AC0790"/>
    <w:rsid w:val="00AC0C03"/>
    <w:rsid w:val="00AC15B2"/>
    <w:rsid w:val="00AC175E"/>
    <w:rsid w:val="00AC1BAF"/>
    <w:rsid w:val="00AC1CB7"/>
    <w:rsid w:val="00AC277A"/>
    <w:rsid w:val="00AC281F"/>
    <w:rsid w:val="00AC29E4"/>
    <w:rsid w:val="00AC2DAE"/>
    <w:rsid w:val="00AC3235"/>
    <w:rsid w:val="00AC3459"/>
    <w:rsid w:val="00AC34CB"/>
    <w:rsid w:val="00AC3561"/>
    <w:rsid w:val="00AC3823"/>
    <w:rsid w:val="00AC3869"/>
    <w:rsid w:val="00AC3AAF"/>
    <w:rsid w:val="00AC3AFA"/>
    <w:rsid w:val="00AC3CDB"/>
    <w:rsid w:val="00AC3DA9"/>
    <w:rsid w:val="00AC3E15"/>
    <w:rsid w:val="00AC4C68"/>
    <w:rsid w:val="00AC57D0"/>
    <w:rsid w:val="00AC5A00"/>
    <w:rsid w:val="00AC5AFC"/>
    <w:rsid w:val="00AC5DA3"/>
    <w:rsid w:val="00AC5E70"/>
    <w:rsid w:val="00AC5E76"/>
    <w:rsid w:val="00AC5F43"/>
    <w:rsid w:val="00AC6166"/>
    <w:rsid w:val="00AC6760"/>
    <w:rsid w:val="00AC6995"/>
    <w:rsid w:val="00AC6E16"/>
    <w:rsid w:val="00AC738B"/>
    <w:rsid w:val="00AC7B16"/>
    <w:rsid w:val="00AC7F70"/>
    <w:rsid w:val="00AC7FB0"/>
    <w:rsid w:val="00AD00C9"/>
    <w:rsid w:val="00AD08F8"/>
    <w:rsid w:val="00AD096B"/>
    <w:rsid w:val="00AD0A3F"/>
    <w:rsid w:val="00AD0C7E"/>
    <w:rsid w:val="00AD0F22"/>
    <w:rsid w:val="00AD1091"/>
    <w:rsid w:val="00AD126B"/>
    <w:rsid w:val="00AD15B1"/>
    <w:rsid w:val="00AD1615"/>
    <w:rsid w:val="00AD2697"/>
    <w:rsid w:val="00AD2831"/>
    <w:rsid w:val="00AD33A8"/>
    <w:rsid w:val="00AD34B6"/>
    <w:rsid w:val="00AD3D3C"/>
    <w:rsid w:val="00AD3F67"/>
    <w:rsid w:val="00AD42B8"/>
    <w:rsid w:val="00AD45E6"/>
    <w:rsid w:val="00AD4953"/>
    <w:rsid w:val="00AD4ECD"/>
    <w:rsid w:val="00AD5170"/>
    <w:rsid w:val="00AD53B6"/>
    <w:rsid w:val="00AD544A"/>
    <w:rsid w:val="00AD5E01"/>
    <w:rsid w:val="00AD6587"/>
    <w:rsid w:val="00AD685F"/>
    <w:rsid w:val="00AD6A90"/>
    <w:rsid w:val="00AD6E14"/>
    <w:rsid w:val="00AD6F3A"/>
    <w:rsid w:val="00AD7001"/>
    <w:rsid w:val="00AD70F0"/>
    <w:rsid w:val="00AD751F"/>
    <w:rsid w:val="00AD753A"/>
    <w:rsid w:val="00AD7952"/>
    <w:rsid w:val="00AD79BE"/>
    <w:rsid w:val="00AE07B3"/>
    <w:rsid w:val="00AE0883"/>
    <w:rsid w:val="00AE0962"/>
    <w:rsid w:val="00AE0B5B"/>
    <w:rsid w:val="00AE0EA1"/>
    <w:rsid w:val="00AE0EC9"/>
    <w:rsid w:val="00AE1261"/>
    <w:rsid w:val="00AE12BB"/>
    <w:rsid w:val="00AE15DF"/>
    <w:rsid w:val="00AE1CFA"/>
    <w:rsid w:val="00AE228B"/>
    <w:rsid w:val="00AE2CF1"/>
    <w:rsid w:val="00AE31EF"/>
    <w:rsid w:val="00AE34A7"/>
    <w:rsid w:val="00AE387E"/>
    <w:rsid w:val="00AE39FF"/>
    <w:rsid w:val="00AE47BB"/>
    <w:rsid w:val="00AE4859"/>
    <w:rsid w:val="00AE4909"/>
    <w:rsid w:val="00AE49D6"/>
    <w:rsid w:val="00AE4C77"/>
    <w:rsid w:val="00AE4DBB"/>
    <w:rsid w:val="00AE5704"/>
    <w:rsid w:val="00AE5DB2"/>
    <w:rsid w:val="00AE60A3"/>
    <w:rsid w:val="00AE70DD"/>
    <w:rsid w:val="00AE75F8"/>
    <w:rsid w:val="00AE7C68"/>
    <w:rsid w:val="00AE7FCC"/>
    <w:rsid w:val="00AF001A"/>
    <w:rsid w:val="00AF031B"/>
    <w:rsid w:val="00AF08C7"/>
    <w:rsid w:val="00AF12B3"/>
    <w:rsid w:val="00AF1C22"/>
    <w:rsid w:val="00AF1C6D"/>
    <w:rsid w:val="00AF1F12"/>
    <w:rsid w:val="00AF1F1B"/>
    <w:rsid w:val="00AF295C"/>
    <w:rsid w:val="00AF2994"/>
    <w:rsid w:val="00AF2AE0"/>
    <w:rsid w:val="00AF3099"/>
    <w:rsid w:val="00AF3523"/>
    <w:rsid w:val="00AF3A8D"/>
    <w:rsid w:val="00AF3AE0"/>
    <w:rsid w:val="00AF3E2B"/>
    <w:rsid w:val="00AF41B4"/>
    <w:rsid w:val="00AF44AA"/>
    <w:rsid w:val="00AF4823"/>
    <w:rsid w:val="00AF48A0"/>
    <w:rsid w:val="00AF4B9A"/>
    <w:rsid w:val="00AF4EFA"/>
    <w:rsid w:val="00AF515C"/>
    <w:rsid w:val="00AF525C"/>
    <w:rsid w:val="00AF5714"/>
    <w:rsid w:val="00AF585A"/>
    <w:rsid w:val="00AF61C6"/>
    <w:rsid w:val="00AF62DB"/>
    <w:rsid w:val="00AF64FE"/>
    <w:rsid w:val="00AF701D"/>
    <w:rsid w:val="00AF7022"/>
    <w:rsid w:val="00AF70D2"/>
    <w:rsid w:val="00AF7841"/>
    <w:rsid w:val="00AF7857"/>
    <w:rsid w:val="00AF7959"/>
    <w:rsid w:val="00B00129"/>
    <w:rsid w:val="00B0017B"/>
    <w:rsid w:val="00B00418"/>
    <w:rsid w:val="00B00468"/>
    <w:rsid w:val="00B009DD"/>
    <w:rsid w:val="00B00D57"/>
    <w:rsid w:val="00B00E37"/>
    <w:rsid w:val="00B01620"/>
    <w:rsid w:val="00B01857"/>
    <w:rsid w:val="00B02029"/>
    <w:rsid w:val="00B02043"/>
    <w:rsid w:val="00B02053"/>
    <w:rsid w:val="00B02099"/>
    <w:rsid w:val="00B021B0"/>
    <w:rsid w:val="00B022F5"/>
    <w:rsid w:val="00B029F2"/>
    <w:rsid w:val="00B02AAD"/>
    <w:rsid w:val="00B02E2D"/>
    <w:rsid w:val="00B031F6"/>
    <w:rsid w:val="00B03209"/>
    <w:rsid w:val="00B037A9"/>
    <w:rsid w:val="00B03874"/>
    <w:rsid w:val="00B039E9"/>
    <w:rsid w:val="00B03BB1"/>
    <w:rsid w:val="00B03C9A"/>
    <w:rsid w:val="00B03E90"/>
    <w:rsid w:val="00B03EC2"/>
    <w:rsid w:val="00B03F9A"/>
    <w:rsid w:val="00B03FF8"/>
    <w:rsid w:val="00B04048"/>
    <w:rsid w:val="00B042B1"/>
    <w:rsid w:val="00B042F5"/>
    <w:rsid w:val="00B04A38"/>
    <w:rsid w:val="00B05283"/>
    <w:rsid w:val="00B05470"/>
    <w:rsid w:val="00B0571B"/>
    <w:rsid w:val="00B05E75"/>
    <w:rsid w:val="00B061B7"/>
    <w:rsid w:val="00B062BC"/>
    <w:rsid w:val="00B06400"/>
    <w:rsid w:val="00B0671B"/>
    <w:rsid w:val="00B067C8"/>
    <w:rsid w:val="00B06ED9"/>
    <w:rsid w:val="00B07118"/>
    <w:rsid w:val="00B0740C"/>
    <w:rsid w:val="00B0756C"/>
    <w:rsid w:val="00B075CD"/>
    <w:rsid w:val="00B07F08"/>
    <w:rsid w:val="00B1017F"/>
    <w:rsid w:val="00B101A0"/>
    <w:rsid w:val="00B10869"/>
    <w:rsid w:val="00B10944"/>
    <w:rsid w:val="00B10D95"/>
    <w:rsid w:val="00B10DCE"/>
    <w:rsid w:val="00B10E68"/>
    <w:rsid w:val="00B1116A"/>
    <w:rsid w:val="00B111E3"/>
    <w:rsid w:val="00B115B6"/>
    <w:rsid w:val="00B12321"/>
    <w:rsid w:val="00B136B6"/>
    <w:rsid w:val="00B1395D"/>
    <w:rsid w:val="00B13A03"/>
    <w:rsid w:val="00B13EF8"/>
    <w:rsid w:val="00B14709"/>
    <w:rsid w:val="00B147A0"/>
    <w:rsid w:val="00B14FB7"/>
    <w:rsid w:val="00B15746"/>
    <w:rsid w:val="00B1576D"/>
    <w:rsid w:val="00B15AEA"/>
    <w:rsid w:val="00B16024"/>
    <w:rsid w:val="00B16601"/>
    <w:rsid w:val="00B1681E"/>
    <w:rsid w:val="00B16DB0"/>
    <w:rsid w:val="00B172B9"/>
    <w:rsid w:val="00B173AE"/>
    <w:rsid w:val="00B174BD"/>
    <w:rsid w:val="00B17B6B"/>
    <w:rsid w:val="00B201F6"/>
    <w:rsid w:val="00B2022E"/>
    <w:rsid w:val="00B2068E"/>
    <w:rsid w:val="00B20882"/>
    <w:rsid w:val="00B208AD"/>
    <w:rsid w:val="00B20939"/>
    <w:rsid w:val="00B20B01"/>
    <w:rsid w:val="00B2125F"/>
    <w:rsid w:val="00B214B6"/>
    <w:rsid w:val="00B218B8"/>
    <w:rsid w:val="00B21F8F"/>
    <w:rsid w:val="00B221F4"/>
    <w:rsid w:val="00B223D3"/>
    <w:rsid w:val="00B22C8F"/>
    <w:rsid w:val="00B22C91"/>
    <w:rsid w:val="00B22CBC"/>
    <w:rsid w:val="00B22D5D"/>
    <w:rsid w:val="00B22E6E"/>
    <w:rsid w:val="00B23044"/>
    <w:rsid w:val="00B231C6"/>
    <w:rsid w:val="00B232A1"/>
    <w:rsid w:val="00B232DC"/>
    <w:rsid w:val="00B234D1"/>
    <w:rsid w:val="00B238DC"/>
    <w:rsid w:val="00B23AA1"/>
    <w:rsid w:val="00B23AF4"/>
    <w:rsid w:val="00B23FCB"/>
    <w:rsid w:val="00B2407C"/>
    <w:rsid w:val="00B243B3"/>
    <w:rsid w:val="00B2441F"/>
    <w:rsid w:val="00B2448A"/>
    <w:rsid w:val="00B24542"/>
    <w:rsid w:val="00B2484B"/>
    <w:rsid w:val="00B249D5"/>
    <w:rsid w:val="00B24F36"/>
    <w:rsid w:val="00B25D3B"/>
    <w:rsid w:val="00B25FA3"/>
    <w:rsid w:val="00B2607D"/>
    <w:rsid w:val="00B2621E"/>
    <w:rsid w:val="00B26258"/>
    <w:rsid w:val="00B27198"/>
    <w:rsid w:val="00B27356"/>
    <w:rsid w:val="00B2740F"/>
    <w:rsid w:val="00B27998"/>
    <w:rsid w:val="00B279A1"/>
    <w:rsid w:val="00B27E97"/>
    <w:rsid w:val="00B27F4B"/>
    <w:rsid w:val="00B300B5"/>
    <w:rsid w:val="00B301C9"/>
    <w:rsid w:val="00B302E7"/>
    <w:rsid w:val="00B308B0"/>
    <w:rsid w:val="00B30CA1"/>
    <w:rsid w:val="00B30E76"/>
    <w:rsid w:val="00B30F2A"/>
    <w:rsid w:val="00B3123F"/>
    <w:rsid w:val="00B313C3"/>
    <w:rsid w:val="00B323B9"/>
    <w:rsid w:val="00B325AF"/>
    <w:rsid w:val="00B32630"/>
    <w:rsid w:val="00B32770"/>
    <w:rsid w:val="00B3348F"/>
    <w:rsid w:val="00B33647"/>
    <w:rsid w:val="00B336DB"/>
    <w:rsid w:val="00B34059"/>
    <w:rsid w:val="00B3433D"/>
    <w:rsid w:val="00B34D8C"/>
    <w:rsid w:val="00B34F63"/>
    <w:rsid w:val="00B353E6"/>
    <w:rsid w:val="00B35667"/>
    <w:rsid w:val="00B35679"/>
    <w:rsid w:val="00B35758"/>
    <w:rsid w:val="00B35AAE"/>
    <w:rsid w:val="00B35DA5"/>
    <w:rsid w:val="00B35F83"/>
    <w:rsid w:val="00B361A1"/>
    <w:rsid w:val="00B36A6B"/>
    <w:rsid w:val="00B36E10"/>
    <w:rsid w:val="00B3738A"/>
    <w:rsid w:val="00B37899"/>
    <w:rsid w:val="00B402FD"/>
    <w:rsid w:val="00B40A42"/>
    <w:rsid w:val="00B40BE8"/>
    <w:rsid w:val="00B40FC0"/>
    <w:rsid w:val="00B41049"/>
    <w:rsid w:val="00B41552"/>
    <w:rsid w:val="00B415C6"/>
    <w:rsid w:val="00B42264"/>
    <w:rsid w:val="00B4284E"/>
    <w:rsid w:val="00B42D5F"/>
    <w:rsid w:val="00B42FD3"/>
    <w:rsid w:val="00B4310D"/>
    <w:rsid w:val="00B435F7"/>
    <w:rsid w:val="00B43B14"/>
    <w:rsid w:val="00B43C0B"/>
    <w:rsid w:val="00B43F6E"/>
    <w:rsid w:val="00B44242"/>
    <w:rsid w:val="00B445CE"/>
    <w:rsid w:val="00B4474A"/>
    <w:rsid w:val="00B44990"/>
    <w:rsid w:val="00B44DA1"/>
    <w:rsid w:val="00B452B4"/>
    <w:rsid w:val="00B45322"/>
    <w:rsid w:val="00B45991"/>
    <w:rsid w:val="00B45FF9"/>
    <w:rsid w:val="00B46109"/>
    <w:rsid w:val="00B4621A"/>
    <w:rsid w:val="00B4630A"/>
    <w:rsid w:val="00B46440"/>
    <w:rsid w:val="00B46476"/>
    <w:rsid w:val="00B465AF"/>
    <w:rsid w:val="00B46E30"/>
    <w:rsid w:val="00B47E85"/>
    <w:rsid w:val="00B5088E"/>
    <w:rsid w:val="00B50D1A"/>
    <w:rsid w:val="00B51319"/>
    <w:rsid w:val="00B51564"/>
    <w:rsid w:val="00B5181D"/>
    <w:rsid w:val="00B51AE3"/>
    <w:rsid w:val="00B51FF9"/>
    <w:rsid w:val="00B523A8"/>
    <w:rsid w:val="00B5276F"/>
    <w:rsid w:val="00B529A9"/>
    <w:rsid w:val="00B52D78"/>
    <w:rsid w:val="00B52F6A"/>
    <w:rsid w:val="00B53255"/>
    <w:rsid w:val="00B53263"/>
    <w:rsid w:val="00B533A5"/>
    <w:rsid w:val="00B5368C"/>
    <w:rsid w:val="00B537C2"/>
    <w:rsid w:val="00B53C94"/>
    <w:rsid w:val="00B53E7A"/>
    <w:rsid w:val="00B540EE"/>
    <w:rsid w:val="00B54125"/>
    <w:rsid w:val="00B5451E"/>
    <w:rsid w:val="00B54718"/>
    <w:rsid w:val="00B547CE"/>
    <w:rsid w:val="00B547D8"/>
    <w:rsid w:val="00B54A16"/>
    <w:rsid w:val="00B54B9E"/>
    <w:rsid w:val="00B54B9F"/>
    <w:rsid w:val="00B54C0D"/>
    <w:rsid w:val="00B54EC5"/>
    <w:rsid w:val="00B5508B"/>
    <w:rsid w:val="00B55FE7"/>
    <w:rsid w:val="00B56314"/>
    <w:rsid w:val="00B566B3"/>
    <w:rsid w:val="00B56781"/>
    <w:rsid w:val="00B56C6B"/>
    <w:rsid w:val="00B57F59"/>
    <w:rsid w:val="00B602B6"/>
    <w:rsid w:val="00B6084D"/>
    <w:rsid w:val="00B60E72"/>
    <w:rsid w:val="00B60F0A"/>
    <w:rsid w:val="00B61276"/>
    <w:rsid w:val="00B613EE"/>
    <w:rsid w:val="00B6157C"/>
    <w:rsid w:val="00B61634"/>
    <w:rsid w:val="00B61CD4"/>
    <w:rsid w:val="00B61DDE"/>
    <w:rsid w:val="00B6215A"/>
    <w:rsid w:val="00B6230C"/>
    <w:rsid w:val="00B625E1"/>
    <w:rsid w:val="00B6278E"/>
    <w:rsid w:val="00B62E59"/>
    <w:rsid w:val="00B62F3D"/>
    <w:rsid w:val="00B631B2"/>
    <w:rsid w:val="00B632C6"/>
    <w:rsid w:val="00B63FFC"/>
    <w:rsid w:val="00B644C2"/>
    <w:rsid w:val="00B64626"/>
    <w:rsid w:val="00B646A5"/>
    <w:rsid w:val="00B64C32"/>
    <w:rsid w:val="00B64C34"/>
    <w:rsid w:val="00B64CF4"/>
    <w:rsid w:val="00B64D82"/>
    <w:rsid w:val="00B64D99"/>
    <w:rsid w:val="00B65231"/>
    <w:rsid w:val="00B65356"/>
    <w:rsid w:val="00B65960"/>
    <w:rsid w:val="00B65D2D"/>
    <w:rsid w:val="00B65E59"/>
    <w:rsid w:val="00B65FE0"/>
    <w:rsid w:val="00B6619F"/>
    <w:rsid w:val="00B66549"/>
    <w:rsid w:val="00B66867"/>
    <w:rsid w:val="00B669A0"/>
    <w:rsid w:val="00B66AB8"/>
    <w:rsid w:val="00B66B2B"/>
    <w:rsid w:val="00B66BA4"/>
    <w:rsid w:val="00B67023"/>
    <w:rsid w:val="00B67050"/>
    <w:rsid w:val="00B671E3"/>
    <w:rsid w:val="00B67563"/>
    <w:rsid w:val="00B67AAF"/>
    <w:rsid w:val="00B67FCA"/>
    <w:rsid w:val="00B70A86"/>
    <w:rsid w:val="00B70C96"/>
    <w:rsid w:val="00B7112A"/>
    <w:rsid w:val="00B71441"/>
    <w:rsid w:val="00B71636"/>
    <w:rsid w:val="00B71A8E"/>
    <w:rsid w:val="00B72267"/>
    <w:rsid w:val="00B72356"/>
    <w:rsid w:val="00B7241B"/>
    <w:rsid w:val="00B72A0E"/>
    <w:rsid w:val="00B72B2E"/>
    <w:rsid w:val="00B72B44"/>
    <w:rsid w:val="00B72C51"/>
    <w:rsid w:val="00B732B3"/>
    <w:rsid w:val="00B732BC"/>
    <w:rsid w:val="00B733A0"/>
    <w:rsid w:val="00B73641"/>
    <w:rsid w:val="00B737F5"/>
    <w:rsid w:val="00B73812"/>
    <w:rsid w:val="00B73A69"/>
    <w:rsid w:val="00B73AD8"/>
    <w:rsid w:val="00B73E77"/>
    <w:rsid w:val="00B73E95"/>
    <w:rsid w:val="00B73F08"/>
    <w:rsid w:val="00B744E9"/>
    <w:rsid w:val="00B744F4"/>
    <w:rsid w:val="00B74776"/>
    <w:rsid w:val="00B74CF6"/>
    <w:rsid w:val="00B74EB2"/>
    <w:rsid w:val="00B750CC"/>
    <w:rsid w:val="00B755EB"/>
    <w:rsid w:val="00B75671"/>
    <w:rsid w:val="00B756E9"/>
    <w:rsid w:val="00B7594A"/>
    <w:rsid w:val="00B75CEE"/>
    <w:rsid w:val="00B75DEA"/>
    <w:rsid w:val="00B75F0E"/>
    <w:rsid w:val="00B7669A"/>
    <w:rsid w:val="00B76EF1"/>
    <w:rsid w:val="00B772CE"/>
    <w:rsid w:val="00B776A2"/>
    <w:rsid w:val="00B77925"/>
    <w:rsid w:val="00B779B5"/>
    <w:rsid w:val="00B8069E"/>
    <w:rsid w:val="00B806D2"/>
    <w:rsid w:val="00B81013"/>
    <w:rsid w:val="00B8130D"/>
    <w:rsid w:val="00B81525"/>
    <w:rsid w:val="00B81757"/>
    <w:rsid w:val="00B81B21"/>
    <w:rsid w:val="00B81F46"/>
    <w:rsid w:val="00B82EF4"/>
    <w:rsid w:val="00B832BF"/>
    <w:rsid w:val="00B8372B"/>
    <w:rsid w:val="00B83B6F"/>
    <w:rsid w:val="00B83D91"/>
    <w:rsid w:val="00B83DA1"/>
    <w:rsid w:val="00B83F32"/>
    <w:rsid w:val="00B841DF"/>
    <w:rsid w:val="00B84445"/>
    <w:rsid w:val="00B84632"/>
    <w:rsid w:val="00B84765"/>
    <w:rsid w:val="00B84990"/>
    <w:rsid w:val="00B84B4B"/>
    <w:rsid w:val="00B84CDC"/>
    <w:rsid w:val="00B85151"/>
    <w:rsid w:val="00B8571A"/>
    <w:rsid w:val="00B8574D"/>
    <w:rsid w:val="00B85EAC"/>
    <w:rsid w:val="00B8651D"/>
    <w:rsid w:val="00B866E0"/>
    <w:rsid w:val="00B86A71"/>
    <w:rsid w:val="00B86BEA"/>
    <w:rsid w:val="00B87076"/>
    <w:rsid w:val="00B87373"/>
    <w:rsid w:val="00B87565"/>
    <w:rsid w:val="00B876ED"/>
    <w:rsid w:val="00B8794F"/>
    <w:rsid w:val="00B87D51"/>
    <w:rsid w:val="00B87D56"/>
    <w:rsid w:val="00B90380"/>
    <w:rsid w:val="00B90604"/>
    <w:rsid w:val="00B90646"/>
    <w:rsid w:val="00B90B09"/>
    <w:rsid w:val="00B90B50"/>
    <w:rsid w:val="00B90B6E"/>
    <w:rsid w:val="00B90E1F"/>
    <w:rsid w:val="00B90E3F"/>
    <w:rsid w:val="00B90F43"/>
    <w:rsid w:val="00B9104A"/>
    <w:rsid w:val="00B91144"/>
    <w:rsid w:val="00B91384"/>
    <w:rsid w:val="00B91655"/>
    <w:rsid w:val="00B91B89"/>
    <w:rsid w:val="00B91E34"/>
    <w:rsid w:val="00B920E6"/>
    <w:rsid w:val="00B92862"/>
    <w:rsid w:val="00B9295C"/>
    <w:rsid w:val="00B92BF0"/>
    <w:rsid w:val="00B93260"/>
    <w:rsid w:val="00B932AA"/>
    <w:rsid w:val="00B9363E"/>
    <w:rsid w:val="00B93756"/>
    <w:rsid w:val="00B93FBF"/>
    <w:rsid w:val="00B94072"/>
    <w:rsid w:val="00B9413A"/>
    <w:rsid w:val="00B942F1"/>
    <w:rsid w:val="00B943D3"/>
    <w:rsid w:val="00B94487"/>
    <w:rsid w:val="00B94540"/>
    <w:rsid w:val="00B9459E"/>
    <w:rsid w:val="00B945EA"/>
    <w:rsid w:val="00B9475D"/>
    <w:rsid w:val="00B94C9F"/>
    <w:rsid w:val="00B94EBE"/>
    <w:rsid w:val="00B95290"/>
    <w:rsid w:val="00B957F5"/>
    <w:rsid w:val="00B964D3"/>
    <w:rsid w:val="00B964DC"/>
    <w:rsid w:val="00B972DB"/>
    <w:rsid w:val="00B97691"/>
    <w:rsid w:val="00B9774F"/>
    <w:rsid w:val="00BA0091"/>
    <w:rsid w:val="00BA0526"/>
    <w:rsid w:val="00BA0895"/>
    <w:rsid w:val="00BA0F01"/>
    <w:rsid w:val="00BA0F97"/>
    <w:rsid w:val="00BA12A7"/>
    <w:rsid w:val="00BA1461"/>
    <w:rsid w:val="00BA15FB"/>
    <w:rsid w:val="00BA1754"/>
    <w:rsid w:val="00BA1A55"/>
    <w:rsid w:val="00BA1AF9"/>
    <w:rsid w:val="00BA1CA8"/>
    <w:rsid w:val="00BA1E9A"/>
    <w:rsid w:val="00BA29AE"/>
    <w:rsid w:val="00BA2BA8"/>
    <w:rsid w:val="00BA2BD3"/>
    <w:rsid w:val="00BA2D23"/>
    <w:rsid w:val="00BA2D2C"/>
    <w:rsid w:val="00BA2D85"/>
    <w:rsid w:val="00BA30D9"/>
    <w:rsid w:val="00BA37B0"/>
    <w:rsid w:val="00BA417C"/>
    <w:rsid w:val="00BA422A"/>
    <w:rsid w:val="00BA4475"/>
    <w:rsid w:val="00BA44E5"/>
    <w:rsid w:val="00BA49AF"/>
    <w:rsid w:val="00BA4BF1"/>
    <w:rsid w:val="00BA4F0F"/>
    <w:rsid w:val="00BA5454"/>
    <w:rsid w:val="00BA54C3"/>
    <w:rsid w:val="00BA60F0"/>
    <w:rsid w:val="00BA6B71"/>
    <w:rsid w:val="00BA7307"/>
    <w:rsid w:val="00BA7451"/>
    <w:rsid w:val="00BA794A"/>
    <w:rsid w:val="00BA7A0E"/>
    <w:rsid w:val="00BA7AD3"/>
    <w:rsid w:val="00BA7CEE"/>
    <w:rsid w:val="00BA7D1B"/>
    <w:rsid w:val="00BA7F08"/>
    <w:rsid w:val="00BB00DD"/>
    <w:rsid w:val="00BB03D3"/>
    <w:rsid w:val="00BB052F"/>
    <w:rsid w:val="00BB06BD"/>
    <w:rsid w:val="00BB071E"/>
    <w:rsid w:val="00BB0731"/>
    <w:rsid w:val="00BB0852"/>
    <w:rsid w:val="00BB0A2C"/>
    <w:rsid w:val="00BB0BA0"/>
    <w:rsid w:val="00BB0F49"/>
    <w:rsid w:val="00BB10CE"/>
    <w:rsid w:val="00BB14D1"/>
    <w:rsid w:val="00BB18D0"/>
    <w:rsid w:val="00BB2881"/>
    <w:rsid w:val="00BB2B1E"/>
    <w:rsid w:val="00BB2C3A"/>
    <w:rsid w:val="00BB3301"/>
    <w:rsid w:val="00BB3586"/>
    <w:rsid w:val="00BB3621"/>
    <w:rsid w:val="00BB3776"/>
    <w:rsid w:val="00BB3970"/>
    <w:rsid w:val="00BB3E09"/>
    <w:rsid w:val="00BB445D"/>
    <w:rsid w:val="00BB44A2"/>
    <w:rsid w:val="00BB44E1"/>
    <w:rsid w:val="00BB4749"/>
    <w:rsid w:val="00BB48EA"/>
    <w:rsid w:val="00BB49B5"/>
    <w:rsid w:val="00BB4B09"/>
    <w:rsid w:val="00BB4BC8"/>
    <w:rsid w:val="00BB5AB6"/>
    <w:rsid w:val="00BB5CF0"/>
    <w:rsid w:val="00BB5DE0"/>
    <w:rsid w:val="00BB5DE9"/>
    <w:rsid w:val="00BB62FA"/>
    <w:rsid w:val="00BB66D1"/>
    <w:rsid w:val="00BB687D"/>
    <w:rsid w:val="00BB70C3"/>
    <w:rsid w:val="00BB7180"/>
    <w:rsid w:val="00BC01E3"/>
    <w:rsid w:val="00BC03E9"/>
    <w:rsid w:val="00BC12A1"/>
    <w:rsid w:val="00BC1501"/>
    <w:rsid w:val="00BC18DF"/>
    <w:rsid w:val="00BC1912"/>
    <w:rsid w:val="00BC1F75"/>
    <w:rsid w:val="00BC201A"/>
    <w:rsid w:val="00BC22FD"/>
    <w:rsid w:val="00BC2CEE"/>
    <w:rsid w:val="00BC2D4B"/>
    <w:rsid w:val="00BC37E2"/>
    <w:rsid w:val="00BC3805"/>
    <w:rsid w:val="00BC41C2"/>
    <w:rsid w:val="00BC4339"/>
    <w:rsid w:val="00BC4712"/>
    <w:rsid w:val="00BC4A15"/>
    <w:rsid w:val="00BC4BD3"/>
    <w:rsid w:val="00BC4C18"/>
    <w:rsid w:val="00BC4DB5"/>
    <w:rsid w:val="00BC4EB7"/>
    <w:rsid w:val="00BC5235"/>
    <w:rsid w:val="00BC5268"/>
    <w:rsid w:val="00BC5C6F"/>
    <w:rsid w:val="00BC5D1E"/>
    <w:rsid w:val="00BC6547"/>
    <w:rsid w:val="00BC69F4"/>
    <w:rsid w:val="00BC6E62"/>
    <w:rsid w:val="00BC73A5"/>
    <w:rsid w:val="00BC746B"/>
    <w:rsid w:val="00BC7C47"/>
    <w:rsid w:val="00BD09F0"/>
    <w:rsid w:val="00BD0D94"/>
    <w:rsid w:val="00BD118D"/>
    <w:rsid w:val="00BD1211"/>
    <w:rsid w:val="00BD1293"/>
    <w:rsid w:val="00BD1531"/>
    <w:rsid w:val="00BD1879"/>
    <w:rsid w:val="00BD1EE8"/>
    <w:rsid w:val="00BD25DF"/>
    <w:rsid w:val="00BD26E3"/>
    <w:rsid w:val="00BD2AA5"/>
    <w:rsid w:val="00BD2DB8"/>
    <w:rsid w:val="00BD35D8"/>
    <w:rsid w:val="00BD3B38"/>
    <w:rsid w:val="00BD4206"/>
    <w:rsid w:val="00BD4304"/>
    <w:rsid w:val="00BD4354"/>
    <w:rsid w:val="00BD436F"/>
    <w:rsid w:val="00BD445D"/>
    <w:rsid w:val="00BD481B"/>
    <w:rsid w:val="00BD4B92"/>
    <w:rsid w:val="00BD4EEC"/>
    <w:rsid w:val="00BD4F39"/>
    <w:rsid w:val="00BD5020"/>
    <w:rsid w:val="00BD52B2"/>
    <w:rsid w:val="00BD53B1"/>
    <w:rsid w:val="00BD5ADF"/>
    <w:rsid w:val="00BD60DD"/>
    <w:rsid w:val="00BD6753"/>
    <w:rsid w:val="00BD6B35"/>
    <w:rsid w:val="00BD6D5C"/>
    <w:rsid w:val="00BD733E"/>
    <w:rsid w:val="00BD7604"/>
    <w:rsid w:val="00BD771E"/>
    <w:rsid w:val="00BD7D16"/>
    <w:rsid w:val="00BD7DBC"/>
    <w:rsid w:val="00BD7F24"/>
    <w:rsid w:val="00BE0185"/>
    <w:rsid w:val="00BE0590"/>
    <w:rsid w:val="00BE074C"/>
    <w:rsid w:val="00BE087F"/>
    <w:rsid w:val="00BE0AD4"/>
    <w:rsid w:val="00BE0F6C"/>
    <w:rsid w:val="00BE1113"/>
    <w:rsid w:val="00BE1598"/>
    <w:rsid w:val="00BE1639"/>
    <w:rsid w:val="00BE1A9F"/>
    <w:rsid w:val="00BE1F74"/>
    <w:rsid w:val="00BE2079"/>
    <w:rsid w:val="00BE235C"/>
    <w:rsid w:val="00BE24AD"/>
    <w:rsid w:val="00BE254D"/>
    <w:rsid w:val="00BE2702"/>
    <w:rsid w:val="00BE2A9E"/>
    <w:rsid w:val="00BE2C9F"/>
    <w:rsid w:val="00BE32AD"/>
    <w:rsid w:val="00BE343F"/>
    <w:rsid w:val="00BE3573"/>
    <w:rsid w:val="00BE35EF"/>
    <w:rsid w:val="00BE392E"/>
    <w:rsid w:val="00BE3AB2"/>
    <w:rsid w:val="00BE3D37"/>
    <w:rsid w:val="00BE3D8D"/>
    <w:rsid w:val="00BE421A"/>
    <w:rsid w:val="00BE4287"/>
    <w:rsid w:val="00BE49B6"/>
    <w:rsid w:val="00BE4D81"/>
    <w:rsid w:val="00BE4E22"/>
    <w:rsid w:val="00BE4E67"/>
    <w:rsid w:val="00BE4E71"/>
    <w:rsid w:val="00BE543F"/>
    <w:rsid w:val="00BE595C"/>
    <w:rsid w:val="00BE595E"/>
    <w:rsid w:val="00BE600A"/>
    <w:rsid w:val="00BE60C7"/>
    <w:rsid w:val="00BE6106"/>
    <w:rsid w:val="00BE669F"/>
    <w:rsid w:val="00BE696F"/>
    <w:rsid w:val="00BE6DDD"/>
    <w:rsid w:val="00BE7164"/>
    <w:rsid w:val="00BE745B"/>
    <w:rsid w:val="00BE7B91"/>
    <w:rsid w:val="00BF0064"/>
    <w:rsid w:val="00BF0182"/>
    <w:rsid w:val="00BF071F"/>
    <w:rsid w:val="00BF0B23"/>
    <w:rsid w:val="00BF0C2A"/>
    <w:rsid w:val="00BF0CC5"/>
    <w:rsid w:val="00BF1030"/>
    <w:rsid w:val="00BF1260"/>
    <w:rsid w:val="00BF141A"/>
    <w:rsid w:val="00BF1739"/>
    <w:rsid w:val="00BF1D3F"/>
    <w:rsid w:val="00BF2006"/>
    <w:rsid w:val="00BF2044"/>
    <w:rsid w:val="00BF229D"/>
    <w:rsid w:val="00BF28B8"/>
    <w:rsid w:val="00BF2C08"/>
    <w:rsid w:val="00BF2CF8"/>
    <w:rsid w:val="00BF3853"/>
    <w:rsid w:val="00BF3D48"/>
    <w:rsid w:val="00BF3F39"/>
    <w:rsid w:val="00BF3FF4"/>
    <w:rsid w:val="00BF4038"/>
    <w:rsid w:val="00BF4E32"/>
    <w:rsid w:val="00BF4F69"/>
    <w:rsid w:val="00BF5172"/>
    <w:rsid w:val="00BF5E39"/>
    <w:rsid w:val="00BF5F91"/>
    <w:rsid w:val="00BF61B6"/>
    <w:rsid w:val="00BF67BE"/>
    <w:rsid w:val="00BF6CDD"/>
    <w:rsid w:val="00BF6F36"/>
    <w:rsid w:val="00BF70F9"/>
    <w:rsid w:val="00BF7384"/>
    <w:rsid w:val="00BF763E"/>
    <w:rsid w:val="00BF76D4"/>
    <w:rsid w:val="00BF79EA"/>
    <w:rsid w:val="00C00737"/>
    <w:rsid w:val="00C00B6B"/>
    <w:rsid w:val="00C01155"/>
    <w:rsid w:val="00C01804"/>
    <w:rsid w:val="00C01A5B"/>
    <w:rsid w:val="00C01B83"/>
    <w:rsid w:val="00C01F9D"/>
    <w:rsid w:val="00C02622"/>
    <w:rsid w:val="00C0279A"/>
    <w:rsid w:val="00C027B1"/>
    <w:rsid w:val="00C0298A"/>
    <w:rsid w:val="00C02B95"/>
    <w:rsid w:val="00C02FEC"/>
    <w:rsid w:val="00C04208"/>
    <w:rsid w:val="00C04655"/>
    <w:rsid w:val="00C047AF"/>
    <w:rsid w:val="00C04E03"/>
    <w:rsid w:val="00C05011"/>
    <w:rsid w:val="00C0512C"/>
    <w:rsid w:val="00C055C6"/>
    <w:rsid w:val="00C056AA"/>
    <w:rsid w:val="00C05A17"/>
    <w:rsid w:val="00C05B0B"/>
    <w:rsid w:val="00C060FC"/>
    <w:rsid w:val="00C06551"/>
    <w:rsid w:val="00C06AC0"/>
    <w:rsid w:val="00C070F1"/>
    <w:rsid w:val="00C0710F"/>
    <w:rsid w:val="00C073FD"/>
    <w:rsid w:val="00C07688"/>
    <w:rsid w:val="00C076BA"/>
    <w:rsid w:val="00C07BE2"/>
    <w:rsid w:val="00C10153"/>
    <w:rsid w:val="00C1039F"/>
    <w:rsid w:val="00C106A3"/>
    <w:rsid w:val="00C10A96"/>
    <w:rsid w:val="00C10DED"/>
    <w:rsid w:val="00C1103E"/>
    <w:rsid w:val="00C1106E"/>
    <w:rsid w:val="00C113D4"/>
    <w:rsid w:val="00C11493"/>
    <w:rsid w:val="00C11533"/>
    <w:rsid w:val="00C118BD"/>
    <w:rsid w:val="00C11D92"/>
    <w:rsid w:val="00C11F3C"/>
    <w:rsid w:val="00C12169"/>
    <w:rsid w:val="00C12174"/>
    <w:rsid w:val="00C121F7"/>
    <w:rsid w:val="00C127BD"/>
    <w:rsid w:val="00C12B2F"/>
    <w:rsid w:val="00C12DB6"/>
    <w:rsid w:val="00C13389"/>
    <w:rsid w:val="00C136DE"/>
    <w:rsid w:val="00C13716"/>
    <w:rsid w:val="00C137A9"/>
    <w:rsid w:val="00C139C0"/>
    <w:rsid w:val="00C13DB3"/>
    <w:rsid w:val="00C1403F"/>
    <w:rsid w:val="00C148E8"/>
    <w:rsid w:val="00C15129"/>
    <w:rsid w:val="00C15514"/>
    <w:rsid w:val="00C155D9"/>
    <w:rsid w:val="00C15AAE"/>
    <w:rsid w:val="00C15C4E"/>
    <w:rsid w:val="00C15F2D"/>
    <w:rsid w:val="00C160E9"/>
    <w:rsid w:val="00C16473"/>
    <w:rsid w:val="00C1659F"/>
    <w:rsid w:val="00C1679B"/>
    <w:rsid w:val="00C168FA"/>
    <w:rsid w:val="00C16DB5"/>
    <w:rsid w:val="00C16FAA"/>
    <w:rsid w:val="00C170B1"/>
    <w:rsid w:val="00C17288"/>
    <w:rsid w:val="00C1729B"/>
    <w:rsid w:val="00C17465"/>
    <w:rsid w:val="00C17A40"/>
    <w:rsid w:val="00C208B4"/>
    <w:rsid w:val="00C2106E"/>
    <w:rsid w:val="00C212F3"/>
    <w:rsid w:val="00C214A4"/>
    <w:rsid w:val="00C2165C"/>
    <w:rsid w:val="00C21900"/>
    <w:rsid w:val="00C21FB7"/>
    <w:rsid w:val="00C221C5"/>
    <w:rsid w:val="00C22437"/>
    <w:rsid w:val="00C2247E"/>
    <w:rsid w:val="00C2258C"/>
    <w:rsid w:val="00C228B4"/>
    <w:rsid w:val="00C22F1D"/>
    <w:rsid w:val="00C23261"/>
    <w:rsid w:val="00C234C9"/>
    <w:rsid w:val="00C23699"/>
    <w:rsid w:val="00C236B3"/>
    <w:rsid w:val="00C239CF"/>
    <w:rsid w:val="00C23CDB"/>
    <w:rsid w:val="00C23F36"/>
    <w:rsid w:val="00C240D9"/>
    <w:rsid w:val="00C2410B"/>
    <w:rsid w:val="00C24553"/>
    <w:rsid w:val="00C24B9B"/>
    <w:rsid w:val="00C24EC5"/>
    <w:rsid w:val="00C25020"/>
    <w:rsid w:val="00C25052"/>
    <w:rsid w:val="00C255BD"/>
    <w:rsid w:val="00C255EE"/>
    <w:rsid w:val="00C25A0C"/>
    <w:rsid w:val="00C25D32"/>
    <w:rsid w:val="00C260D6"/>
    <w:rsid w:val="00C2620B"/>
    <w:rsid w:val="00C2637B"/>
    <w:rsid w:val="00C263F2"/>
    <w:rsid w:val="00C26A6F"/>
    <w:rsid w:val="00C276C2"/>
    <w:rsid w:val="00C27962"/>
    <w:rsid w:val="00C279BA"/>
    <w:rsid w:val="00C27C83"/>
    <w:rsid w:val="00C27D3B"/>
    <w:rsid w:val="00C30518"/>
    <w:rsid w:val="00C30559"/>
    <w:rsid w:val="00C30595"/>
    <w:rsid w:val="00C311F1"/>
    <w:rsid w:val="00C31AEB"/>
    <w:rsid w:val="00C31C9E"/>
    <w:rsid w:val="00C32676"/>
    <w:rsid w:val="00C32A11"/>
    <w:rsid w:val="00C32A22"/>
    <w:rsid w:val="00C32E93"/>
    <w:rsid w:val="00C33180"/>
    <w:rsid w:val="00C33484"/>
    <w:rsid w:val="00C334A6"/>
    <w:rsid w:val="00C3389A"/>
    <w:rsid w:val="00C3424A"/>
    <w:rsid w:val="00C350A7"/>
    <w:rsid w:val="00C35420"/>
    <w:rsid w:val="00C35876"/>
    <w:rsid w:val="00C35F67"/>
    <w:rsid w:val="00C3623F"/>
    <w:rsid w:val="00C36965"/>
    <w:rsid w:val="00C36BA0"/>
    <w:rsid w:val="00C37B07"/>
    <w:rsid w:val="00C37E24"/>
    <w:rsid w:val="00C4002D"/>
    <w:rsid w:val="00C403A4"/>
    <w:rsid w:val="00C4083D"/>
    <w:rsid w:val="00C40AF5"/>
    <w:rsid w:val="00C40C47"/>
    <w:rsid w:val="00C40F3C"/>
    <w:rsid w:val="00C412A7"/>
    <w:rsid w:val="00C412D6"/>
    <w:rsid w:val="00C41714"/>
    <w:rsid w:val="00C41F45"/>
    <w:rsid w:val="00C424D2"/>
    <w:rsid w:val="00C4269D"/>
    <w:rsid w:val="00C42722"/>
    <w:rsid w:val="00C42816"/>
    <w:rsid w:val="00C4297C"/>
    <w:rsid w:val="00C42D04"/>
    <w:rsid w:val="00C42FB9"/>
    <w:rsid w:val="00C433BF"/>
    <w:rsid w:val="00C4365D"/>
    <w:rsid w:val="00C43742"/>
    <w:rsid w:val="00C438A9"/>
    <w:rsid w:val="00C43A28"/>
    <w:rsid w:val="00C43FCE"/>
    <w:rsid w:val="00C44619"/>
    <w:rsid w:val="00C44A21"/>
    <w:rsid w:val="00C44E91"/>
    <w:rsid w:val="00C450C5"/>
    <w:rsid w:val="00C45ACA"/>
    <w:rsid w:val="00C46126"/>
    <w:rsid w:val="00C462C4"/>
    <w:rsid w:val="00C4635F"/>
    <w:rsid w:val="00C4673A"/>
    <w:rsid w:val="00C46C1F"/>
    <w:rsid w:val="00C46E35"/>
    <w:rsid w:val="00C46F36"/>
    <w:rsid w:val="00C47396"/>
    <w:rsid w:val="00C473E8"/>
    <w:rsid w:val="00C47A31"/>
    <w:rsid w:val="00C47A6F"/>
    <w:rsid w:val="00C500F0"/>
    <w:rsid w:val="00C50102"/>
    <w:rsid w:val="00C5018D"/>
    <w:rsid w:val="00C50681"/>
    <w:rsid w:val="00C5084A"/>
    <w:rsid w:val="00C5089A"/>
    <w:rsid w:val="00C5125E"/>
    <w:rsid w:val="00C512B5"/>
    <w:rsid w:val="00C518A2"/>
    <w:rsid w:val="00C518EF"/>
    <w:rsid w:val="00C51D02"/>
    <w:rsid w:val="00C51D5A"/>
    <w:rsid w:val="00C52197"/>
    <w:rsid w:val="00C524FD"/>
    <w:rsid w:val="00C5269C"/>
    <w:rsid w:val="00C52B2A"/>
    <w:rsid w:val="00C53387"/>
    <w:rsid w:val="00C533A7"/>
    <w:rsid w:val="00C53514"/>
    <w:rsid w:val="00C536E8"/>
    <w:rsid w:val="00C54170"/>
    <w:rsid w:val="00C54192"/>
    <w:rsid w:val="00C54328"/>
    <w:rsid w:val="00C54390"/>
    <w:rsid w:val="00C54399"/>
    <w:rsid w:val="00C54622"/>
    <w:rsid w:val="00C54650"/>
    <w:rsid w:val="00C54A31"/>
    <w:rsid w:val="00C55276"/>
    <w:rsid w:val="00C558BA"/>
    <w:rsid w:val="00C55B1C"/>
    <w:rsid w:val="00C55C6C"/>
    <w:rsid w:val="00C5602A"/>
    <w:rsid w:val="00C562C1"/>
    <w:rsid w:val="00C565BD"/>
    <w:rsid w:val="00C56613"/>
    <w:rsid w:val="00C56872"/>
    <w:rsid w:val="00C56A9F"/>
    <w:rsid w:val="00C56BFC"/>
    <w:rsid w:val="00C57269"/>
    <w:rsid w:val="00C57490"/>
    <w:rsid w:val="00C57598"/>
    <w:rsid w:val="00C575D9"/>
    <w:rsid w:val="00C5781E"/>
    <w:rsid w:val="00C57940"/>
    <w:rsid w:val="00C57A3B"/>
    <w:rsid w:val="00C57B53"/>
    <w:rsid w:val="00C60702"/>
    <w:rsid w:val="00C607DF"/>
    <w:rsid w:val="00C608B5"/>
    <w:rsid w:val="00C60CD6"/>
    <w:rsid w:val="00C61003"/>
    <w:rsid w:val="00C61726"/>
    <w:rsid w:val="00C6190C"/>
    <w:rsid w:val="00C61A25"/>
    <w:rsid w:val="00C61F20"/>
    <w:rsid w:val="00C62036"/>
    <w:rsid w:val="00C621B0"/>
    <w:rsid w:val="00C6231E"/>
    <w:rsid w:val="00C6290B"/>
    <w:rsid w:val="00C6331D"/>
    <w:rsid w:val="00C63494"/>
    <w:rsid w:val="00C6382F"/>
    <w:rsid w:val="00C64A87"/>
    <w:rsid w:val="00C64BB7"/>
    <w:rsid w:val="00C65048"/>
    <w:rsid w:val="00C653C4"/>
    <w:rsid w:val="00C656DE"/>
    <w:rsid w:val="00C6629D"/>
    <w:rsid w:val="00C66749"/>
    <w:rsid w:val="00C66D41"/>
    <w:rsid w:val="00C66E3B"/>
    <w:rsid w:val="00C671BF"/>
    <w:rsid w:val="00C674FF"/>
    <w:rsid w:val="00C67544"/>
    <w:rsid w:val="00C6763D"/>
    <w:rsid w:val="00C679E6"/>
    <w:rsid w:val="00C67B04"/>
    <w:rsid w:val="00C67FFD"/>
    <w:rsid w:val="00C701C4"/>
    <w:rsid w:val="00C7026E"/>
    <w:rsid w:val="00C702A0"/>
    <w:rsid w:val="00C703E3"/>
    <w:rsid w:val="00C70481"/>
    <w:rsid w:val="00C7050D"/>
    <w:rsid w:val="00C70AAB"/>
    <w:rsid w:val="00C70E28"/>
    <w:rsid w:val="00C70FEF"/>
    <w:rsid w:val="00C71242"/>
    <w:rsid w:val="00C71261"/>
    <w:rsid w:val="00C71269"/>
    <w:rsid w:val="00C71B28"/>
    <w:rsid w:val="00C71E17"/>
    <w:rsid w:val="00C71F22"/>
    <w:rsid w:val="00C72204"/>
    <w:rsid w:val="00C72734"/>
    <w:rsid w:val="00C72827"/>
    <w:rsid w:val="00C72B2B"/>
    <w:rsid w:val="00C72B6F"/>
    <w:rsid w:val="00C7399D"/>
    <w:rsid w:val="00C73C34"/>
    <w:rsid w:val="00C73C4D"/>
    <w:rsid w:val="00C73DFC"/>
    <w:rsid w:val="00C7414D"/>
    <w:rsid w:val="00C7439E"/>
    <w:rsid w:val="00C74AC8"/>
    <w:rsid w:val="00C74B3C"/>
    <w:rsid w:val="00C74BE5"/>
    <w:rsid w:val="00C74EF7"/>
    <w:rsid w:val="00C75047"/>
    <w:rsid w:val="00C750B6"/>
    <w:rsid w:val="00C754A5"/>
    <w:rsid w:val="00C757D8"/>
    <w:rsid w:val="00C75811"/>
    <w:rsid w:val="00C75966"/>
    <w:rsid w:val="00C75BA9"/>
    <w:rsid w:val="00C75D0D"/>
    <w:rsid w:val="00C75EBB"/>
    <w:rsid w:val="00C75F93"/>
    <w:rsid w:val="00C76489"/>
    <w:rsid w:val="00C7690C"/>
    <w:rsid w:val="00C76A87"/>
    <w:rsid w:val="00C76BF5"/>
    <w:rsid w:val="00C76FB8"/>
    <w:rsid w:val="00C77448"/>
    <w:rsid w:val="00C777DF"/>
    <w:rsid w:val="00C8031B"/>
    <w:rsid w:val="00C8059B"/>
    <w:rsid w:val="00C80689"/>
    <w:rsid w:val="00C80872"/>
    <w:rsid w:val="00C80978"/>
    <w:rsid w:val="00C80B07"/>
    <w:rsid w:val="00C80BFC"/>
    <w:rsid w:val="00C80CE0"/>
    <w:rsid w:val="00C8171C"/>
    <w:rsid w:val="00C81D50"/>
    <w:rsid w:val="00C81F44"/>
    <w:rsid w:val="00C81F83"/>
    <w:rsid w:val="00C81FD0"/>
    <w:rsid w:val="00C8210D"/>
    <w:rsid w:val="00C821A5"/>
    <w:rsid w:val="00C82320"/>
    <w:rsid w:val="00C82692"/>
    <w:rsid w:val="00C8286B"/>
    <w:rsid w:val="00C82F82"/>
    <w:rsid w:val="00C82FE1"/>
    <w:rsid w:val="00C831DC"/>
    <w:rsid w:val="00C83294"/>
    <w:rsid w:val="00C83B21"/>
    <w:rsid w:val="00C83C2E"/>
    <w:rsid w:val="00C83D0F"/>
    <w:rsid w:val="00C83D4D"/>
    <w:rsid w:val="00C8401D"/>
    <w:rsid w:val="00C8428A"/>
    <w:rsid w:val="00C845FA"/>
    <w:rsid w:val="00C84DA6"/>
    <w:rsid w:val="00C84DF4"/>
    <w:rsid w:val="00C84EB8"/>
    <w:rsid w:val="00C8502D"/>
    <w:rsid w:val="00C851F2"/>
    <w:rsid w:val="00C8567C"/>
    <w:rsid w:val="00C856D1"/>
    <w:rsid w:val="00C85C3F"/>
    <w:rsid w:val="00C85E9D"/>
    <w:rsid w:val="00C85FA1"/>
    <w:rsid w:val="00C86713"/>
    <w:rsid w:val="00C86ACC"/>
    <w:rsid w:val="00C86C5A"/>
    <w:rsid w:val="00C86DD0"/>
    <w:rsid w:val="00C86F2F"/>
    <w:rsid w:val="00C87271"/>
    <w:rsid w:val="00C874FE"/>
    <w:rsid w:val="00C8771A"/>
    <w:rsid w:val="00C87BC8"/>
    <w:rsid w:val="00C87F64"/>
    <w:rsid w:val="00C900E6"/>
    <w:rsid w:val="00C90212"/>
    <w:rsid w:val="00C906AB"/>
    <w:rsid w:val="00C90872"/>
    <w:rsid w:val="00C909E9"/>
    <w:rsid w:val="00C90B53"/>
    <w:rsid w:val="00C9114F"/>
    <w:rsid w:val="00C91317"/>
    <w:rsid w:val="00C91AD5"/>
    <w:rsid w:val="00C91E5C"/>
    <w:rsid w:val="00C92664"/>
    <w:rsid w:val="00C927AF"/>
    <w:rsid w:val="00C929F8"/>
    <w:rsid w:val="00C92A97"/>
    <w:rsid w:val="00C92C45"/>
    <w:rsid w:val="00C92C99"/>
    <w:rsid w:val="00C93103"/>
    <w:rsid w:val="00C93285"/>
    <w:rsid w:val="00C93425"/>
    <w:rsid w:val="00C9366A"/>
    <w:rsid w:val="00C93706"/>
    <w:rsid w:val="00C93722"/>
    <w:rsid w:val="00C9393B"/>
    <w:rsid w:val="00C939ED"/>
    <w:rsid w:val="00C93BAB"/>
    <w:rsid w:val="00C94434"/>
    <w:rsid w:val="00C94883"/>
    <w:rsid w:val="00C94B7F"/>
    <w:rsid w:val="00C951D1"/>
    <w:rsid w:val="00C955DC"/>
    <w:rsid w:val="00C95F1B"/>
    <w:rsid w:val="00C96062"/>
    <w:rsid w:val="00C964D5"/>
    <w:rsid w:val="00C968D7"/>
    <w:rsid w:val="00C975EA"/>
    <w:rsid w:val="00C97E28"/>
    <w:rsid w:val="00C97F9E"/>
    <w:rsid w:val="00CA02CB"/>
    <w:rsid w:val="00CA09ED"/>
    <w:rsid w:val="00CA0C6C"/>
    <w:rsid w:val="00CA0CB4"/>
    <w:rsid w:val="00CA0E3C"/>
    <w:rsid w:val="00CA0FFA"/>
    <w:rsid w:val="00CA12A1"/>
    <w:rsid w:val="00CA17F6"/>
    <w:rsid w:val="00CA1BCB"/>
    <w:rsid w:val="00CA27C6"/>
    <w:rsid w:val="00CA3656"/>
    <w:rsid w:val="00CA4471"/>
    <w:rsid w:val="00CA47D8"/>
    <w:rsid w:val="00CA4909"/>
    <w:rsid w:val="00CA4C9D"/>
    <w:rsid w:val="00CA4E24"/>
    <w:rsid w:val="00CA508F"/>
    <w:rsid w:val="00CA523E"/>
    <w:rsid w:val="00CA5658"/>
    <w:rsid w:val="00CA56FF"/>
    <w:rsid w:val="00CA5845"/>
    <w:rsid w:val="00CA59F1"/>
    <w:rsid w:val="00CA5C72"/>
    <w:rsid w:val="00CA6C65"/>
    <w:rsid w:val="00CA7088"/>
    <w:rsid w:val="00CA76C2"/>
    <w:rsid w:val="00CB0531"/>
    <w:rsid w:val="00CB070C"/>
    <w:rsid w:val="00CB09DD"/>
    <w:rsid w:val="00CB0A40"/>
    <w:rsid w:val="00CB0A6C"/>
    <w:rsid w:val="00CB0AA9"/>
    <w:rsid w:val="00CB0DE2"/>
    <w:rsid w:val="00CB0FCA"/>
    <w:rsid w:val="00CB11F8"/>
    <w:rsid w:val="00CB123F"/>
    <w:rsid w:val="00CB172C"/>
    <w:rsid w:val="00CB20E3"/>
    <w:rsid w:val="00CB23A5"/>
    <w:rsid w:val="00CB247F"/>
    <w:rsid w:val="00CB24BC"/>
    <w:rsid w:val="00CB24C9"/>
    <w:rsid w:val="00CB26B2"/>
    <w:rsid w:val="00CB2806"/>
    <w:rsid w:val="00CB2C06"/>
    <w:rsid w:val="00CB2CF1"/>
    <w:rsid w:val="00CB2E0B"/>
    <w:rsid w:val="00CB2FA3"/>
    <w:rsid w:val="00CB3035"/>
    <w:rsid w:val="00CB31CD"/>
    <w:rsid w:val="00CB33A4"/>
    <w:rsid w:val="00CB35B9"/>
    <w:rsid w:val="00CB3720"/>
    <w:rsid w:val="00CB38F3"/>
    <w:rsid w:val="00CB3C5B"/>
    <w:rsid w:val="00CB4371"/>
    <w:rsid w:val="00CB4B9D"/>
    <w:rsid w:val="00CB5312"/>
    <w:rsid w:val="00CB575F"/>
    <w:rsid w:val="00CB57A6"/>
    <w:rsid w:val="00CB5F5A"/>
    <w:rsid w:val="00CB6032"/>
    <w:rsid w:val="00CB6BB0"/>
    <w:rsid w:val="00CB6E53"/>
    <w:rsid w:val="00CB6E6D"/>
    <w:rsid w:val="00CB74BC"/>
    <w:rsid w:val="00CB7BB4"/>
    <w:rsid w:val="00CB7DA4"/>
    <w:rsid w:val="00CC0693"/>
    <w:rsid w:val="00CC08AA"/>
    <w:rsid w:val="00CC0DD5"/>
    <w:rsid w:val="00CC12E0"/>
    <w:rsid w:val="00CC1839"/>
    <w:rsid w:val="00CC1A86"/>
    <w:rsid w:val="00CC1B18"/>
    <w:rsid w:val="00CC1D40"/>
    <w:rsid w:val="00CC1FCD"/>
    <w:rsid w:val="00CC26D6"/>
    <w:rsid w:val="00CC2724"/>
    <w:rsid w:val="00CC27BF"/>
    <w:rsid w:val="00CC2E0E"/>
    <w:rsid w:val="00CC336D"/>
    <w:rsid w:val="00CC37A8"/>
    <w:rsid w:val="00CC3B5C"/>
    <w:rsid w:val="00CC4139"/>
    <w:rsid w:val="00CC4207"/>
    <w:rsid w:val="00CC4496"/>
    <w:rsid w:val="00CC452C"/>
    <w:rsid w:val="00CC4F5F"/>
    <w:rsid w:val="00CC5055"/>
    <w:rsid w:val="00CC5A17"/>
    <w:rsid w:val="00CC69DE"/>
    <w:rsid w:val="00CC6B8B"/>
    <w:rsid w:val="00CC6EC2"/>
    <w:rsid w:val="00CC755D"/>
    <w:rsid w:val="00CC7609"/>
    <w:rsid w:val="00CC7F7F"/>
    <w:rsid w:val="00CD0576"/>
    <w:rsid w:val="00CD1019"/>
    <w:rsid w:val="00CD115F"/>
    <w:rsid w:val="00CD127E"/>
    <w:rsid w:val="00CD1429"/>
    <w:rsid w:val="00CD1449"/>
    <w:rsid w:val="00CD1E14"/>
    <w:rsid w:val="00CD23D9"/>
    <w:rsid w:val="00CD2624"/>
    <w:rsid w:val="00CD2AE1"/>
    <w:rsid w:val="00CD2C46"/>
    <w:rsid w:val="00CD2C51"/>
    <w:rsid w:val="00CD2C75"/>
    <w:rsid w:val="00CD2D1F"/>
    <w:rsid w:val="00CD2D85"/>
    <w:rsid w:val="00CD30E1"/>
    <w:rsid w:val="00CD31F6"/>
    <w:rsid w:val="00CD34C5"/>
    <w:rsid w:val="00CD35FB"/>
    <w:rsid w:val="00CD3C71"/>
    <w:rsid w:val="00CD3CC8"/>
    <w:rsid w:val="00CD41B1"/>
    <w:rsid w:val="00CD4616"/>
    <w:rsid w:val="00CD482F"/>
    <w:rsid w:val="00CD48B2"/>
    <w:rsid w:val="00CD4987"/>
    <w:rsid w:val="00CD4BE2"/>
    <w:rsid w:val="00CD4C68"/>
    <w:rsid w:val="00CD5183"/>
    <w:rsid w:val="00CD51E8"/>
    <w:rsid w:val="00CD5374"/>
    <w:rsid w:val="00CD5569"/>
    <w:rsid w:val="00CD5E65"/>
    <w:rsid w:val="00CD5EF2"/>
    <w:rsid w:val="00CD6214"/>
    <w:rsid w:val="00CD68E0"/>
    <w:rsid w:val="00CD6CA7"/>
    <w:rsid w:val="00CD6DBE"/>
    <w:rsid w:val="00CD6ED7"/>
    <w:rsid w:val="00CD7061"/>
    <w:rsid w:val="00CD7088"/>
    <w:rsid w:val="00CD7567"/>
    <w:rsid w:val="00CD77B2"/>
    <w:rsid w:val="00CD78FB"/>
    <w:rsid w:val="00CD7E2C"/>
    <w:rsid w:val="00CE05D8"/>
    <w:rsid w:val="00CE0771"/>
    <w:rsid w:val="00CE07FA"/>
    <w:rsid w:val="00CE0911"/>
    <w:rsid w:val="00CE09D5"/>
    <w:rsid w:val="00CE0EA5"/>
    <w:rsid w:val="00CE10EA"/>
    <w:rsid w:val="00CE10FF"/>
    <w:rsid w:val="00CE17C8"/>
    <w:rsid w:val="00CE1AD9"/>
    <w:rsid w:val="00CE1C42"/>
    <w:rsid w:val="00CE1D36"/>
    <w:rsid w:val="00CE215B"/>
    <w:rsid w:val="00CE24D0"/>
    <w:rsid w:val="00CE32D5"/>
    <w:rsid w:val="00CE33F1"/>
    <w:rsid w:val="00CE3472"/>
    <w:rsid w:val="00CE36B0"/>
    <w:rsid w:val="00CE37A4"/>
    <w:rsid w:val="00CE3C55"/>
    <w:rsid w:val="00CE4236"/>
    <w:rsid w:val="00CE4466"/>
    <w:rsid w:val="00CE45F9"/>
    <w:rsid w:val="00CE4A6E"/>
    <w:rsid w:val="00CE530D"/>
    <w:rsid w:val="00CE553A"/>
    <w:rsid w:val="00CE5A5D"/>
    <w:rsid w:val="00CE5BCD"/>
    <w:rsid w:val="00CE655C"/>
    <w:rsid w:val="00CE66F1"/>
    <w:rsid w:val="00CE6909"/>
    <w:rsid w:val="00CE693C"/>
    <w:rsid w:val="00CE6B24"/>
    <w:rsid w:val="00CE74D8"/>
    <w:rsid w:val="00CE74E3"/>
    <w:rsid w:val="00CE7835"/>
    <w:rsid w:val="00CE7C05"/>
    <w:rsid w:val="00CE7E83"/>
    <w:rsid w:val="00CF01DE"/>
    <w:rsid w:val="00CF06AA"/>
    <w:rsid w:val="00CF099D"/>
    <w:rsid w:val="00CF0CEA"/>
    <w:rsid w:val="00CF1142"/>
    <w:rsid w:val="00CF14A0"/>
    <w:rsid w:val="00CF152F"/>
    <w:rsid w:val="00CF1600"/>
    <w:rsid w:val="00CF1C86"/>
    <w:rsid w:val="00CF1F13"/>
    <w:rsid w:val="00CF1F6C"/>
    <w:rsid w:val="00CF2161"/>
    <w:rsid w:val="00CF23ED"/>
    <w:rsid w:val="00CF243A"/>
    <w:rsid w:val="00CF26FB"/>
    <w:rsid w:val="00CF2AB4"/>
    <w:rsid w:val="00CF2B0C"/>
    <w:rsid w:val="00CF2B50"/>
    <w:rsid w:val="00CF3638"/>
    <w:rsid w:val="00CF3A16"/>
    <w:rsid w:val="00CF3E4A"/>
    <w:rsid w:val="00CF3E4D"/>
    <w:rsid w:val="00CF45EE"/>
    <w:rsid w:val="00CF4893"/>
    <w:rsid w:val="00CF4D7E"/>
    <w:rsid w:val="00CF5226"/>
    <w:rsid w:val="00CF586D"/>
    <w:rsid w:val="00CF5B28"/>
    <w:rsid w:val="00CF5DFE"/>
    <w:rsid w:val="00CF5F0D"/>
    <w:rsid w:val="00CF5FDC"/>
    <w:rsid w:val="00CF6114"/>
    <w:rsid w:val="00CF63C7"/>
    <w:rsid w:val="00CF6E7B"/>
    <w:rsid w:val="00CF700A"/>
    <w:rsid w:val="00CF712C"/>
    <w:rsid w:val="00CF7442"/>
    <w:rsid w:val="00CF76A7"/>
    <w:rsid w:val="00CF7D69"/>
    <w:rsid w:val="00CF7FCB"/>
    <w:rsid w:val="00D008FA"/>
    <w:rsid w:val="00D00933"/>
    <w:rsid w:val="00D00B83"/>
    <w:rsid w:val="00D00C31"/>
    <w:rsid w:val="00D00E4E"/>
    <w:rsid w:val="00D01278"/>
    <w:rsid w:val="00D01E8A"/>
    <w:rsid w:val="00D022E9"/>
    <w:rsid w:val="00D029AB"/>
    <w:rsid w:val="00D02BDB"/>
    <w:rsid w:val="00D03195"/>
    <w:rsid w:val="00D033A7"/>
    <w:rsid w:val="00D034D1"/>
    <w:rsid w:val="00D035D3"/>
    <w:rsid w:val="00D03B56"/>
    <w:rsid w:val="00D03D65"/>
    <w:rsid w:val="00D0421F"/>
    <w:rsid w:val="00D0446F"/>
    <w:rsid w:val="00D0460E"/>
    <w:rsid w:val="00D04A6F"/>
    <w:rsid w:val="00D04B83"/>
    <w:rsid w:val="00D05135"/>
    <w:rsid w:val="00D0550C"/>
    <w:rsid w:val="00D0597B"/>
    <w:rsid w:val="00D063D2"/>
    <w:rsid w:val="00D06A5A"/>
    <w:rsid w:val="00D06FB4"/>
    <w:rsid w:val="00D06FCA"/>
    <w:rsid w:val="00D072C3"/>
    <w:rsid w:val="00D07429"/>
    <w:rsid w:val="00D07812"/>
    <w:rsid w:val="00D07868"/>
    <w:rsid w:val="00D07AC6"/>
    <w:rsid w:val="00D07D93"/>
    <w:rsid w:val="00D07DD4"/>
    <w:rsid w:val="00D100DE"/>
    <w:rsid w:val="00D101EC"/>
    <w:rsid w:val="00D105F5"/>
    <w:rsid w:val="00D1081D"/>
    <w:rsid w:val="00D10959"/>
    <w:rsid w:val="00D10A22"/>
    <w:rsid w:val="00D10AD1"/>
    <w:rsid w:val="00D10CE3"/>
    <w:rsid w:val="00D10F85"/>
    <w:rsid w:val="00D112C2"/>
    <w:rsid w:val="00D1168B"/>
    <w:rsid w:val="00D1184E"/>
    <w:rsid w:val="00D11A65"/>
    <w:rsid w:val="00D11B71"/>
    <w:rsid w:val="00D11BFE"/>
    <w:rsid w:val="00D11D45"/>
    <w:rsid w:val="00D11E02"/>
    <w:rsid w:val="00D122DD"/>
    <w:rsid w:val="00D123EB"/>
    <w:rsid w:val="00D124E5"/>
    <w:rsid w:val="00D12602"/>
    <w:rsid w:val="00D12DEE"/>
    <w:rsid w:val="00D12EEA"/>
    <w:rsid w:val="00D131FF"/>
    <w:rsid w:val="00D135BC"/>
    <w:rsid w:val="00D1362D"/>
    <w:rsid w:val="00D1396E"/>
    <w:rsid w:val="00D13DBE"/>
    <w:rsid w:val="00D14037"/>
    <w:rsid w:val="00D14458"/>
    <w:rsid w:val="00D14790"/>
    <w:rsid w:val="00D14A8C"/>
    <w:rsid w:val="00D15481"/>
    <w:rsid w:val="00D1563E"/>
    <w:rsid w:val="00D15A79"/>
    <w:rsid w:val="00D15BB9"/>
    <w:rsid w:val="00D16483"/>
    <w:rsid w:val="00D1669E"/>
    <w:rsid w:val="00D16784"/>
    <w:rsid w:val="00D167D9"/>
    <w:rsid w:val="00D16CBC"/>
    <w:rsid w:val="00D16FAE"/>
    <w:rsid w:val="00D1728C"/>
    <w:rsid w:val="00D17B83"/>
    <w:rsid w:val="00D17BAB"/>
    <w:rsid w:val="00D17CFF"/>
    <w:rsid w:val="00D201CB"/>
    <w:rsid w:val="00D21235"/>
    <w:rsid w:val="00D21462"/>
    <w:rsid w:val="00D218E1"/>
    <w:rsid w:val="00D2219F"/>
    <w:rsid w:val="00D22470"/>
    <w:rsid w:val="00D22501"/>
    <w:rsid w:val="00D2251D"/>
    <w:rsid w:val="00D226EB"/>
    <w:rsid w:val="00D22971"/>
    <w:rsid w:val="00D22E27"/>
    <w:rsid w:val="00D230C2"/>
    <w:rsid w:val="00D23813"/>
    <w:rsid w:val="00D239A9"/>
    <w:rsid w:val="00D23B6F"/>
    <w:rsid w:val="00D23D6A"/>
    <w:rsid w:val="00D23DEF"/>
    <w:rsid w:val="00D23EC8"/>
    <w:rsid w:val="00D24056"/>
    <w:rsid w:val="00D2409C"/>
    <w:rsid w:val="00D24142"/>
    <w:rsid w:val="00D242EC"/>
    <w:rsid w:val="00D24828"/>
    <w:rsid w:val="00D249E8"/>
    <w:rsid w:val="00D24B2D"/>
    <w:rsid w:val="00D24B65"/>
    <w:rsid w:val="00D24B8A"/>
    <w:rsid w:val="00D24D5C"/>
    <w:rsid w:val="00D25283"/>
    <w:rsid w:val="00D254D5"/>
    <w:rsid w:val="00D25552"/>
    <w:rsid w:val="00D25D1A"/>
    <w:rsid w:val="00D25D59"/>
    <w:rsid w:val="00D26154"/>
    <w:rsid w:val="00D261AA"/>
    <w:rsid w:val="00D2656B"/>
    <w:rsid w:val="00D2673D"/>
    <w:rsid w:val="00D268CB"/>
    <w:rsid w:val="00D26F32"/>
    <w:rsid w:val="00D26FF0"/>
    <w:rsid w:val="00D27571"/>
    <w:rsid w:val="00D2767D"/>
    <w:rsid w:val="00D27D88"/>
    <w:rsid w:val="00D27EFA"/>
    <w:rsid w:val="00D3012E"/>
    <w:rsid w:val="00D3092D"/>
    <w:rsid w:val="00D30B67"/>
    <w:rsid w:val="00D30B86"/>
    <w:rsid w:val="00D30D1F"/>
    <w:rsid w:val="00D30E25"/>
    <w:rsid w:val="00D30FD1"/>
    <w:rsid w:val="00D30FE4"/>
    <w:rsid w:val="00D31458"/>
    <w:rsid w:val="00D31804"/>
    <w:rsid w:val="00D31924"/>
    <w:rsid w:val="00D319A9"/>
    <w:rsid w:val="00D31BD2"/>
    <w:rsid w:val="00D31D12"/>
    <w:rsid w:val="00D31D50"/>
    <w:rsid w:val="00D31DF2"/>
    <w:rsid w:val="00D324FF"/>
    <w:rsid w:val="00D3250A"/>
    <w:rsid w:val="00D325C0"/>
    <w:rsid w:val="00D3260C"/>
    <w:rsid w:val="00D32AD8"/>
    <w:rsid w:val="00D32E7A"/>
    <w:rsid w:val="00D32EDA"/>
    <w:rsid w:val="00D32F2B"/>
    <w:rsid w:val="00D337DF"/>
    <w:rsid w:val="00D33FBE"/>
    <w:rsid w:val="00D34828"/>
    <w:rsid w:val="00D3499A"/>
    <w:rsid w:val="00D34C82"/>
    <w:rsid w:val="00D35262"/>
    <w:rsid w:val="00D35396"/>
    <w:rsid w:val="00D355FB"/>
    <w:rsid w:val="00D35D6A"/>
    <w:rsid w:val="00D35E1B"/>
    <w:rsid w:val="00D35FDF"/>
    <w:rsid w:val="00D36815"/>
    <w:rsid w:val="00D36E6C"/>
    <w:rsid w:val="00D36F10"/>
    <w:rsid w:val="00D37308"/>
    <w:rsid w:val="00D37682"/>
    <w:rsid w:val="00D37692"/>
    <w:rsid w:val="00D376D6"/>
    <w:rsid w:val="00D3793B"/>
    <w:rsid w:val="00D405AC"/>
    <w:rsid w:val="00D40630"/>
    <w:rsid w:val="00D40695"/>
    <w:rsid w:val="00D40839"/>
    <w:rsid w:val="00D4084E"/>
    <w:rsid w:val="00D4093A"/>
    <w:rsid w:val="00D41029"/>
    <w:rsid w:val="00D410C3"/>
    <w:rsid w:val="00D412F3"/>
    <w:rsid w:val="00D419DD"/>
    <w:rsid w:val="00D41A92"/>
    <w:rsid w:val="00D41EA1"/>
    <w:rsid w:val="00D4212E"/>
    <w:rsid w:val="00D4228F"/>
    <w:rsid w:val="00D42A24"/>
    <w:rsid w:val="00D42E4B"/>
    <w:rsid w:val="00D43551"/>
    <w:rsid w:val="00D4364B"/>
    <w:rsid w:val="00D43952"/>
    <w:rsid w:val="00D43A31"/>
    <w:rsid w:val="00D4429B"/>
    <w:rsid w:val="00D44380"/>
    <w:rsid w:val="00D44EAF"/>
    <w:rsid w:val="00D45615"/>
    <w:rsid w:val="00D45652"/>
    <w:rsid w:val="00D45AA1"/>
    <w:rsid w:val="00D4602E"/>
    <w:rsid w:val="00D4679F"/>
    <w:rsid w:val="00D46BE8"/>
    <w:rsid w:val="00D46E09"/>
    <w:rsid w:val="00D46F5A"/>
    <w:rsid w:val="00D47674"/>
    <w:rsid w:val="00D477BA"/>
    <w:rsid w:val="00D47843"/>
    <w:rsid w:val="00D47933"/>
    <w:rsid w:val="00D47A55"/>
    <w:rsid w:val="00D502F1"/>
    <w:rsid w:val="00D507FE"/>
    <w:rsid w:val="00D5089B"/>
    <w:rsid w:val="00D50B1B"/>
    <w:rsid w:val="00D50F0B"/>
    <w:rsid w:val="00D50F7A"/>
    <w:rsid w:val="00D51257"/>
    <w:rsid w:val="00D51A54"/>
    <w:rsid w:val="00D51AE8"/>
    <w:rsid w:val="00D51C67"/>
    <w:rsid w:val="00D51D5A"/>
    <w:rsid w:val="00D5204B"/>
    <w:rsid w:val="00D520CF"/>
    <w:rsid w:val="00D52F09"/>
    <w:rsid w:val="00D534BF"/>
    <w:rsid w:val="00D5390B"/>
    <w:rsid w:val="00D53CA6"/>
    <w:rsid w:val="00D54810"/>
    <w:rsid w:val="00D54998"/>
    <w:rsid w:val="00D54B31"/>
    <w:rsid w:val="00D551F2"/>
    <w:rsid w:val="00D5536D"/>
    <w:rsid w:val="00D556D5"/>
    <w:rsid w:val="00D55870"/>
    <w:rsid w:val="00D55871"/>
    <w:rsid w:val="00D55C1A"/>
    <w:rsid w:val="00D55E13"/>
    <w:rsid w:val="00D5635A"/>
    <w:rsid w:val="00D56A71"/>
    <w:rsid w:val="00D578FE"/>
    <w:rsid w:val="00D60DEA"/>
    <w:rsid w:val="00D60F8A"/>
    <w:rsid w:val="00D60FEC"/>
    <w:rsid w:val="00D61464"/>
    <w:rsid w:val="00D61B44"/>
    <w:rsid w:val="00D621A0"/>
    <w:rsid w:val="00D6234C"/>
    <w:rsid w:val="00D627A8"/>
    <w:rsid w:val="00D62915"/>
    <w:rsid w:val="00D62AC0"/>
    <w:rsid w:val="00D62D7B"/>
    <w:rsid w:val="00D633F4"/>
    <w:rsid w:val="00D634C9"/>
    <w:rsid w:val="00D637E6"/>
    <w:rsid w:val="00D63888"/>
    <w:rsid w:val="00D63DE0"/>
    <w:rsid w:val="00D63EA8"/>
    <w:rsid w:val="00D63EEB"/>
    <w:rsid w:val="00D64341"/>
    <w:rsid w:val="00D651B2"/>
    <w:rsid w:val="00D652EF"/>
    <w:rsid w:val="00D6562C"/>
    <w:rsid w:val="00D65634"/>
    <w:rsid w:val="00D6596F"/>
    <w:rsid w:val="00D65A44"/>
    <w:rsid w:val="00D65C54"/>
    <w:rsid w:val="00D65EC1"/>
    <w:rsid w:val="00D65EFF"/>
    <w:rsid w:val="00D65FD1"/>
    <w:rsid w:val="00D66129"/>
    <w:rsid w:val="00D662DC"/>
    <w:rsid w:val="00D66457"/>
    <w:rsid w:val="00D66601"/>
    <w:rsid w:val="00D66BD5"/>
    <w:rsid w:val="00D66DB7"/>
    <w:rsid w:val="00D6706F"/>
    <w:rsid w:val="00D67995"/>
    <w:rsid w:val="00D67DFC"/>
    <w:rsid w:val="00D67E22"/>
    <w:rsid w:val="00D67FA9"/>
    <w:rsid w:val="00D7068A"/>
    <w:rsid w:val="00D7076E"/>
    <w:rsid w:val="00D70944"/>
    <w:rsid w:val="00D70A11"/>
    <w:rsid w:val="00D70AA1"/>
    <w:rsid w:val="00D71250"/>
    <w:rsid w:val="00D716A1"/>
    <w:rsid w:val="00D718AC"/>
    <w:rsid w:val="00D7281D"/>
    <w:rsid w:val="00D72FFE"/>
    <w:rsid w:val="00D73050"/>
    <w:rsid w:val="00D73653"/>
    <w:rsid w:val="00D73A1C"/>
    <w:rsid w:val="00D7406E"/>
    <w:rsid w:val="00D74551"/>
    <w:rsid w:val="00D7497D"/>
    <w:rsid w:val="00D74D1E"/>
    <w:rsid w:val="00D756CC"/>
    <w:rsid w:val="00D75B03"/>
    <w:rsid w:val="00D75C20"/>
    <w:rsid w:val="00D75CA9"/>
    <w:rsid w:val="00D76302"/>
    <w:rsid w:val="00D763C0"/>
    <w:rsid w:val="00D76A4D"/>
    <w:rsid w:val="00D76ED3"/>
    <w:rsid w:val="00D76F73"/>
    <w:rsid w:val="00D77106"/>
    <w:rsid w:val="00D7742A"/>
    <w:rsid w:val="00D7781B"/>
    <w:rsid w:val="00D77947"/>
    <w:rsid w:val="00D779DA"/>
    <w:rsid w:val="00D77B95"/>
    <w:rsid w:val="00D77C27"/>
    <w:rsid w:val="00D77F32"/>
    <w:rsid w:val="00D80109"/>
    <w:rsid w:val="00D80173"/>
    <w:rsid w:val="00D807B3"/>
    <w:rsid w:val="00D808CC"/>
    <w:rsid w:val="00D80EEE"/>
    <w:rsid w:val="00D81D77"/>
    <w:rsid w:val="00D8211A"/>
    <w:rsid w:val="00D821D5"/>
    <w:rsid w:val="00D82FCA"/>
    <w:rsid w:val="00D83137"/>
    <w:rsid w:val="00D8336A"/>
    <w:rsid w:val="00D833F2"/>
    <w:rsid w:val="00D8348D"/>
    <w:rsid w:val="00D8368B"/>
    <w:rsid w:val="00D839A1"/>
    <w:rsid w:val="00D83B66"/>
    <w:rsid w:val="00D83C23"/>
    <w:rsid w:val="00D83CB2"/>
    <w:rsid w:val="00D83F01"/>
    <w:rsid w:val="00D84143"/>
    <w:rsid w:val="00D84167"/>
    <w:rsid w:val="00D84616"/>
    <w:rsid w:val="00D8466F"/>
    <w:rsid w:val="00D84BE0"/>
    <w:rsid w:val="00D84C15"/>
    <w:rsid w:val="00D84EEC"/>
    <w:rsid w:val="00D856D9"/>
    <w:rsid w:val="00D85CB3"/>
    <w:rsid w:val="00D86205"/>
    <w:rsid w:val="00D86683"/>
    <w:rsid w:val="00D86DD2"/>
    <w:rsid w:val="00D86FF8"/>
    <w:rsid w:val="00D876B7"/>
    <w:rsid w:val="00D902BE"/>
    <w:rsid w:val="00D90AE6"/>
    <w:rsid w:val="00D90BCC"/>
    <w:rsid w:val="00D90DB1"/>
    <w:rsid w:val="00D9127C"/>
    <w:rsid w:val="00D91793"/>
    <w:rsid w:val="00D9182D"/>
    <w:rsid w:val="00D918CC"/>
    <w:rsid w:val="00D91CB8"/>
    <w:rsid w:val="00D927E2"/>
    <w:rsid w:val="00D9285A"/>
    <w:rsid w:val="00D92B7F"/>
    <w:rsid w:val="00D92C29"/>
    <w:rsid w:val="00D930DF"/>
    <w:rsid w:val="00D93214"/>
    <w:rsid w:val="00D93D3C"/>
    <w:rsid w:val="00D93E4D"/>
    <w:rsid w:val="00D94007"/>
    <w:rsid w:val="00D94100"/>
    <w:rsid w:val="00D9474B"/>
    <w:rsid w:val="00D94A91"/>
    <w:rsid w:val="00D94BAA"/>
    <w:rsid w:val="00D94C25"/>
    <w:rsid w:val="00D952B1"/>
    <w:rsid w:val="00D95514"/>
    <w:rsid w:val="00D9554D"/>
    <w:rsid w:val="00D956A2"/>
    <w:rsid w:val="00D957F8"/>
    <w:rsid w:val="00D95C80"/>
    <w:rsid w:val="00D95FA4"/>
    <w:rsid w:val="00D95FFE"/>
    <w:rsid w:val="00D9637F"/>
    <w:rsid w:val="00D96AD2"/>
    <w:rsid w:val="00D97417"/>
    <w:rsid w:val="00D97503"/>
    <w:rsid w:val="00D975C3"/>
    <w:rsid w:val="00D977C1"/>
    <w:rsid w:val="00D97924"/>
    <w:rsid w:val="00D9794B"/>
    <w:rsid w:val="00DA01DB"/>
    <w:rsid w:val="00DA0259"/>
    <w:rsid w:val="00DA03F7"/>
    <w:rsid w:val="00DA0731"/>
    <w:rsid w:val="00DA0CEF"/>
    <w:rsid w:val="00DA0DA0"/>
    <w:rsid w:val="00DA0F05"/>
    <w:rsid w:val="00DA0F5D"/>
    <w:rsid w:val="00DA10D4"/>
    <w:rsid w:val="00DA1160"/>
    <w:rsid w:val="00DA139B"/>
    <w:rsid w:val="00DA1649"/>
    <w:rsid w:val="00DA1769"/>
    <w:rsid w:val="00DA1E5B"/>
    <w:rsid w:val="00DA1F29"/>
    <w:rsid w:val="00DA1F6C"/>
    <w:rsid w:val="00DA2197"/>
    <w:rsid w:val="00DA21F4"/>
    <w:rsid w:val="00DA23EE"/>
    <w:rsid w:val="00DA2629"/>
    <w:rsid w:val="00DA3949"/>
    <w:rsid w:val="00DA3CBB"/>
    <w:rsid w:val="00DA44AE"/>
    <w:rsid w:val="00DA513B"/>
    <w:rsid w:val="00DA5165"/>
    <w:rsid w:val="00DA51A5"/>
    <w:rsid w:val="00DA5456"/>
    <w:rsid w:val="00DA5494"/>
    <w:rsid w:val="00DA58FB"/>
    <w:rsid w:val="00DA5C98"/>
    <w:rsid w:val="00DA6387"/>
    <w:rsid w:val="00DA64A0"/>
    <w:rsid w:val="00DA680F"/>
    <w:rsid w:val="00DA6D3D"/>
    <w:rsid w:val="00DA6D6F"/>
    <w:rsid w:val="00DA77D7"/>
    <w:rsid w:val="00DA7864"/>
    <w:rsid w:val="00DA7A40"/>
    <w:rsid w:val="00DA7C34"/>
    <w:rsid w:val="00DA7C76"/>
    <w:rsid w:val="00DA7E40"/>
    <w:rsid w:val="00DB0015"/>
    <w:rsid w:val="00DB0189"/>
    <w:rsid w:val="00DB038B"/>
    <w:rsid w:val="00DB0D04"/>
    <w:rsid w:val="00DB0E70"/>
    <w:rsid w:val="00DB1456"/>
    <w:rsid w:val="00DB17C8"/>
    <w:rsid w:val="00DB1A0B"/>
    <w:rsid w:val="00DB1CE4"/>
    <w:rsid w:val="00DB1F2D"/>
    <w:rsid w:val="00DB22F8"/>
    <w:rsid w:val="00DB25BE"/>
    <w:rsid w:val="00DB25E9"/>
    <w:rsid w:val="00DB2781"/>
    <w:rsid w:val="00DB311D"/>
    <w:rsid w:val="00DB4A84"/>
    <w:rsid w:val="00DB512B"/>
    <w:rsid w:val="00DB5390"/>
    <w:rsid w:val="00DB5712"/>
    <w:rsid w:val="00DB632A"/>
    <w:rsid w:val="00DB6498"/>
    <w:rsid w:val="00DB6595"/>
    <w:rsid w:val="00DB66E5"/>
    <w:rsid w:val="00DB6778"/>
    <w:rsid w:val="00DB68BF"/>
    <w:rsid w:val="00DB6D05"/>
    <w:rsid w:val="00DB7029"/>
    <w:rsid w:val="00DB72F6"/>
    <w:rsid w:val="00DB7304"/>
    <w:rsid w:val="00DB73D8"/>
    <w:rsid w:val="00DB749B"/>
    <w:rsid w:val="00DB7536"/>
    <w:rsid w:val="00DB7C65"/>
    <w:rsid w:val="00DC0175"/>
    <w:rsid w:val="00DC018B"/>
    <w:rsid w:val="00DC01E2"/>
    <w:rsid w:val="00DC04B5"/>
    <w:rsid w:val="00DC0ACA"/>
    <w:rsid w:val="00DC10FC"/>
    <w:rsid w:val="00DC15BE"/>
    <w:rsid w:val="00DC1C39"/>
    <w:rsid w:val="00DC240C"/>
    <w:rsid w:val="00DC27DC"/>
    <w:rsid w:val="00DC2E64"/>
    <w:rsid w:val="00DC2F00"/>
    <w:rsid w:val="00DC3100"/>
    <w:rsid w:val="00DC3202"/>
    <w:rsid w:val="00DC3248"/>
    <w:rsid w:val="00DC3249"/>
    <w:rsid w:val="00DC37DA"/>
    <w:rsid w:val="00DC40F7"/>
    <w:rsid w:val="00DC451A"/>
    <w:rsid w:val="00DC499B"/>
    <w:rsid w:val="00DC4AA5"/>
    <w:rsid w:val="00DC4BF9"/>
    <w:rsid w:val="00DC4CC6"/>
    <w:rsid w:val="00DC4D1A"/>
    <w:rsid w:val="00DC594C"/>
    <w:rsid w:val="00DC5B30"/>
    <w:rsid w:val="00DC5BFB"/>
    <w:rsid w:val="00DC5CCB"/>
    <w:rsid w:val="00DC6604"/>
    <w:rsid w:val="00DC6938"/>
    <w:rsid w:val="00DC6AB4"/>
    <w:rsid w:val="00DC6B9F"/>
    <w:rsid w:val="00DC74F7"/>
    <w:rsid w:val="00DC7994"/>
    <w:rsid w:val="00DC7AF3"/>
    <w:rsid w:val="00DC7BBE"/>
    <w:rsid w:val="00DC7C84"/>
    <w:rsid w:val="00DC7CC3"/>
    <w:rsid w:val="00DC7E3A"/>
    <w:rsid w:val="00DD0265"/>
    <w:rsid w:val="00DD05B9"/>
    <w:rsid w:val="00DD06E9"/>
    <w:rsid w:val="00DD0AF0"/>
    <w:rsid w:val="00DD0AF5"/>
    <w:rsid w:val="00DD0B0C"/>
    <w:rsid w:val="00DD0E53"/>
    <w:rsid w:val="00DD0FB8"/>
    <w:rsid w:val="00DD1059"/>
    <w:rsid w:val="00DD147D"/>
    <w:rsid w:val="00DD198D"/>
    <w:rsid w:val="00DD218F"/>
    <w:rsid w:val="00DD23A8"/>
    <w:rsid w:val="00DD2571"/>
    <w:rsid w:val="00DD2610"/>
    <w:rsid w:val="00DD27D6"/>
    <w:rsid w:val="00DD2B2F"/>
    <w:rsid w:val="00DD2BE5"/>
    <w:rsid w:val="00DD2ED2"/>
    <w:rsid w:val="00DD3112"/>
    <w:rsid w:val="00DD3173"/>
    <w:rsid w:val="00DD31C4"/>
    <w:rsid w:val="00DD3C53"/>
    <w:rsid w:val="00DD3F53"/>
    <w:rsid w:val="00DD3F63"/>
    <w:rsid w:val="00DD417C"/>
    <w:rsid w:val="00DD41F6"/>
    <w:rsid w:val="00DD44C1"/>
    <w:rsid w:val="00DD45D5"/>
    <w:rsid w:val="00DD48F8"/>
    <w:rsid w:val="00DD4D7A"/>
    <w:rsid w:val="00DD5486"/>
    <w:rsid w:val="00DD5E7C"/>
    <w:rsid w:val="00DD62DE"/>
    <w:rsid w:val="00DD6955"/>
    <w:rsid w:val="00DD6E86"/>
    <w:rsid w:val="00DD7225"/>
    <w:rsid w:val="00DD7445"/>
    <w:rsid w:val="00DD7763"/>
    <w:rsid w:val="00DD7A88"/>
    <w:rsid w:val="00DE0619"/>
    <w:rsid w:val="00DE082B"/>
    <w:rsid w:val="00DE0D10"/>
    <w:rsid w:val="00DE0F28"/>
    <w:rsid w:val="00DE0F2B"/>
    <w:rsid w:val="00DE195B"/>
    <w:rsid w:val="00DE1AC5"/>
    <w:rsid w:val="00DE1F18"/>
    <w:rsid w:val="00DE216D"/>
    <w:rsid w:val="00DE24B5"/>
    <w:rsid w:val="00DE24C6"/>
    <w:rsid w:val="00DE2658"/>
    <w:rsid w:val="00DE2A4B"/>
    <w:rsid w:val="00DE323F"/>
    <w:rsid w:val="00DE3652"/>
    <w:rsid w:val="00DE3A0C"/>
    <w:rsid w:val="00DE431D"/>
    <w:rsid w:val="00DE4975"/>
    <w:rsid w:val="00DE4A0A"/>
    <w:rsid w:val="00DE4B21"/>
    <w:rsid w:val="00DE5073"/>
    <w:rsid w:val="00DE57C6"/>
    <w:rsid w:val="00DE5895"/>
    <w:rsid w:val="00DE5AD2"/>
    <w:rsid w:val="00DE5B9F"/>
    <w:rsid w:val="00DE60EC"/>
    <w:rsid w:val="00DE62E4"/>
    <w:rsid w:val="00DE63CF"/>
    <w:rsid w:val="00DE6812"/>
    <w:rsid w:val="00DE6C87"/>
    <w:rsid w:val="00DE74BE"/>
    <w:rsid w:val="00DE7B37"/>
    <w:rsid w:val="00DE7CE0"/>
    <w:rsid w:val="00DE7DB9"/>
    <w:rsid w:val="00DE7F79"/>
    <w:rsid w:val="00DE7F82"/>
    <w:rsid w:val="00DF0097"/>
    <w:rsid w:val="00DF00ED"/>
    <w:rsid w:val="00DF0150"/>
    <w:rsid w:val="00DF015B"/>
    <w:rsid w:val="00DF02AA"/>
    <w:rsid w:val="00DF035D"/>
    <w:rsid w:val="00DF067B"/>
    <w:rsid w:val="00DF0BF6"/>
    <w:rsid w:val="00DF0F50"/>
    <w:rsid w:val="00DF112F"/>
    <w:rsid w:val="00DF1165"/>
    <w:rsid w:val="00DF12D4"/>
    <w:rsid w:val="00DF1428"/>
    <w:rsid w:val="00DF144B"/>
    <w:rsid w:val="00DF160F"/>
    <w:rsid w:val="00DF1B9A"/>
    <w:rsid w:val="00DF1C0D"/>
    <w:rsid w:val="00DF1ECC"/>
    <w:rsid w:val="00DF1F5F"/>
    <w:rsid w:val="00DF21F5"/>
    <w:rsid w:val="00DF2558"/>
    <w:rsid w:val="00DF2823"/>
    <w:rsid w:val="00DF2883"/>
    <w:rsid w:val="00DF2A0C"/>
    <w:rsid w:val="00DF2B3F"/>
    <w:rsid w:val="00DF3341"/>
    <w:rsid w:val="00DF3802"/>
    <w:rsid w:val="00DF3AB1"/>
    <w:rsid w:val="00DF4503"/>
    <w:rsid w:val="00DF4904"/>
    <w:rsid w:val="00DF5712"/>
    <w:rsid w:val="00DF581C"/>
    <w:rsid w:val="00DF5AB8"/>
    <w:rsid w:val="00DF5B1B"/>
    <w:rsid w:val="00DF62D6"/>
    <w:rsid w:val="00DF6324"/>
    <w:rsid w:val="00DF642E"/>
    <w:rsid w:val="00DF6614"/>
    <w:rsid w:val="00DF6A3A"/>
    <w:rsid w:val="00DF745F"/>
    <w:rsid w:val="00DF7632"/>
    <w:rsid w:val="00DF780E"/>
    <w:rsid w:val="00E00385"/>
    <w:rsid w:val="00E004AA"/>
    <w:rsid w:val="00E00E04"/>
    <w:rsid w:val="00E01440"/>
    <w:rsid w:val="00E01CC4"/>
    <w:rsid w:val="00E01DE9"/>
    <w:rsid w:val="00E0278A"/>
    <w:rsid w:val="00E02973"/>
    <w:rsid w:val="00E031ED"/>
    <w:rsid w:val="00E03589"/>
    <w:rsid w:val="00E03B31"/>
    <w:rsid w:val="00E03B34"/>
    <w:rsid w:val="00E040A9"/>
    <w:rsid w:val="00E042F8"/>
    <w:rsid w:val="00E04C38"/>
    <w:rsid w:val="00E05199"/>
    <w:rsid w:val="00E0528D"/>
    <w:rsid w:val="00E05571"/>
    <w:rsid w:val="00E0560F"/>
    <w:rsid w:val="00E059D6"/>
    <w:rsid w:val="00E05B58"/>
    <w:rsid w:val="00E05CD8"/>
    <w:rsid w:val="00E0665A"/>
    <w:rsid w:val="00E067A9"/>
    <w:rsid w:val="00E06A70"/>
    <w:rsid w:val="00E06BEC"/>
    <w:rsid w:val="00E06C7C"/>
    <w:rsid w:val="00E071D6"/>
    <w:rsid w:val="00E0770D"/>
    <w:rsid w:val="00E07853"/>
    <w:rsid w:val="00E07B5C"/>
    <w:rsid w:val="00E07B72"/>
    <w:rsid w:val="00E07BEA"/>
    <w:rsid w:val="00E07E04"/>
    <w:rsid w:val="00E1012B"/>
    <w:rsid w:val="00E1057E"/>
    <w:rsid w:val="00E105A7"/>
    <w:rsid w:val="00E106AD"/>
    <w:rsid w:val="00E1078C"/>
    <w:rsid w:val="00E10CD2"/>
    <w:rsid w:val="00E11050"/>
    <w:rsid w:val="00E1138B"/>
    <w:rsid w:val="00E11447"/>
    <w:rsid w:val="00E1194A"/>
    <w:rsid w:val="00E11A7A"/>
    <w:rsid w:val="00E127F6"/>
    <w:rsid w:val="00E128AD"/>
    <w:rsid w:val="00E129E4"/>
    <w:rsid w:val="00E12D27"/>
    <w:rsid w:val="00E132F8"/>
    <w:rsid w:val="00E13486"/>
    <w:rsid w:val="00E13740"/>
    <w:rsid w:val="00E13804"/>
    <w:rsid w:val="00E13818"/>
    <w:rsid w:val="00E13B44"/>
    <w:rsid w:val="00E13C81"/>
    <w:rsid w:val="00E13ECA"/>
    <w:rsid w:val="00E1492B"/>
    <w:rsid w:val="00E14ACC"/>
    <w:rsid w:val="00E14C13"/>
    <w:rsid w:val="00E14D7A"/>
    <w:rsid w:val="00E15196"/>
    <w:rsid w:val="00E152D9"/>
    <w:rsid w:val="00E155C9"/>
    <w:rsid w:val="00E1577C"/>
    <w:rsid w:val="00E15B1C"/>
    <w:rsid w:val="00E15FA5"/>
    <w:rsid w:val="00E162EE"/>
    <w:rsid w:val="00E164D4"/>
    <w:rsid w:val="00E16913"/>
    <w:rsid w:val="00E16A00"/>
    <w:rsid w:val="00E16ED3"/>
    <w:rsid w:val="00E16F9D"/>
    <w:rsid w:val="00E17CFC"/>
    <w:rsid w:val="00E20038"/>
    <w:rsid w:val="00E205F9"/>
    <w:rsid w:val="00E206A4"/>
    <w:rsid w:val="00E2094D"/>
    <w:rsid w:val="00E20AA8"/>
    <w:rsid w:val="00E20AC4"/>
    <w:rsid w:val="00E20C0C"/>
    <w:rsid w:val="00E21489"/>
    <w:rsid w:val="00E21F17"/>
    <w:rsid w:val="00E22279"/>
    <w:rsid w:val="00E2269B"/>
    <w:rsid w:val="00E233C3"/>
    <w:rsid w:val="00E23625"/>
    <w:rsid w:val="00E23744"/>
    <w:rsid w:val="00E23938"/>
    <w:rsid w:val="00E24194"/>
    <w:rsid w:val="00E243FE"/>
    <w:rsid w:val="00E24425"/>
    <w:rsid w:val="00E24C79"/>
    <w:rsid w:val="00E24D6A"/>
    <w:rsid w:val="00E24F46"/>
    <w:rsid w:val="00E254F3"/>
    <w:rsid w:val="00E264EC"/>
    <w:rsid w:val="00E265E4"/>
    <w:rsid w:val="00E26709"/>
    <w:rsid w:val="00E26B06"/>
    <w:rsid w:val="00E26BAE"/>
    <w:rsid w:val="00E26BF3"/>
    <w:rsid w:val="00E26E9B"/>
    <w:rsid w:val="00E2743A"/>
    <w:rsid w:val="00E2752B"/>
    <w:rsid w:val="00E2755F"/>
    <w:rsid w:val="00E27772"/>
    <w:rsid w:val="00E277A5"/>
    <w:rsid w:val="00E277A7"/>
    <w:rsid w:val="00E277EA"/>
    <w:rsid w:val="00E27C8F"/>
    <w:rsid w:val="00E27D86"/>
    <w:rsid w:val="00E27F1F"/>
    <w:rsid w:val="00E302E6"/>
    <w:rsid w:val="00E30672"/>
    <w:rsid w:val="00E30709"/>
    <w:rsid w:val="00E30DBB"/>
    <w:rsid w:val="00E30FAC"/>
    <w:rsid w:val="00E30FDD"/>
    <w:rsid w:val="00E30FE2"/>
    <w:rsid w:val="00E31161"/>
    <w:rsid w:val="00E314F5"/>
    <w:rsid w:val="00E318ED"/>
    <w:rsid w:val="00E31A29"/>
    <w:rsid w:val="00E31C63"/>
    <w:rsid w:val="00E32331"/>
    <w:rsid w:val="00E324AF"/>
    <w:rsid w:val="00E32E57"/>
    <w:rsid w:val="00E32FA7"/>
    <w:rsid w:val="00E332F3"/>
    <w:rsid w:val="00E33512"/>
    <w:rsid w:val="00E335C4"/>
    <w:rsid w:val="00E337B0"/>
    <w:rsid w:val="00E33F0B"/>
    <w:rsid w:val="00E34286"/>
    <w:rsid w:val="00E3443D"/>
    <w:rsid w:val="00E34841"/>
    <w:rsid w:val="00E34AFC"/>
    <w:rsid w:val="00E35333"/>
    <w:rsid w:val="00E3552F"/>
    <w:rsid w:val="00E36174"/>
    <w:rsid w:val="00E36372"/>
    <w:rsid w:val="00E363E9"/>
    <w:rsid w:val="00E367CC"/>
    <w:rsid w:val="00E36A7F"/>
    <w:rsid w:val="00E36C34"/>
    <w:rsid w:val="00E36C7E"/>
    <w:rsid w:val="00E36CD1"/>
    <w:rsid w:val="00E36E3E"/>
    <w:rsid w:val="00E373C9"/>
    <w:rsid w:val="00E37428"/>
    <w:rsid w:val="00E3755D"/>
    <w:rsid w:val="00E37654"/>
    <w:rsid w:val="00E37796"/>
    <w:rsid w:val="00E37A78"/>
    <w:rsid w:val="00E37D8E"/>
    <w:rsid w:val="00E37DFC"/>
    <w:rsid w:val="00E40123"/>
    <w:rsid w:val="00E402E6"/>
    <w:rsid w:val="00E40B02"/>
    <w:rsid w:val="00E40FA3"/>
    <w:rsid w:val="00E41BB7"/>
    <w:rsid w:val="00E41C61"/>
    <w:rsid w:val="00E41F30"/>
    <w:rsid w:val="00E41F85"/>
    <w:rsid w:val="00E42279"/>
    <w:rsid w:val="00E4227C"/>
    <w:rsid w:val="00E4248B"/>
    <w:rsid w:val="00E42E48"/>
    <w:rsid w:val="00E431C6"/>
    <w:rsid w:val="00E433ED"/>
    <w:rsid w:val="00E43416"/>
    <w:rsid w:val="00E4348E"/>
    <w:rsid w:val="00E439F5"/>
    <w:rsid w:val="00E43D53"/>
    <w:rsid w:val="00E43DEE"/>
    <w:rsid w:val="00E442F5"/>
    <w:rsid w:val="00E4472B"/>
    <w:rsid w:val="00E4482B"/>
    <w:rsid w:val="00E44A3F"/>
    <w:rsid w:val="00E44DC1"/>
    <w:rsid w:val="00E454C2"/>
    <w:rsid w:val="00E45803"/>
    <w:rsid w:val="00E45C14"/>
    <w:rsid w:val="00E45F3A"/>
    <w:rsid w:val="00E4614B"/>
    <w:rsid w:val="00E462E8"/>
    <w:rsid w:val="00E4633E"/>
    <w:rsid w:val="00E46673"/>
    <w:rsid w:val="00E46E05"/>
    <w:rsid w:val="00E46F55"/>
    <w:rsid w:val="00E471E7"/>
    <w:rsid w:val="00E4722C"/>
    <w:rsid w:val="00E473DD"/>
    <w:rsid w:val="00E475F7"/>
    <w:rsid w:val="00E47B0B"/>
    <w:rsid w:val="00E5011D"/>
    <w:rsid w:val="00E502A2"/>
    <w:rsid w:val="00E503FB"/>
    <w:rsid w:val="00E50412"/>
    <w:rsid w:val="00E5073F"/>
    <w:rsid w:val="00E5076B"/>
    <w:rsid w:val="00E50A42"/>
    <w:rsid w:val="00E50FCB"/>
    <w:rsid w:val="00E51B03"/>
    <w:rsid w:val="00E51B64"/>
    <w:rsid w:val="00E51FE8"/>
    <w:rsid w:val="00E521B1"/>
    <w:rsid w:val="00E5259B"/>
    <w:rsid w:val="00E52A62"/>
    <w:rsid w:val="00E52BEF"/>
    <w:rsid w:val="00E52CAB"/>
    <w:rsid w:val="00E52D58"/>
    <w:rsid w:val="00E52EA7"/>
    <w:rsid w:val="00E52EBC"/>
    <w:rsid w:val="00E53517"/>
    <w:rsid w:val="00E536BF"/>
    <w:rsid w:val="00E53B31"/>
    <w:rsid w:val="00E53BBB"/>
    <w:rsid w:val="00E53E04"/>
    <w:rsid w:val="00E53FCF"/>
    <w:rsid w:val="00E54186"/>
    <w:rsid w:val="00E543E0"/>
    <w:rsid w:val="00E547DC"/>
    <w:rsid w:val="00E54849"/>
    <w:rsid w:val="00E5485C"/>
    <w:rsid w:val="00E548ED"/>
    <w:rsid w:val="00E549D3"/>
    <w:rsid w:val="00E55884"/>
    <w:rsid w:val="00E55C9E"/>
    <w:rsid w:val="00E5604B"/>
    <w:rsid w:val="00E561C4"/>
    <w:rsid w:val="00E56219"/>
    <w:rsid w:val="00E5652B"/>
    <w:rsid w:val="00E5656A"/>
    <w:rsid w:val="00E56AF8"/>
    <w:rsid w:val="00E56C96"/>
    <w:rsid w:val="00E56DCC"/>
    <w:rsid w:val="00E56E68"/>
    <w:rsid w:val="00E576B3"/>
    <w:rsid w:val="00E577BA"/>
    <w:rsid w:val="00E57AB7"/>
    <w:rsid w:val="00E57CA3"/>
    <w:rsid w:val="00E57CB3"/>
    <w:rsid w:val="00E60017"/>
    <w:rsid w:val="00E611E0"/>
    <w:rsid w:val="00E61422"/>
    <w:rsid w:val="00E616DE"/>
    <w:rsid w:val="00E619E7"/>
    <w:rsid w:val="00E61A16"/>
    <w:rsid w:val="00E61DBD"/>
    <w:rsid w:val="00E620CE"/>
    <w:rsid w:val="00E6284A"/>
    <w:rsid w:val="00E62931"/>
    <w:rsid w:val="00E62CE2"/>
    <w:rsid w:val="00E636D4"/>
    <w:rsid w:val="00E6375B"/>
    <w:rsid w:val="00E638CC"/>
    <w:rsid w:val="00E63CFD"/>
    <w:rsid w:val="00E6410A"/>
    <w:rsid w:val="00E6423C"/>
    <w:rsid w:val="00E64244"/>
    <w:rsid w:val="00E643B5"/>
    <w:rsid w:val="00E6451A"/>
    <w:rsid w:val="00E6451C"/>
    <w:rsid w:val="00E647B2"/>
    <w:rsid w:val="00E64DD7"/>
    <w:rsid w:val="00E64E35"/>
    <w:rsid w:val="00E651DE"/>
    <w:rsid w:val="00E6545D"/>
    <w:rsid w:val="00E659F3"/>
    <w:rsid w:val="00E65B32"/>
    <w:rsid w:val="00E65B5C"/>
    <w:rsid w:val="00E65DB3"/>
    <w:rsid w:val="00E65F10"/>
    <w:rsid w:val="00E660E9"/>
    <w:rsid w:val="00E661F8"/>
    <w:rsid w:val="00E6695C"/>
    <w:rsid w:val="00E66B5F"/>
    <w:rsid w:val="00E67634"/>
    <w:rsid w:val="00E677DA"/>
    <w:rsid w:val="00E67D15"/>
    <w:rsid w:val="00E70031"/>
    <w:rsid w:val="00E701B0"/>
    <w:rsid w:val="00E704DF"/>
    <w:rsid w:val="00E70CD8"/>
    <w:rsid w:val="00E70CF8"/>
    <w:rsid w:val="00E70DE0"/>
    <w:rsid w:val="00E70FFC"/>
    <w:rsid w:val="00E7133E"/>
    <w:rsid w:val="00E71431"/>
    <w:rsid w:val="00E7149B"/>
    <w:rsid w:val="00E71A01"/>
    <w:rsid w:val="00E71C6E"/>
    <w:rsid w:val="00E71D8A"/>
    <w:rsid w:val="00E71E95"/>
    <w:rsid w:val="00E71EF0"/>
    <w:rsid w:val="00E728B8"/>
    <w:rsid w:val="00E72EC2"/>
    <w:rsid w:val="00E73098"/>
    <w:rsid w:val="00E7325A"/>
    <w:rsid w:val="00E73289"/>
    <w:rsid w:val="00E73705"/>
    <w:rsid w:val="00E7381C"/>
    <w:rsid w:val="00E73F8C"/>
    <w:rsid w:val="00E7404F"/>
    <w:rsid w:val="00E74101"/>
    <w:rsid w:val="00E74271"/>
    <w:rsid w:val="00E7474F"/>
    <w:rsid w:val="00E7484C"/>
    <w:rsid w:val="00E74D32"/>
    <w:rsid w:val="00E754F4"/>
    <w:rsid w:val="00E75875"/>
    <w:rsid w:val="00E75C51"/>
    <w:rsid w:val="00E760DD"/>
    <w:rsid w:val="00E766CF"/>
    <w:rsid w:val="00E76D1D"/>
    <w:rsid w:val="00E76EAE"/>
    <w:rsid w:val="00E77061"/>
    <w:rsid w:val="00E7744E"/>
    <w:rsid w:val="00E775F3"/>
    <w:rsid w:val="00E77741"/>
    <w:rsid w:val="00E77AD2"/>
    <w:rsid w:val="00E8003E"/>
    <w:rsid w:val="00E80094"/>
    <w:rsid w:val="00E8049A"/>
    <w:rsid w:val="00E804AD"/>
    <w:rsid w:val="00E8096A"/>
    <w:rsid w:val="00E8128E"/>
    <w:rsid w:val="00E81C00"/>
    <w:rsid w:val="00E81CC2"/>
    <w:rsid w:val="00E81D57"/>
    <w:rsid w:val="00E81F8E"/>
    <w:rsid w:val="00E82706"/>
    <w:rsid w:val="00E82B35"/>
    <w:rsid w:val="00E82BD6"/>
    <w:rsid w:val="00E82D9B"/>
    <w:rsid w:val="00E82E31"/>
    <w:rsid w:val="00E83138"/>
    <w:rsid w:val="00E831F5"/>
    <w:rsid w:val="00E83A54"/>
    <w:rsid w:val="00E83AD0"/>
    <w:rsid w:val="00E83C1D"/>
    <w:rsid w:val="00E84616"/>
    <w:rsid w:val="00E847AE"/>
    <w:rsid w:val="00E84A7A"/>
    <w:rsid w:val="00E84FF1"/>
    <w:rsid w:val="00E853F9"/>
    <w:rsid w:val="00E8566F"/>
    <w:rsid w:val="00E8570D"/>
    <w:rsid w:val="00E857B1"/>
    <w:rsid w:val="00E85882"/>
    <w:rsid w:val="00E858C0"/>
    <w:rsid w:val="00E85C8F"/>
    <w:rsid w:val="00E8627A"/>
    <w:rsid w:val="00E862B6"/>
    <w:rsid w:val="00E86A63"/>
    <w:rsid w:val="00E86B9A"/>
    <w:rsid w:val="00E86FA9"/>
    <w:rsid w:val="00E87109"/>
    <w:rsid w:val="00E8714F"/>
    <w:rsid w:val="00E87179"/>
    <w:rsid w:val="00E87181"/>
    <w:rsid w:val="00E87216"/>
    <w:rsid w:val="00E87579"/>
    <w:rsid w:val="00E87972"/>
    <w:rsid w:val="00E87BB0"/>
    <w:rsid w:val="00E902A8"/>
    <w:rsid w:val="00E907C1"/>
    <w:rsid w:val="00E9082C"/>
    <w:rsid w:val="00E90BDD"/>
    <w:rsid w:val="00E91021"/>
    <w:rsid w:val="00E91CDD"/>
    <w:rsid w:val="00E91D45"/>
    <w:rsid w:val="00E91DF4"/>
    <w:rsid w:val="00E9228D"/>
    <w:rsid w:val="00E92660"/>
    <w:rsid w:val="00E929D4"/>
    <w:rsid w:val="00E92D49"/>
    <w:rsid w:val="00E92E69"/>
    <w:rsid w:val="00E93257"/>
    <w:rsid w:val="00E934A0"/>
    <w:rsid w:val="00E937CF"/>
    <w:rsid w:val="00E93955"/>
    <w:rsid w:val="00E9411A"/>
    <w:rsid w:val="00E941DC"/>
    <w:rsid w:val="00E94323"/>
    <w:rsid w:val="00E94825"/>
    <w:rsid w:val="00E9498D"/>
    <w:rsid w:val="00E94F8F"/>
    <w:rsid w:val="00E951C2"/>
    <w:rsid w:val="00E95391"/>
    <w:rsid w:val="00E953AD"/>
    <w:rsid w:val="00E95444"/>
    <w:rsid w:val="00E967CC"/>
    <w:rsid w:val="00E96D97"/>
    <w:rsid w:val="00E97034"/>
    <w:rsid w:val="00E977B9"/>
    <w:rsid w:val="00E97900"/>
    <w:rsid w:val="00E97BAB"/>
    <w:rsid w:val="00EA01D0"/>
    <w:rsid w:val="00EA0414"/>
    <w:rsid w:val="00EA049A"/>
    <w:rsid w:val="00EA058C"/>
    <w:rsid w:val="00EA0680"/>
    <w:rsid w:val="00EA0D3F"/>
    <w:rsid w:val="00EA12AA"/>
    <w:rsid w:val="00EA1A14"/>
    <w:rsid w:val="00EA1E76"/>
    <w:rsid w:val="00EA1ED8"/>
    <w:rsid w:val="00EA2150"/>
    <w:rsid w:val="00EA25AD"/>
    <w:rsid w:val="00EA2FDF"/>
    <w:rsid w:val="00EA307D"/>
    <w:rsid w:val="00EA315C"/>
    <w:rsid w:val="00EA356A"/>
    <w:rsid w:val="00EA3641"/>
    <w:rsid w:val="00EA36B2"/>
    <w:rsid w:val="00EA3B12"/>
    <w:rsid w:val="00EA3C63"/>
    <w:rsid w:val="00EA3CD8"/>
    <w:rsid w:val="00EA441C"/>
    <w:rsid w:val="00EA4F3A"/>
    <w:rsid w:val="00EA5679"/>
    <w:rsid w:val="00EA581D"/>
    <w:rsid w:val="00EA5EF3"/>
    <w:rsid w:val="00EA6348"/>
    <w:rsid w:val="00EA65BB"/>
    <w:rsid w:val="00EA6C24"/>
    <w:rsid w:val="00EA6FD1"/>
    <w:rsid w:val="00EA72D2"/>
    <w:rsid w:val="00EA7424"/>
    <w:rsid w:val="00EA7678"/>
    <w:rsid w:val="00EA7C83"/>
    <w:rsid w:val="00EA7C8E"/>
    <w:rsid w:val="00EA7E44"/>
    <w:rsid w:val="00EB054D"/>
    <w:rsid w:val="00EB058F"/>
    <w:rsid w:val="00EB07C5"/>
    <w:rsid w:val="00EB0C9C"/>
    <w:rsid w:val="00EB0E68"/>
    <w:rsid w:val="00EB1101"/>
    <w:rsid w:val="00EB11E3"/>
    <w:rsid w:val="00EB139F"/>
    <w:rsid w:val="00EB151C"/>
    <w:rsid w:val="00EB197D"/>
    <w:rsid w:val="00EB1B23"/>
    <w:rsid w:val="00EB1B52"/>
    <w:rsid w:val="00EB1B82"/>
    <w:rsid w:val="00EB1DD5"/>
    <w:rsid w:val="00EB2160"/>
    <w:rsid w:val="00EB23B8"/>
    <w:rsid w:val="00EB23F3"/>
    <w:rsid w:val="00EB242E"/>
    <w:rsid w:val="00EB2568"/>
    <w:rsid w:val="00EB261E"/>
    <w:rsid w:val="00EB2C5C"/>
    <w:rsid w:val="00EB2EE1"/>
    <w:rsid w:val="00EB3376"/>
    <w:rsid w:val="00EB4D8C"/>
    <w:rsid w:val="00EB4D9C"/>
    <w:rsid w:val="00EB5180"/>
    <w:rsid w:val="00EB5657"/>
    <w:rsid w:val="00EB57C1"/>
    <w:rsid w:val="00EB5CE0"/>
    <w:rsid w:val="00EB5D6F"/>
    <w:rsid w:val="00EB5DD8"/>
    <w:rsid w:val="00EB5F61"/>
    <w:rsid w:val="00EB611F"/>
    <w:rsid w:val="00EB61C1"/>
    <w:rsid w:val="00EB63E4"/>
    <w:rsid w:val="00EB66E2"/>
    <w:rsid w:val="00EB734D"/>
    <w:rsid w:val="00EB7514"/>
    <w:rsid w:val="00EB76D3"/>
    <w:rsid w:val="00EB79E7"/>
    <w:rsid w:val="00EB7A2E"/>
    <w:rsid w:val="00EB7BFD"/>
    <w:rsid w:val="00EB7E60"/>
    <w:rsid w:val="00EB7FC5"/>
    <w:rsid w:val="00EC0060"/>
    <w:rsid w:val="00EC07FD"/>
    <w:rsid w:val="00EC09D7"/>
    <w:rsid w:val="00EC104F"/>
    <w:rsid w:val="00EC108E"/>
    <w:rsid w:val="00EC1368"/>
    <w:rsid w:val="00EC190F"/>
    <w:rsid w:val="00EC1AC7"/>
    <w:rsid w:val="00EC1BD3"/>
    <w:rsid w:val="00EC22F7"/>
    <w:rsid w:val="00EC2312"/>
    <w:rsid w:val="00EC2347"/>
    <w:rsid w:val="00EC25DE"/>
    <w:rsid w:val="00EC290A"/>
    <w:rsid w:val="00EC2DDA"/>
    <w:rsid w:val="00EC305A"/>
    <w:rsid w:val="00EC325E"/>
    <w:rsid w:val="00EC361E"/>
    <w:rsid w:val="00EC37E1"/>
    <w:rsid w:val="00EC3BA9"/>
    <w:rsid w:val="00EC3FA2"/>
    <w:rsid w:val="00EC3FCB"/>
    <w:rsid w:val="00EC4085"/>
    <w:rsid w:val="00EC4158"/>
    <w:rsid w:val="00EC4944"/>
    <w:rsid w:val="00EC4CE8"/>
    <w:rsid w:val="00EC4D11"/>
    <w:rsid w:val="00EC5287"/>
    <w:rsid w:val="00EC59AE"/>
    <w:rsid w:val="00EC5FA1"/>
    <w:rsid w:val="00EC67A3"/>
    <w:rsid w:val="00EC6A2D"/>
    <w:rsid w:val="00EC6A3C"/>
    <w:rsid w:val="00EC6CF7"/>
    <w:rsid w:val="00EC7115"/>
    <w:rsid w:val="00EC72A4"/>
    <w:rsid w:val="00EC7404"/>
    <w:rsid w:val="00EC7527"/>
    <w:rsid w:val="00EC7898"/>
    <w:rsid w:val="00EC7AD8"/>
    <w:rsid w:val="00EC7B9A"/>
    <w:rsid w:val="00EC7D36"/>
    <w:rsid w:val="00EC7D6F"/>
    <w:rsid w:val="00ED0038"/>
    <w:rsid w:val="00ED00AE"/>
    <w:rsid w:val="00ED00CD"/>
    <w:rsid w:val="00ED018F"/>
    <w:rsid w:val="00ED07A6"/>
    <w:rsid w:val="00ED08A0"/>
    <w:rsid w:val="00ED1106"/>
    <w:rsid w:val="00ED1351"/>
    <w:rsid w:val="00ED14EC"/>
    <w:rsid w:val="00ED167C"/>
    <w:rsid w:val="00ED1760"/>
    <w:rsid w:val="00ED1FC1"/>
    <w:rsid w:val="00ED21D3"/>
    <w:rsid w:val="00ED21E3"/>
    <w:rsid w:val="00ED28AF"/>
    <w:rsid w:val="00ED28EF"/>
    <w:rsid w:val="00ED2BC2"/>
    <w:rsid w:val="00ED2C0B"/>
    <w:rsid w:val="00ED2D9F"/>
    <w:rsid w:val="00ED2EC4"/>
    <w:rsid w:val="00ED300C"/>
    <w:rsid w:val="00ED3494"/>
    <w:rsid w:val="00ED3825"/>
    <w:rsid w:val="00ED3C63"/>
    <w:rsid w:val="00ED3D04"/>
    <w:rsid w:val="00ED4039"/>
    <w:rsid w:val="00ED425A"/>
    <w:rsid w:val="00ED4446"/>
    <w:rsid w:val="00ED56CD"/>
    <w:rsid w:val="00ED5A9C"/>
    <w:rsid w:val="00ED5C9A"/>
    <w:rsid w:val="00ED62B9"/>
    <w:rsid w:val="00ED6616"/>
    <w:rsid w:val="00ED6ADE"/>
    <w:rsid w:val="00ED6C42"/>
    <w:rsid w:val="00ED6DE6"/>
    <w:rsid w:val="00ED76F6"/>
    <w:rsid w:val="00ED7BA9"/>
    <w:rsid w:val="00ED7D13"/>
    <w:rsid w:val="00EE0016"/>
    <w:rsid w:val="00EE0430"/>
    <w:rsid w:val="00EE0A81"/>
    <w:rsid w:val="00EE0FF1"/>
    <w:rsid w:val="00EE14C1"/>
    <w:rsid w:val="00EE153E"/>
    <w:rsid w:val="00EE1594"/>
    <w:rsid w:val="00EE1716"/>
    <w:rsid w:val="00EE1AA0"/>
    <w:rsid w:val="00EE1D85"/>
    <w:rsid w:val="00EE1FE9"/>
    <w:rsid w:val="00EE22E6"/>
    <w:rsid w:val="00EE249C"/>
    <w:rsid w:val="00EE2A30"/>
    <w:rsid w:val="00EE2E9B"/>
    <w:rsid w:val="00EE3872"/>
    <w:rsid w:val="00EE3A74"/>
    <w:rsid w:val="00EE3ABB"/>
    <w:rsid w:val="00EE3D17"/>
    <w:rsid w:val="00EE4845"/>
    <w:rsid w:val="00EE4F76"/>
    <w:rsid w:val="00EE51E5"/>
    <w:rsid w:val="00EE5558"/>
    <w:rsid w:val="00EE5618"/>
    <w:rsid w:val="00EE58AC"/>
    <w:rsid w:val="00EE5924"/>
    <w:rsid w:val="00EE5938"/>
    <w:rsid w:val="00EE5D33"/>
    <w:rsid w:val="00EE60B3"/>
    <w:rsid w:val="00EE61F3"/>
    <w:rsid w:val="00EE6C4E"/>
    <w:rsid w:val="00EE6E0C"/>
    <w:rsid w:val="00EE71F4"/>
    <w:rsid w:val="00EE75E8"/>
    <w:rsid w:val="00EE7829"/>
    <w:rsid w:val="00EE7CB9"/>
    <w:rsid w:val="00EF009A"/>
    <w:rsid w:val="00EF0563"/>
    <w:rsid w:val="00EF0896"/>
    <w:rsid w:val="00EF0A55"/>
    <w:rsid w:val="00EF0F60"/>
    <w:rsid w:val="00EF12F0"/>
    <w:rsid w:val="00EF190E"/>
    <w:rsid w:val="00EF1CE6"/>
    <w:rsid w:val="00EF2182"/>
    <w:rsid w:val="00EF23AC"/>
    <w:rsid w:val="00EF244B"/>
    <w:rsid w:val="00EF2A78"/>
    <w:rsid w:val="00EF2CDE"/>
    <w:rsid w:val="00EF34EA"/>
    <w:rsid w:val="00EF379F"/>
    <w:rsid w:val="00EF381B"/>
    <w:rsid w:val="00EF3974"/>
    <w:rsid w:val="00EF3E43"/>
    <w:rsid w:val="00EF3EDC"/>
    <w:rsid w:val="00EF4044"/>
    <w:rsid w:val="00EF4C2E"/>
    <w:rsid w:val="00EF4F17"/>
    <w:rsid w:val="00EF508A"/>
    <w:rsid w:val="00EF5140"/>
    <w:rsid w:val="00EF5180"/>
    <w:rsid w:val="00EF5387"/>
    <w:rsid w:val="00EF549E"/>
    <w:rsid w:val="00EF5B70"/>
    <w:rsid w:val="00EF5CFC"/>
    <w:rsid w:val="00EF6661"/>
    <w:rsid w:val="00EF6741"/>
    <w:rsid w:val="00EF6926"/>
    <w:rsid w:val="00EF694B"/>
    <w:rsid w:val="00EF6A40"/>
    <w:rsid w:val="00EF6BBA"/>
    <w:rsid w:val="00EF6CAB"/>
    <w:rsid w:val="00EF6CDB"/>
    <w:rsid w:val="00EF72C3"/>
    <w:rsid w:val="00EF72EB"/>
    <w:rsid w:val="00EF75A9"/>
    <w:rsid w:val="00EF7E61"/>
    <w:rsid w:val="00EF7E74"/>
    <w:rsid w:val="00EF7FAE"/>
    <w:rsid w:val="00F00D65"/>
    <w:rsid w:val="00F00E32"/>
    <w:rsid w:val="00F01612"/>
    <w:rsid w:val="00F01622"/>
    <w:rsid w:val="00F01A22"/>
    <w:rsid w:val="00F01A56"/>
    <w:rsid w:val="00F01A79"/>
    <w:rsid w:val="00F01C1A"/>
    <w:rsid w:val="00F025A6"/>
    <w:rsid w:val="00F02800"/>
    <w:rsid w:val="00F032DD"/>
    <w:rsid w:val="00F03446"/>
    <w:rsid w:val="00F035DC"/>
    <w:rsid w:val="00F036A2"/>
    <w:rsid w:val="00F03ABD"/>
    <w:rsid w:val="00F03AE5"/>
    <w:rsid w:val="00F03DD9"/>
    <w:rsid w:val="00F04764"/>
    <w:rsid w:val="00F04A4E"/>
    <w:rsid w:val="00F05EF3"/>
    <w:rsid w:val="00F06117"/>
    <w:rsid w:val="00F061E0"/>
    <w:rsid w:val="00F0649B"/>
    <w:rsid w:val="00F066B0"/>
    <w:rsid w:val="00F066CF"/>
    <w:rsid w:val="00F067EF"/>
    <w:rsid w:val="00F06815"/>
    <w:rsid w:val="00F069A3"/>
    <w:rsid w:val="00F06A34"/>
    <w:rsid w:val="00F07152"/>
    <w:rsid w:val="00F073AD"/>
    <w:rsid w:val="00F07434"/>
    <w:rsid w:val="00F07555"/>
    <w:rsid w:val="00F07986"/>
    <w:rsid w:val="00F10345"/>
    <w:rsid w:val="00F10702"/>
    <w:rsid w:val="00F108F4"/>
    <w:rsid w:val="00F109C3"/>
    <w:rsid w:val="00F10C5B"/>
    <w:rsid w:val="00F11246"/>
    <w:rsid w:val="00F115B2"/>
    <w:rsid w:val="00F11943"/>
    <w:rsid w:val="00F11DC6"/>
    <w:rsid w:val="00F11FB7"/>
    <w:rsid w:val="00F12209"/>
    <w:rsid w:val="00F12394"/>
    <w:rsid w:val="00F1259C"/>
    <w:rsid w:val="00F126AB"/>
    <w:rsid w:val="00F12B12"/>
    <w:rsid w:val="00F13360"/>
    <w:rsid w:val="00F1349A"/>
    <w:rsid w:val="00F13619"/>
    <w:rsid w:val="00F137B0"/>
    <w:rsid w:val="00F137F6"/>
    <w:rsid w:val="00F14174"/>
    <w:rsid w:val="00F154B0"/>
    <w:rsid w:val="00F157EA"/>
    <w:rsid w:val="00F158DB"/>
    <w:rsid w:val="00F15A84"/>
    <w:rsid w:val="00F15B12"/>
    <w:rsid w:val="00F15C06"/>
    <w:rsid w:val="00F15C17"/>
    <w:rsid w:val="00F15D8E"/>
    <w:rsid w:val="00F15E2C"/>
    <w:rsid w:val="00F16074"/>
    <w:rsid w:val="00F160E7"/>
    <w:rsid w:val="00F163C2"/>
    <w:rsid w:val="00F164D2"/>
    <w:rsid w:val="00F16C7A"/>
    <w:rsid w:val="00F16E0A"/>
    <w:rsid w:val="00F17270"/>
    <w:rsid w:val="00F173F7"/>
    <w:rsid w:val="00F1755F"/>
    <w:rsid w:val="00F176F6"/>
    <w:rsid w:val="00F1780D"/>
    <w:rsid w:val="00F1795D"/>
    <w:rsid w:val="00F179A0"/>
    <w:rsid w:val="00F17B8F"/>
    <w:rsid w:val="00F20074"/>
    <w:rsid w:val="00F213C6"/>
    <w:rsid w:val="00F214CD"/>
    <w:rsid w:val="00F21E40"/>
    <w:rsid w:val="00F221E5"/>
    <w:rsid w:val="00F22A28"/>
    <w:rsid w:val="00F22AEE"/>
    <w:rsid w:val="00F22BB5"/>
    <w:rsid w:val="00F22CA1"/>
    <w:rsid w:val="00F22E37"/>
    <w:rsid w:val="00F22F0E"/>
    <w:rsid w:val="00F2352C"/>
    <w:rsid w:val="00F2379F"/>
    <w:rsid w:val="00F237A3"/>
    <w:rsid w:val="00F23BC1"/>
    <w:rsid w:val="00F24087"/>
    <w:rsid w:val="00F2426C"/>
    <w:rsid w:val="00F24367"/>
    <w:rsid w:val="00F2461E"/>
    <w:rsid w:val="00F246F8"/>
    <w:rsid w:val="00F24B09"/>
    <w:rsid w:val="00F25529"/>
    <w:rsid w:val="00F26A87"/>
    <w:rsid w:val="00F2727A"/>
    <w:rsid w:val="00F27311"/>
    <w:rsid w:val="00F27363"/>
    <w:rsid w:val="00F301AA"/>
    <w:rsid w:val="00F30363"/>
    <w:rsid w:val="00F303F4"/>
    <w:rsid w:val="00F30B5B"/>
    <w:rsid w:val="00F30D32"/>
    <w:rsid w:val="00F311D3"/>
    <w:rsid w:val="00F31845"/>
    <w:rsid w:val="00F31BA9"/>
    <w:rsid w:val="00F321E7"/>
    <w:rsid w:val="00F323C6"/>
    <w:rsid w:val="00F32464"/>
    <w:rsid w:val="00F3251A"/>
    <w:rsid w:val="00F32C8B"/>
    <w:rsid w:val="00F32DBA"/>
    <w:rsid w:val="00F330AA"/>
    <w:rsid w:val="00F3382C"/>
    <w:rsid w:val="00F33DCA"/>
    <w:rsid w:val="00F33DFA"/>
    <w:rsid w:val="00F341C1"/>
    <w:rsid w:val="00F341EE"/>
    <w:rsid w:val="00F34680"/>
    <w:rsid w:val="00F34F9B"/>
    <w:rsid w:val="00F351A1"/>
    <w:rsid w:val="00F3576B"/>
    <w:rsid w:val="00F35B03"/>
    <w:rsid w:val="00F35E50"/>
    <w:rsid w:val="00F35FEC"/>
    <w:rsid w:val="00F363E2"/>
    <w:rsid w:val="00F3669D"/>
    <w:rsid w:val="00F367B1"/>
    <w:rsid w:val="00F36A6E"/>
    <w:rsid w:val="00F3747A"/>
    <w:rsid w:val="00F37512"/>
    <w:rsid w:val="00F375C9"/>
    <w:rsid w:val="00F37CD7"/>
    <w:rsid w:val="00F37F4A"/>
    <w:rsid w:val="00F37FBB"/>
    <w:rsid w:val="00F37FCB"/>
    <w:rsid w:val="00F40074"/>
    <w:rsid w:val="00F40BE9"/>
    <w:rsid w:val="00F40FB4"/>
    <w:rsid w:val="00F41224"/>
    <w:rsid w:val="00F41521"/>
    <w:rsid w:val="00F41569"/>
    <w:rsid w:val="00F415D8"/>
    <w:rsid w:val="00F4175C"/>
    <w:rsid w:val="00F4191B"/>
    <w:rsid w:val="00F41A73"/>
    <w:rsid w:val="00F425D2"/>
    <w:rsid w:val="00F42B4F"/>
    <w:rsid w:val="00F42DE3"/>
    <w:rsid w:val="00F432E2"/>
    <w:rsid w:val="00F4351B"/>
    <w:rsid w:val="00F43C9F"/>
    <w:rsid w:val="00F43F87"/>
    <w:rsid w:val="00F443ED"/>
    <w:rsid w:val="00F446B7"/>
    <w:rsid w:val="00F4491F"/>
    <w:rsid w:val="00F44C03"/>
    <w:rsid w:val="00F44D89"/>
    <w:rsid w:val="00F4503D"/>
    <w:rsid w:val="00F450DC"/>
    <w:rsid w:val="00F452FB"/>
    <w:rsid w:val="00F455D5"/>
    <w:rsid w:val="00F45888"/>
    <w:rsid w:val="00F46174"/>
    <w:rsid w:val="00F465A9"/>
    <w:rsid w:val="00F46689"/>
    <w:rsid w:val="00F46D2D"/>
    <w:rsid w:val="00F46E53"/>
    <w:rsid w:val="00F46F12"/>
    <w:rsid w:val="00F46F9C"/>
    <w:rsid w:val="00F47065"/>
    <w:rsid w:val="00F47481"/>
    <w:rsid w:val="00F4769F"/>
    <w:rsid w:val="00F47FB7"/>
    <w:rsid w:val="00F5003A"/>
    <w:rsid w:val="00F507BE"/>
    <w:rsid w:val="00F50837"/>
    <w:rsid w:val="00F508B3"/>
    <w:rsid w:val="00F50CB2"/>
    <w:rsid w:val="00F514F5"/>
    <w:rsid w:val="00F51A1B"/>
    <w:rsid w:val="00F51EE1"/>
    <w:rsid w:val="00F51F47"/>
    <w:rsid w:val="00F52AC7"/>
    <w:rsid w:val="00F53065"/>
    <w:rsid w:val="00F530C0"/>
    <w:rsid w:val="00F5330E"/>
    <w:rsid w:val="00F53368"/>
    <w:rsid w:val="00F5359A"/>
    <w:rsid w:val="00F538F5"/>
    <w:rsid w:val="00F539E4"/>
    <w:rsid w:val="00F53A28"/>
    <w:rsid w:val="00F54207"/>
    <w:rsid w:val="00F544E0"/>
    <w:rsid w:val="00F54D06"/>
    <w:rsid w:val="00F54EEA"/>
    <w:rsid w:val="00F5516B"/>
    <w:rsid w:val="00F5519A"/>
    <w:rsid w:val="00F551D6"/>
    <w:rsid w:val="00F55490"/>
    <w:rsid w:val="00F55A41"/>
    <w:rsid w:val="00F56228"/>
    <w:rsid w:val="00F5629A"/>
    <w:rsid w:val="00F56611"/>
    <w:rsid w:val="00F5665A"/>
    <w:rsid w:val="00F56C0F"/>
    <w:rsid w:val="00F5730D"/>
    <w:rsid w:val="00F5739F"/>
    <w:rsid w:val="00F57757"/>
    <w:rsid w:val="00F578C7"/>
    <w:rsid w:val="00F578EF"/>
    <w:rsid w:val="00F579A0"/>
    <w:rsid w:val="00F57C0A"/>
    <w:rsid w:val="00F600BF"/>
    <w:rsid w:val="00F60782"/>
    <w:rsid w:val="00F6099C"/>
    <w:rsid w:val="00F60A5B"/>
    <w:rsid w:val="00F61225"/>
    <w:rsid w:val="00F61CAF"/>
    <w:rsid w:val="00F620F6"/>
    <w:rsid w:val="00F62328"/>
    <w:rsid w:val="00F62B70"/>
    <w:rsid w:val="00F630DB"/>
    <w:rsid w:val="00F6350F"/>
    <w:rsid w:val="00F6361C"/>
    <w:rsid w:val="00F642C0"/>
    <w:rsid w:val="00F6431D"/>
    <w:rsid w:val="00F64503"/>
    <w:rsid w:val="00F64507"/>
    <w:rsid w:val="00F6462D"/>
    <w:rsid w:val="00F64728"/>
    <w:rsid w:val="00F64E02"/>
    <w:rsid w:val="00F64F1B"/>
    <w:rsid w:val="00F6557E"/>
    <w:rsid w:val="00F6596F"/>
    <w:rsid w:val="00F66040"/>
    <w:rsid w:val="00F668F7"/>
    <w:rsid w:val="00F66BEF"/>
    <w:rsid w:val="00F66C1A"/>
    <w:rsid w:val="00F66C90"/>
    <w:rsid w:val="00F66F31"/>
    <w:rsid w:val="00F67474"/>
    <w:rsid w:val="00F67601"/>
    <w:rsid w:val="00F676D7"/>
    <w:rsid w:val="00F677A2"/>
    <w:rsid w:val="00F704F3"/>
    <w:rsid w:val="00F70C08"/>
    <w:rsid w:val="00F70D68"/>
    <w:rsid w:val="00F70FED"/>
    <w:rsid w:val="00F7137C"/>
    <w:rsid w:val="00F72096"/>
    <w:rsid w:val="00F72168"/>
    <w:rsid w:val="00F723FA"/>
    <w:rsid w:val="00F72412"/>
    <w:rsid w:val="00F7253F"/>
    <w:rsid w:val="00F72693"/>
    <w:rsid w:val="00F726DE"/>
    <w:rsid w:val="00F7276C"/>
    <w:rsid w:val="00F72EC4"/>
    <w:rsid w:val="00F730A2"/>
    <w:rsid w:val="00F73416"/>
    <w:rsid w:val="00F736D1"/>
    <w:rsid w:val="00F7386B"/>
    <w:rsid w:val="00F73886"/>
    <w:rsid w:val="00F73DDF"/>
    <w:rsid w:val="00F7439B"/>
    <w:rsid w:val="00F743FC"/>
    <w:rsid w:val="00F748C7"/>
    <w:rsid w:val="00F74B61"/>
    <w:rsid w:val="00F74F72"/>
    <w:rsid w:val="00F750A6"/>
    <w:rsid w:val="00F7516A"/>
    <w:rsid w:val="00F7547C"/>
    <w:rsid w:val="00F756AA"/>
    <w:rsid w:val="00F75C46"/>
    <w:rsid w:val="00F75E91"/>
    <w:rsid w:val="00F767A7"/>
    <w:rsid w:val="00F76A2B"/>
    <w:rsid w:val="00F76C0E"/>
    <w:rsid w:val="00F76C9A"/>
    <w:rsid w:val="00F777DA"/>
    <w:rsid w:val="00F77947"/>
    <w:rsid w:val="00F77D58"/>
    <w:rsid w:val="00F80BF3"/>
    <w:rsid w:val="00F80FA6"/>
    <w:rsid w:val="00F8154E"/>
    <w:rsid w:val="00F81918"/>
    <w:rsid w:val="00F819CD"/>
    <w:rsid w:val="00F81C0A"/>
    <w:rsid w:val="00F81D4D"/>
    <w:rsid w:val="00F821F9"/>
    <w:rsid w:val="00F82206"/>
    <w:rsid w:val="00F823C6"/>
    <w:rsid w:val="00F82416"/>
    <w:rsid w:val="00F8273B"/>
    <w:rsid w:val="00F82A9D"/>
    <w:rsid w:val="00F82C64"/>
    <w:rsid w:val="00F8317B"/>
    <w:rsid w:val="00F8321D"/>
    <w:rsid w:val="00F8327C"/>
    <w:rsid w:val="00F833B6"/>
    <w:rsid w:val="00F8389A"/>
    <w:rsid w:val="00F839C4"/>
    <w:rsid w:val="00F83C63"/>
    <w:rsid w:val="00F84001"/>
    <w:rsid w:val="00F84259"/>
    <w:rsid w:val="00F84348"/>
    <w:rsid w:val="00F84A25"/>
    <w:rsid w:val="00F852D3"/>
    <w:rsid w:val="00F85BF5"/>
    <w:rsid w:val="00F85C28"/>
    <w:rsid w:val="00F85CAE"/>
    <w:rsid w:val="00F85D2B"/>
    <w:rsid w:val="00F85DA0"/>
    <w:rsid w:val="00F8611D"/>
    <w:rsid w:val="00F861A7"/>
    <w:rsid w:val="00F86604"/>
    <w:rsid w:val="00F8682B"/>
    <w:rsid w:val="00F868B6"/>
    <w:rsid w:val="00F87744"/>
    <w:rsid w:val="00F87D55"/>
    <w:rsid w:val="00F901AF"/>
    <w:rsid w:val="00F9039C"/>
    <w:rsid w:val="00F9063D"/>
    <w:rsid w:val="00F9069F"/>
    <w:rsid w:val="00F90EC2"/>
    <w:rsid w:val="00F90F12"/>
    <w:rsid w:val="00F910ED"/>
    <w:rsid w:val="00F912EA"/>
    <w:rsid w:val="00F916E8"/>
    <w:rsid w:val="00F9170B"/>
    <w:rsid w:val="00F91A17"/>
    <w:rsid w:val="00F91B84"/>
    <w:rsid w:val="00F91C1A"/>
    <w:rsid w:val="00F91E3C"/>
    <w:rsid w:val="00F920C7"/>
    <w:rsid w:val="00F9257D"/>
    <w:rsid w:val="00F9264C"/>
    <w:rsid w:val="00F92A7E"/>
    <w:rsid w:val="00F92B57"/>
    <w:rsid w:val="00F92E0B"/>
    <w:rsid w:val="00F93175"/>
    <w:rsid w:val="00F9326A"/>
    <w:rsid w:val="00F933FE"/>
    <w:rsid w:val="00F93C7E"/>
    <w:rsid w:val="00F93C90"/>
    <w:rsid w:val="00F93CE0"/>
    <w:rsid w:val="00F9458D"/>
    <w:rsid w:val="00F94865"/>
    <w:rsid w:val="00F94A87"/>
    <w:rsid w:val="00F94D81"/>
    <w:rsid w:val="00F94F1D"/>
    <w:rsid w:val="00F95069"/>
    <w:rsid w:val="00F95296"/>
    <w:rsid w:val="00F9556C"/>
    <w:rsid w:val="00F95E04"/>
    <w:rsid w:val="00F95F85"/>
    <w:rsid w:val="00F96027"/>
    <w:rsid w:val="00F96555"/>
    <w:rsid w:val="00F96633"/>
    <w:rsid w:val="00F96694"/>
    <w:rsid w:val="00F96794"/>
    <w:rsid w:val="00F96CB0"/>
    <w:rsid w:val="00F97325"/>
    <w:rsid w:val="00F9777F"/>
    <w:rsid w:val="00F979D2"/>
    <w:rsid w:val="00FA02AD"/>
    <w:rsid w:val="00FA03F6"/>
    <w:rsid w:val="00FA04BE"/>
    <w:rsid w:val="00FA074C"/>
    <w:rsid w:val="00FA0A94"/>
    <w:rsid w:val="00FA0AAA"/>
    <w:rsid w:val="00FA0DA8"/>
    <w:rsid w:val="00FA0EEC"/>
    <w:rsid w:val="00FA14E5"/>
    <w:rsid w:val="00FA1706"/>
    <w:rsid w:val="00FA179B"/>
    <w:rsid w:val="00FA180E"/>
    <w:rsid w:val="00FA193A"/>
    <w:rsid w:val="00FA2190"/>
    <w:rsid w:val="00FA21E1"/>
    <w:rsid w:val="00FA248E"/>
    <w:rsid w:val="00FA24BA"/>
    <w:rsid w:val="00FA2A73"/>
    <w:rsid w:val="00FA2B4C"/>
    <w:rsid w:val="00FA2BEA"/>
    <w:rsid w:val="00FA2D6E"/>
    <w:rsid w:val="00FA2E2D"/>
    <w:rsid w:val="00FA33FA"/>
    <w:rsid w:val="00FA352C"/>
    <w:rsid w:val="00FA355B"/>
    <w:rsid w:val="00FA3A3F"/>
    <w:rsid w:val="00FA3AC0"/>
    <w:rsid w:val="00FA413E"/>
    <w:rsid w:val="00FA434A"/>
    <w:rsid w:val="00FA4663"/>
    <w:rsid w:val="00FA4A56"/>
    <w:rsid w:val="00FA4B11"/>
    <w:rsid w:val="00FA4E00"/>
    <w:rsid w:val="00FA4FEB"/>
    <w:rsid w:val="00FA50B4"/>
    <w:rsid w:val="00FA5843"/>
    <w:rsid w:val="00FA5BDC"/>
    <w:rsid w:val="00FA61B1"/>
    <w:rsid w:val="00FA6336"/>
    <w:rsid w:val="00FA6363"/>
    <w:rsid w:val="00FA64C1"/>
    <w:rsid w:val="00FA6738"/>
    <w:rsid w:val="00FA6821"/>
    <w:rsid w:val="00FA6EB5"/>
    <w:rsid w:val="00FA6FA8"/>
    <w:rsid w:val="00FA7247"/>
    <w:rsid w:val="00FA7375"/>
    <w:rsid w:val="00FA739C"/>
    <w:rsid w:val="00FA7A0E"/>
    <w:rsid w:val="00FA7BBC"/>
    <w:rsid w:val="00FA7DD8"/>
    <w:rsid w:val="00FB0074"/>
    <w:rsid w:val="00FB045C"/>
    <w:rsid w:val="00FB0A18"/>
    <w:rsid w:val="00FB0D04"/>
    <w:rsid w:val="00FB0D4B"/>
    <w:rsid w:val="00FB1063"/>
    <w:rsid w:val="00FB1444"/>
    <w:rsid w:val="00FB1886"/>
    <w:rsid w:val="00FB1D8B"/>
    <w:rsid w:val="00FB1E29"/>
    <w:rsid w:val="00FB2240"/>
    <w:rsid w:val="00FB278A"/>
    <w:rsid w:val="00FB284F"/>
    <w:rsid w:val="00FB28CD"/>
    <w:rsid w:val="00FB2CE1"/>
    <w:rsid w:val="00FB2DC8"/>
    <w:rsid w:val="00FB3018"/>
    <w:rsid w:val="00FB39F8"/>
    <w:rsid w:val="00FB3D46"/>
    <w:rsid w:val="00FB44D7"/>
    <w:rsid w:val="00FB4547"/>
    <w:rsid w:val="00FB4E18"/>
    <w:rsid w:val="00FB5965"/>
    <w:rsid w:val="00FB5C17"/>
    <w:rsid w:val="00FB5E5F"/>
    <w:rsid w:val="00FB63AB"/>
    <w:rsid w:val="00FB665A"/>
    <w:rsid w:val="00FB66C5"/>
    <w:rsid w:val="00FB6A15"/>
    <w:rsid w:val="00FB6F02"/>
    <w:rsid w:val="00FB74A6"/>
    <w:rsid w:val="00FB74C8"/>
    <w:rsid w:val="00FB752F"/>
    <w:rsid w:val="00FB7549"/>
    <w:rsid w:val="00FB76F8"/>
    <w:rsid w:val="00FB788C"/>
    <w:rsid w:val="00FB7944"/>
    <w:rsid w:val="00FB7BFB"/>
    <w:rsid w:val="00FC0280"/>
    <w:rsid w:val="00FC06D6"/>
    <w:rsid w:val="00FC0D48"/>
    <w:rsid w:val="00FC0DFF"/>
    <w:rsid w:val="00FC1190"/>
    <w:rsid w:val="00FC11E2"/>
    <w:rsid w:val="00FC1BCD"/>
    <w:rsid w:val="00FC1F39"/>
    <w:rsid w:val="00FC2541"/>
    <w:rsid w:val="00FC2622"/>
    <w:rsid w:val="00FC27E1"/>
    <w:rsid w:val="00FC2DDE"/>
    <w:rsid w:val="00FC33FC"/>
    <w:rsid w:val="00FC3A8E"/>
    <w:rsid w:val="00FC419F"/>
    <w:rsid w:val="00FC4318"/>
    <w:rsid w:val="00FC4470"/>
    <w:rsid w:val="00FC4D76"/>
    <w:rsid w:val="00FC4D77"/>
    <w:rsid w:val="00FC5068"/>
    <w:rsid w:val="00FC562A"/>
    <w:rsid w:val="00FC5881"/>
    <w:rsid w:val="00FC5C74"/>
    <w:rsid w:val="00FC5D26"/>
    <w:rsid w:val="00FC5F17"/>
    <w:rsid w:val="00FC6450"/>
    <w:rsid w:val="00FC66D4"/>
    <w:rsid w:val="00FC6865"/>
    <w:rsid w:val="00FC6AEC"/>
    <w:rsid w:val="00FC6DF2"/>
    <w:rsid w:val="00FC7065"/>
    <w:rsid w:val="00FC70B4"/>
    <w:rsid w:val="00FC7103"/>
    <w:rsid w:val="00FC7133"/>
    <w:rsid w:val="00FC76DF"/>
    <w:rsid w:val="00FC772C"/>
    <w:rsid w:val="00FC7C96"/>
    <w:rsid w:val="00FC7EE9"/>
    <w:rsid w:val="00FD0210"/>
    <w:rsid w:val="00FD0214"/>
    <w:rsid w:val="00FD068F"/>
    <w:rsid w:val="00FD0870"/>
    <w:rsid w:val="00FD0E30"/>
    <w:rsid w:val="00FD1012"/>
    <w:rsid w:val="00FD138E"/>
    <w:rsid w:val="00FD15F5"/>
    <w:rsid w:val="00FD1B54"/>
    <w:rsid w:val="00FD1DE2"/>
    <w:rsid w:val="00FD1EC9"/>
    <w:rsid w:val="00FD1F60"/>
    <w:rsid w:val="00FD2017"/>
    <w:rsid w:val="00FD2743"/>
    <w:rsid w:val="00FD2B1E"/>
    <w:rsid w:val="00FD2E83"/>
    <w:rsid w:val="00FD30BE"/>
    <w:rsid w:val="00FD36D4"/>
    <w:rsid w:val="00FD4AE1"/>
    <w:rsid w:val="00FD4AF8"/>
    <w:rsid w:val="00FD56FB"/>
    <w:rsid w:val="00FD582D"/>
    <w:rsid w:val="00FD5F19"/>
    <w:rsid w:val="00FD637C"/>
    <w:rsid w:val="00FD68CB"/>
    <w:rsid w:val="00FD6B3F"/>
    <w:rsid w:val="00FD6CC7"/>
    <w:rsid w:val="00FD6F91"/>
    <w:rsid w:val="00FD73A5"/>
    <w:rsid w:val="00FD77FD"/>
    <w:rsid w:val="00FD7CA6"/>
    <w:rsid w:val="00FD7F46"/>
    <w:rsid w:val="00FE0157"/>
    <w:rsid w:val="00FE020F"/>
    <w:rsid w:val="00FE0430"/>
    <w:rsid w:val="00FE0524"/>
    <w:rsid w:val="00FE058E"/>
    <w:rsid w:val="00FE0763"/>
    <w:rsid w:val="00FE0B75"/>
    <w:rsid w:val="00FE0CFC"/>
    <w:rsid w:val="00FE0EC4"/>
    <w:rsid w:val="00FE1139"/>
    <w:rsid w:val="00FE115B"/>
    <w:rsid w:val="00FE1B07"/>
    <w:rsid w:val="00FE1BD4"/>
    <w:rsid w:val="00FE1C65"/>
    <w:rsid w:val="00FE261F"/>
    <w:rsid w:val="00FE2C15"/>
    <w:rsid w:val="00FE2EBF"/>
    <w:rsid w:val="00FE2F73"/>
    <w:rsid w:val="00FE3809"/>
    <w:rsid w:val="00FE3F36"/>
    <w:rsid w:val="00FE41FF"/>
    <w:rsid w:val="00FE421C"/>
    <w:rsid w:val="00FE4CF5"/>
    <w:rsid w:val="00FE4F22"/>
    <w:rsid w:val="00FE5737"/>
    <w:rsid w:val="00FE57D8"/>
    <w:rsid w:val="00FE598A"/>
    <w:rsid w:val="00FE5FEB"/>
    <w:rsid w:val="00FE63DD"/>
    <w:rsid w:val="00FE63FD"/>
    <w:rsid w:val="00FE65E0"/>
    <w:rsid w:val="00FE6AD5"/>
    <w:rsid w:val="00FE6D16"/>
    <w:rsid w:val="00FE6E1A"/>
    <w:rsid w:val="00FE6F2B"/>
    <w:rsid w:val="00FE704B"/>
    <w:rsid w:val="00FE7160"/>
    <w:rsid w:val="00FE7304"/>
    <w:rsid w:val="00FE76C1"/>
    <w:rsid w:val="00FE798B"/>
    <w:rsid w:val="00FE7A74"/>
    <w:rsid w:val="00FE7E8B"/>
    <w:rsid w:val="00FF0265"/>
    <w:rsid w:val="00FF0CD4"/>
    <w:rsid w:val="00FF10DB"/>
    <w:rsid w:val="00FF113F"/>
    <w:rsid w:val="00FF146F"/>
    <w:rsid w:val="00FF194F"/>
    <w:rsid w:val="00FF1A34"/>
    <w:rsid w:val="00FF1E0B"/>
    <w:rsid w:val="00FF1FFA"/>
    <w:rsid w:val="00FF2448"/>
    <w:rsid w:val="00FF261A"/>
    <w:rsid w:val="00FF2F67"/>
    <w:rsid w:val="00FF357B"/>
    <w:rsid w:val="00FF3636"/>
    <w:rsid w:val="00FF36CB"/>
    <w:rsid w:val="00FF38E8"/>
    <w:rsid w:val="00FF3920"/>
    <w:rsid w:val="00FF3CAC"/>
    <w:rsid w:val="00FF3E48"/>
    <w:rsid w:val="00FF3EA6"/>
    <w:rsid w:val="00FF3FD0"/>
    <w:rsid w:val="00FF474B"/>
    <w:rsid w:val="00FF475E"/>
    <w:rsid w:val="00FF5243"/>
    <w:rsid w:val="00FF539C"/>
    <w:rsid w:val="00FF56BA"/>
    <w:rsid w:val="00FF59B8"/>
    <w:rsid w:val="00FF5B20"/>
    <w:rsid w:val="00FF5D24"/>
    <w:rsid w:val="00FF5D86"/>
    <w:rsid w:val="00FF671C"/>
    <w:rsid w:val="00FF692C"/>
    <w:rsid w:val="00FF7070"/>
    <w:rsid w:val="00FF716A"/>
    <w:rsid w:val="00FF79BD"/>
    <w:rsid w:val="00FF7CC3"/>
    <w:rsid w:val="00FF7EDC"/>
    <w:rsid w:val="00FF7FA0"/>
    <w:rsid w:val="01000B17"/>
    <w:rsid w:val="010016D4"/>
    <w:rsid w:val="01007149"/>
    <w:rsid w:val="01013D9F"/>
    <w:rsid w:val="010158D6"/>
    <w:rsid w:val="01024C93"/>
    <w:rsid w:val="0103604C"/>
    <w:rsid w:val="01037859"/>
    <w:rsid w:val="0104287C"/>
    <w:rsid w:val="01050F22"/>
    <w:rsid w:val="01057174"/>
    <w:rsid w:val="010806B1"/>
    <w:rsid w:val="0108358B"/>
    <w:rsid w:val="01093F50"/>
    <w:rsid w:val="010A1351"/>
    <w:rsid w:val="010B30E3"/>
    <w:rsid w:val="010B405F"/>
    <w:rsid w:val="010B7C69"/>
    <w:rsid w:val="010C3ADF"/>
    <w:rsid w:val="010F3599"/>
    <w:rsid w:val="0110559F"/>
    <w:rsid w:val="011131D6"/>
    <w:rsid w:val="011138F0"/>
    <w:rsid w:val="01113D6B"/>
    <w:rsid w:val="01115835"/>
    <w:rsid w:val="011164C1"/>
    <w:rsid w:val="011257BE"/>
    <w:rsid w:val="01126A09"/>
    <w:rsid w:val="01140146"/>
    <w:rsid w:val="0114696D"/>
    <w:rsid w:val="0117050B"/>
    <w:rsid w:val="01171617"/>
    <w:rsid w:val="011765AA"/>
    <w:rsid w:val="01192C1F"/>
    <w:rsid w:val="01197824"/>
    <w:rsid w:val="011A1402"/>
    <w:rsid w:val="011B68C3"/>
    <w:rsid w:val="011C6309"/>
    <w:rsid w:val="011C7BDF"/>
    <w:rsid w:val="011D7131"/>
    <w:rsid w:val="011E492D"/>
    <w:rsid w:val="011F632D"/>
    <w:rsid w:val="01216340"/>
    <w:rsid w:val="01235183"/>
    <w:rsid w:val="01235D3A"/>
    <w:rsid w:val="0124642E"/>
    <w:rsid w:val="01250321"/>
    <w:rsid w:val="01251650"/>
    <w:rsid w:val="012623A9"/>
    <w:rsid w:val="01265791"/>
    <w:rsid w:val="01266CE7"/>
    <w:rsid w:val="01267613"/>
    <w:rsid w:val="01280DE2"/>
    <w:rsid w:val="01283D91"/>
    <w:rsid w:val="01285EB0"/>
    <w:rsid w:val="01297564"/>
    <w:rsid w:val="012A58C3"/>
    <w:rsid w:val="012A6DB4"/>
    <w:rsid w:val="012B4701"/>
    <w:rsid w:val="012D5D7B"/>
    <w:rsid w:val="012F3004"/>
    <w:rsid w:val="01301C55"/>
    <w:rsid w:val="0131560C"/>
    <w:rsid w:val="01333E66"/>
    <w:rsid w:val="0133483E"/>
    <w:rsid w:val="013426C3"/>
    <w:rsid w:val="0135027F"/>
    <w:rsid w:val="01351894"/>
    <w:rsid w:val="01352E88"/>
    <w:rsid w:val="01357F39"/>
    <w:rsid w:val="01361D70"/>
    <w:rsid w:val="01365CBB"/>
    <w:rsid w:val="01372051"/>
    <w:rsid w:val="01376735"/>
    <w:rsid w:val="01391E16"/>
    <w:rsid w:val="013A1EF3"/>
    <w:rsid w:val="013A220F"/>
    <w:rsid w:val="013B4D07"/>
    <w:rsid w:val="013E61E2"/>
    <w:rsid w:val="013F3E50"/>
    <w:rsid w:val="01431A4A"/>
    <w:rsid w:val="01450DC1"/>
    <w:rsid w:val="01466EE3"/>
    <w:rsid w:val="01467227"/>
    <w:rsid w:val="01474C74"/>
    <w:rsid w:val="01475D04"/>
    <w:rsid w:val="014852B3"/>
    <w:rsid w:val="014A4806"/>
    <w:rsid w:val="014A5728"/>
    <w:rsid w:val="014B1D90"/>
    <w:rsid w:val="014C75DD"/>
    <w:rsid w:val="014D13AF"/>
    <w:rsid w:val="014D1F33"/>
    <w:rsid w:val="014E01BA"/>
    <w:rsid w:val="014F4893"/>
    <w:rsid w:val="014F5055"/>
    <w:rsid w:val="01504A25"/>
    <w:rsid w:val="01510D83"/>
    <w:rsid w:val="01510F6A"/>
    <w:rsid w:val="015213EE"/>
    <w:rsid w:val="0152347A"/>
    <w:rsid w:val="01527FF8"/>
    <w:rsid w:val="01534D0E"/>
    <w:rsid w:val="01536A94"/>
    <w:rsid w:val="015467A2"/>
    <w:rsid w:val="01551ABD"/>
    <w:rsid w:val="0156179D"/>
    <w:rsid w:val="01564263"/>
    <w:rsid w:val="015669A8"/>
    <w:rsid w:val="0159301C"/>
    <w:rsid w:val="015A13AA"/>
    <w:rsid w:val="015B7B3A"/>
    <w:rsid w:val="015D0D5E"/>
    <w:rsid w:val="015D58BE"/>
    <w:rsid w:val="015D59FE"/>
    <w:rsid w:val="015E6884"/>
    <w:rsid w:val="016000FF"/>
    <w:rsid w:val="0160261F"/>
    <w:rsid w:val="016043AA"/>
    <w:rsid w:val="01610122"/>
    <w:rsid w:val="016177F1"/>
    <w:rsid w:val="016541FC"/>
    <w:rsid w:val="01687703"/>
    <w:rsid w:val="01693A1A"/>
    <w:rsid w:val="016C162B"/>
    <w:rsid w:val="016D64D6"/>
    <w:rsid w:val="016E2E23"/>
    <w:rsid w:val="016E5043"/>
    <w:rsid w:val="017052C2"/>
    <w:rsid w:val="01706713"/>
    <w:rsid w:val="017168E0"/>
    <w:rsid w:val="01721B83"/>
    <w:rsid w:val="017471F2"/>
    <w:rsid w:val="01785F13"/>
    <w:rsid w:val="01787946"/>
    <w:rsid w:val="01794352"/>
    <w:rsid w:val="01795DC8"/>
    <w:rsid w:val="017B11E4"/>
    <w:rsid w:val="017B429C"/>
    <w:rsid w:val="017B464B"/>
    <w:rsid w:val="017C414C"/>
    <w:rsid w:val="017E5331"/>
    <w:rsid w:val="018001E2"/>
    <w:rsid w:val="01811DBB"/>
    <w:rsid w:val="01816825"/>
    <w:rsid w:val="01830099"/>
    <w:rsid w:val="01837A71"/>
    <w:rsid w:val="018502B5"/>
    <w:rsid w:val="0185070A"/>
    <w:rsid w:val="01853E11"/>
    <w:rsid w:val="018855FA"/>
    <w:rsid w:val="018874B3"/>
    <w:rsid w:val="018877D3"/>
    <w:rsid w:val="01887C2A"/>
    <w:rsid w:val="01892352"/>
    <w:rsid w:val="018941C0"/>
    <w:rsid w:val="01894A6D"/>
    <w:rsid w:val="018A583C"/>
    <w:rsid w:val="018A7679"/>
    <w:rsid w:val="018B5B16"/>
    <w:rsid w:val="018C0765"/>
    <w:rsid w:val="018D0DE1"/>
    <w:rsid w:val="018D1303"/>
    <w:rsid w:val="018E1CA5"/>
    <w:rsid w:val="018E79D1"/>
    <w:rsid w:val="018F5166"/>
    <w:rsid w:val="018F522B"/>
    <w:rsid w:val="01917FDE"/>
    <w:rsid w:val="01920047"/>
    <w:rsid w:val="01925296"/>
    <w:rsid w:val="01932D86"/>
    <w:rsid w:val="01942730"/>
    <w:rsid w:val="0194674A"/>
    <w:rsid w:val="01947D97"/>
    <w:rsid w:val="01965B57"/>
    <w:rsid w:val="019708DF"/>
    <w:rsid w:val="01983A63"/>
    <w:rsid w:val="01991D03"/>
    <w:rsid w:val="01995B0E"/>
    <w:rsid w:val="019A1AB1"/>
    <w:rsid w:val="019B6F29"/>
    <w:rsid w:val="019B77FF"/>
    <w:rsid w:val="01A05184"/>
    <w:rsid w:val="01A24EAB"/>
    <w:rsid w:val="01A5618B"/>
    <w:rsid w:val="01A7146D"/>
    <w:rsid w:val="01A826CA"/>
    <w:rsid w:val="01A958ED"/>
    <w:rsid w:val="01A96179"/>
    <w:rsid w:val="01AA4EAC"/>
    <w:rsid w:val="01AD12CC"/>
    <w:rsid w:val="01AD3BC8"/>
    <w:rsid w:val="01AE27B4"/>
    <w:rsid w:val="01AE5944"/>
    <w:rsid w:val="01AE7758"/>
    <w:rsid w:val="01B11599"/>
    <w:rsid w:val="01B31207"/>
    <w:rsid w:val="01B31F0F"/>
    <w:rsid w:val="01B37E32"/>
    <w:rsid w:val="01B42948"/>
    <w:rsid w:val="01B42E0F"/>
    <w:rsid w:val="01B430A1"/>
    <w:rsid w:val="01B4527D"/>
    <w:rsid w:val="01B61EA8"/>
    <w:rsid w:val="01B636FE"/>
    <w:rsid w:val="01B82614"/>
    <w:rsid w:val="01B91719"/>
    <w:rsid w:val="01B95422"/>
    <w:rsid w:val="01B974D3"/>
    <w:rsid w:val="01BD2CFC"/>
    <w:rsid w:val="01BE1E1D"/>
    <w:rsid w:val="01BE293F"/>
    <w:rsid w:val="01BE66C3"/>
    <w:rsid w:val="01BF37C7"/>
    <w:rsid w:val="01BF7A0E"/>
    <w:rsid w:val="01C0309B"/>
    <w:rsid w:val="01C031F8"/>
    <w:rsid w:val="01C20BC1"/>
    <w:rsid w:val="01C22633"/>
    <w:rsid w:val="01C34939"/>
    <w:rsid w:val="01C42B8B"/>
    <w:rsid w:val="01C43C76"/>
    <w:rsid w:val="01C626F2"/>
    <w:rsid w:val="01C77FC8"/>
    <w:rsid w:val="01CA319C"/>
    <w:rsid w:val="01CD3D16"/>
    <w:rsid w:val="01CD606B"/>
    <w:rsid w:val="01CE4D56"/>
    <w:rsid w:val="01CE642A"/>
    <w:rsid w:val="01CF3F68"/>
    <w:rsid w:val="01CF7782"/>
    <w:rsid w:val="01D34DB2"/>
    <w:rsid w:val="01D4439E"/>
    <w:rsid w:val="01D46BED"/>
    <w:rsid w:val="01D5473E"/>
    <w:rsid w:val="01D61F2D"/>
    <w:rsid w:val="01D63C01"/>
    <w:rsid w:val="01D6466C"/>
    <w:rsid w:val="01D7548E"/>
    <w:rsid w:val="01D80D06"/>
    <w:rsid w:val="01D86DDC"/>
    <w:rsid w:val="01D9415D"/>
    <w:rsid w:val="01DA23AF"/>
    <w:rsid w:val="01DB0867"/>
    <w:rsid w:val="01DB5E23"/>
    <w:rsid w:val="01E173C5"/>
    <w:rsid w:val="01E2173A"/>
    <w:rsid w:val="01E22C74"/>
    <w:rsid w:val="01E5158E"/>
    <w:rsid w:val="01E730A7"/>
    <w:rsid w:val="01E7687A"/>
    <w:rsid w:val="01E81930"/>
    <w:rsid w:val="01EA29B8"/>
    <w:rsid w:val="01EB583E"/>
    <w:rsid w:val="01EB5915"/>
    <w:rsid w:val="01EC32DA"/>
    <w:rsid w:val="01ED7025"/>
    <w:rsid w:val="01EE193B"/>
    <w:rsid w:val="01EE7A5F"/>
    <w:rsid w:val="01EF722C"/>
    <w:rsid w:val="01F1594A"/>
    <w:rsid w:val="01F1705E"/>
    <w:rsid w:val="01F20A56"/>
    <w:rsid w:val="01F20EFE"/>
    <w:rsid w:val="01F333B9"/>
    <w:rsid w:val="01F36FCC"/>
    <w:rsid w:val="01F40D1D"/>
    <w:rsid w:val="01F62B89"/>
    <w:rsid w:val="01F62F61"/>
    <w:rsid w:val="01F643AC"/>
    <w:rsid w:val="01F74F06"/>
    <w:rsid w:val="01F77570"/>
    <w:rsid w:val="01F86CD9"/>
    <w:rsid w:val="01F8797A"/>
    <w:rsid w:val="01F972AE"/>
    <w:rsid w:val="01FA01CC"/>
    <w:rsid w:val="01FA3A8E"/>
    <w:rsid w:val="01FA3D45"/>
    <w:rsid w:val="01FA47FF"/>
    <w:rsid w:val="01FB5B91"/>
    <w:rsid w:val="01FD01D6"/>
    <w:rsid w:val="01FD379F"/>
    <w:rsid w:val="01FD7CDA"/>
    <w:rsid w:val="01FE68D7"/>
    <w:rsid w:val="01FF0B7F"/>
    <w:rsid w:val="01FF4EDD"/>
    <w:rsid w:val="02011047"/>
    <w:rsid w:val="020143B6"/>
    <w:rsid w:val="020224D7"/>
    <w:rsid w:val="020236B3"/>
    <w:rsid w:val="020250D0"/>
    <w:rsid w:val="02031371"/>
    <w:rsid w:val="02033711"/>
    <w:rsid w:val="020405FB"/>
    <w:rsid w:val="02051702"/>
    <w:rsid w:val="020654E4"/>
    <w:rsid w:val="02067748"/>
    <w:rsid w:val="020712FE"/>
    <w:rsid w:val="02074A57"/>
    <w:rsid w:val="02083439"/>
    <w:rsid w:val="020856DE"/>
    <w:rsid w:val="02090D29"/>
    <w:rsid w:val="0209128C"/>
    <w:rsid w:val="020A71E2"/>
    <w:rsid w:val="020C020B"/>
    <w:rsid w:val="020E2058"/>
    <w:rsid w:val="020E6458"/>
    <w:rsid w:val="021138F7"/>
    <w:rsid w:val="02141B79"/>
    <w:rsid w:val="02142B95"/>
    <w:rsid w:val="02143DB3"/>
    <w:rsid w:val="02144270"/>
    <w:rsid w:val="02145195"/>
    <w:rsid w:val="02153BB4"/>
    <w:rsid w:val="02154044"/>
    <w:rsid w:val="0218450E"/>
    <w:rsid w:val="021872CE"/>
    <w:rsid w:val="02191C79"/>
    <w:rsid w:val="021A09FD"/>
    <w:rsid w:val="021A0C65"/>
    <w:rsid w:val="021B12C9"/>
    <w:rsid w:val="021C14C5"/>
    <w:rsid w:val="021C29C7"/>
    <w:rsid w:val="021C6DFE"/>
    <w:rsid w:val="021E3140"/>
    <w:rsid w:val="021E44BA"/>
    <w:rsid w:val="021E6547"/>
    <w:rsid w:val="021E6BC5"/>
    <w:rsid w:val="021E7C7C"/>
    <w:rsid w:val="021F731A"/>
    <w:rsid w:val="021F7DC1"/>
    <w:rsid w:val="02201D8C"/>
    <w:rsid w:val="02210575"/>
    <w:rsid w:val="022135D7"/>
    <w:rsid w:val="02235C6A"/>
    <w:rsid w:val="022371E3"/>
    <w:rsid w:val="02283016"/>
    <w:rsid w:val="02283B20"/>
    <w:rsid w:val="02283C33"/>
    <w:rsid w:val="022A3204"/>
    <w:rsid w:val="022A58F5"/>
    <w:rsid w:val="022A7229"/>
    <w:rsid w:val="022B283B"/>
    <w:rsid w:val="022B3571"/>
    <w:rsid w:val="022C1E1E"/>
    <w:rsid w:val="022C686B"/>
    <w:rsid w:val="022C6A21"/>
    <w:rsid w:val="022D1BCE"/>
    <w:rsid w:val="022E0D6C"/>
    <w:rsid w:val="02301F51"/>
    <w:rsid w:val="02315AA6"/>
    <w:rsid w:val="023250CE"/>
    <w:rsid w:val="023335F5"/>
    <w:rsid w:val="023356B3"/>
    <w:rsid w:val="02342087"/>
    <w:rsid w:val="02353A89"/>
    <w:rsid w:val="02363AC4"/>
    <w:rsid w:val="023656B6"/>
    <w:rsid w:val="02385327"/>
    <w:rsid w:val="02386FC9"/>
    <w:rsid w:val="02396B04"/>
    <w:rsid w:val="023A25B0"/>
    <w:rsid w:val="023A5E57"/>
    <w:rsid w:val="023B795D"/>
    <w:rsid w:val="023C5573"/>
    <w:rsid w:val="023C5BD1"/>
    <w:rsid w:val="023C63D0"/>
    <w:rsid w:val="023D293E"/>
    <w:rsid w:val="023E4E63"/>
    <w:rsid w:val="02402D97"/>
    <w:rsid w:val="02422217"/>
    <w:rsid w:val="0242253B"/>
    <w:rsid w:val="02423520"/>
    <w:rsid w:val="0242796A"/>
    <w:rsid w:val="024420EC"/>
    <w:rsid w:val="024504DC"/>
    <w:rsid w:val="0247559E"/>
    <w:rsid w:val="0247780F"/>
    <w:rsid w:val="02480EEC"/>
    <w:rsid w:val="024863AD"/>
    <w:rsid w:val="024873C8"/>
    <w:rsid w:val="024912E2"/>
    <w:rsid w:val="024C3094"/>
    <w:rsid w:val="024C6F8B"/>
    <w:rsid w:val="024F7D9B"/>
    <w:rsid w:val="02502671"/>
    <w:rsid w:val="02504B3F"/>
    <w:rsid w:val="02511F45"/>
    <w:rsid w:val="0251746C"/>
    <w:rsid w:val="0253063C"/>
    <w:rsid w:val="0253550A"/>
    <w:rsid w:val="02535CBD"/>
    <w:rsid w:val="0254033B"/>
    <w:rsid w:val="02543A07"/>
    <w:rsid w:val="02544E7F"/>
    <w:rsid w:val="02545732"/>
    <w:rsid w:val="0256755B"/>
    <w:rsid w:val="025739FF"/>
    <w:rsid w:val="02581DA6"/>
    <w:rsid w:val="025A28E7"/>
    <w:rsid w:val="025B1895"/>
    <w:rsid w:val="025B3D7E"/>
    <w:rsid w:val="025C1772"/>
    <w:rsid w:val="025C30E2"/>
    <w:rsid w:val="025C6534"/>
    <w:rsid w:val="025D50A8"/>
    <w:rsid w:val="025D7B5C"/>
    <w:rsid w:val="025F28B4"/>
    <w:rsid w:val="025F7705"/>
    <w:rsid w:val="026010D8"/>
    <w:rsid w:val="02601F6E"/>
    <w:rsid w:val="02613605"/>
    <w:rsid w:val="02632074"/>
    <w:rsid w:val="026507F7"/>
    <w:rsid w:val="026558D2"/>
    <w:rsid w:val="02663402"/>
    <w:rsid w:val="02672D95"/>
    <w:rsid w:val="02680BBE"/>
    <w:rsid w:val="02685C0C"/>
    <w:rsid w:val="02687B9F"/>
    <w:rsid w:val="026918FA"/>
    <w:rsid w:val="026954E1"/>
    <w:rsid w:val="026B2025"/>
    <w:rsid w:val="026B6301"/>
    <w:rsid w:val="026B74AB"/>
    <w:rsid w:val="026C5910"/>
    <w:rsid w:val="026E23D4"/>
    <w:rsid w:val="026E2EB1"/>
    <w:rsid w:val="027034CB"/>
    <w:rsid w:val="02707FB0"/>
    <w:rsid w:val="02713C9A"/>
    <w:rsid w:val="02714432"/>
    <w:rsid w:val="02715E93"/>
    <w:rsid w:val="02753E85"/>
    <w:rsid w:val="02754146"/>
    <w:rsid w:val="02777083"/>
    <w:rsid w:val="02777606"/>
    <w:rsid w:val="02783566"/>
    <w:rsid w:val="02790D4B"/>
    <w:rsid w:val="027959A8"/>
    <w:rsid w:val="027A76EE"/>
    <w:rsid w:val="027B2596"/>
    <w:rsid w:val="027C17E2"/>
    <w:rsid w:val="027F6146"/>
    <w:rsid w:val="02827732"/>
    <w:rsid w:val="028279CD"/>
    <w:rsid w:val="02830CB2"/>
    <w:rsid w:val="02832A46"/>
    <w:rsid w:val="02833597"/>
    <w:rsid w:val="02852E92"/>
    <w:rsid w:val="0286092F"/>
    <w:rsid w:val="028642E4"/>
    <w:rsid w:val="02866A8A"/>
    <w:rsid w:val="02874419"/>
    <w:rsid w:val="02877E8A"/>
    <w:rsid w:val="028855D3"/>
    <w:rsid w:val="028866A1"/>
    <w:rsid w:val="02897931"/>
    <w:rsid w:val="028A30F1"/>
    <w:rsid w:val="028A66BC"/>
    <w:rsid w:val="028B23E2"/>
    <w:rsid w:val="028C04C3"/>
    <w:rsid w:val="028C3157"/>
    <w:rsid w:val="028D098E"/>
    <w:rsid w:val="02914086"/>
    <w:rsid w:val="029253FA"/>
    <w:rsid w:val="02930AE1"/>
    <w:rsid w:val="02931780"/>
    <w:rsid w:val="02931E56"/>
    <w:rsid w:val="02932388"/>
    <w:rsid w:val="02936A01"/>
    <w:rsid w:val="029429C0"/>
    <w:rsid w:val="029441C5"/>
    <w:rsid w:val="02963DFC"/>
    <w:rsid w:val="02970003"/>
    <w:rsid w:val="02971F57"/>
    <w:rsid w:val="02980103"/>
    <w:rsid w:val="029925B5"/>
    <w:rsid w:val="02994018"/>
    <w:rsid w:val="029968AA"/>
    <w:rsid w:val="029B4859"/>
    <w:rsid w:val="029C612E"/>
    <w:rsid w:val="029D4841"/>
    <w:rsid w:val="029E2772"/>
    <w:rsid w:val="02A00BF7"/>
    <w:rsid w:val="02A06DCA"/>
    <w:rsid w:val="02A12108"/>
    <w:rsid w:val="02A16008"/>
    <w:rsid w:val="02A22380"/>
    <w:rsid w:val="02A50A66"/>
    <w:rsid w:val="02A5282B"/>
    <w:rsid w:val="02A60A2D"/>
    <w:rsid w:val="02A70258"/>
    <w:rsid w:val="02A729DA"/>
    <w:rsid w:val="02AC034E"/>
    <w:rsid w:val="02AD001E"/>
    <w:rsid w:val="02AE00DE"/>
    <w:rsid w:val="02AE58D3"/>
    <w:rsid w:val="02AF2562"/>
    <w:rsid w:val="02AF3E19"/>
    <w:rsid w:val="02AF690D"/>
    <w:rsid w:val="02B01361"/>
    <w:rsid w:val="02B11218"/>
    <w:rsid w:val="02B250DA"/>
    <w:rsid w:val="02B32C29"/>
    <w:rsid w:val="02B42BFA"/>
    <w:rsid w:val="02B54A34"/>
    <w:rsid w:val="02B8118D"/>
    <w:rsid w:val="02B9266D"/>
    <w:rsid w:val="02B9273B"/>
    <w:rsid w:val="02B9682C"/>
    <w:rsid w:val="02BA0C45"/>
    <w:rsid w:val="02BA21E0"/>
    <w:rsid w:val="02BC4DEB"/>
    <w:rsid w:val="02BE185D"/>
    <w:rsid w:val="02BF0073"/>
    <w:rsid w:val="02BF2365"/>
    <w:rsid w:val="02BF74BB"/>
    <w:rsid w:val="02C23ACE"/>
    <w:rsid w:val="02C242A4"/>
    <w:rsid w:val="02C24E60"/>
    <w:rsid w:val="02C40969"/>
    <w:rsid w:val="02C4608E"/>
    <w:rsid w:val="02C46BBB"/>
    <w:rsid w:val="02C47C5D"/>
    <w:rsid w:val="02C607E1"/>
    <w:rsid w:val="02C65759"/>
    <w:rsid w:val="02C66BAA"/>
    <w:rsid w:val="02C866AB"/>
    <w:rsid w:val="02C92423"/>
    <w:rsid w:val="02CB524D"/>
    <w:rsid w:val="02CC44A1"/>
    <w:rsid w:val="02CC57C3"/>
    <w:rsid w:val="02CE54A5"/>
    <w:rsid w:val="02D03971"/>
    <w:rsid w:val="02D108F4"/>
    <w:rsid w:val="02D15297"/>
    <w:rsid w:val="02D52B76"/>
    <w:rsid w:val="02D5560C"/>
    <w:rsid w:val="02D84A47"/>
    <w:rsid w:val="02D84C0B"/>
    <w:rsid w:val="02D86875"/>
    <w:rsid w:val="02D91B3B"/>
    <w:rsid w:val="02DC2E18"/>
    <w:rsid w:val="02DC5B91"/>
    <w:rsid w:val="02DC68D5"/>
    <w:rsid w:val="02DD79CF"/>
    <w:rsid w:val="02DE0E3A"/>
    <w:rsid w:val="02DE46D4"/>
    <w:rsid w:val="02DF17B7"/>
    <w:rsid w:val="02DF21EF"/>
    <w:rsid w:val="02DF55A5"/>
    <w:rsid w:val="02E0598D"/>
    <w:rsid w:val="02E103E9"/>
    <w:rsid w:val="02E30C78"/>
    <w:rsid w:val="02E5388F"/>
    <w:rsid w:val="02E5725D"/>
    <w:rsid w:val="02E57C4C"/>
    <w:rsid w:val="02E66B31"/>
    <w:rsid w:val="02E67024"/>
    <w:rsid w:val="02E8118C"/>
    <w:rsid w:val="02E8197C"/>
    <w:rsid w:val="02E81E25"/>
    <w:rsid w:val="02E8415E"/>
    <w:rsid w:val="02E86A14"/>
    <w:rsid w:val="02EB21F9"/>
    <w:rsid w:val="02ED1C6E"/>
    <w:rsid w:val="02ED7C69"/>
    <w:rsid w:val="02ED7EC0"/>
    <w:rsid w:val="02EE29ED"/>
    <w:rsid w:val="02F1546E"/>
    <w:rsid w:val="02F22B75"/>
    <w:rsid w:val="02F2736A"/>
    <w:rsid w:val="02F27FB9"/>
    <w:rsid w:val="02F50F11"/>
    <w:rsid w:val="02F52615"/>
    <w:rsid w:val="02F5745D"/>
    <w:rsid w:val="02F761AC"/>
    <w:rsid w:val="02F76F9A"/>
    <w:rsid w:val="02F86670"/>
    <w:rsid w:val="02F93B2C"/>
    <w:rsid w:val="02F96864"/>
    <w:rsid w:val="02F978FA"/>
    <w:rsid w:val="02FC2FC9"/>
    <w:rsid w:val="02FE258B"/>
    <w:rsid w:val="03006318"/>
    <w:rsid w:val="0301396B"/>
    <w:rsid w:val="03016DF1"/>
    <w:rsid w:val="03032D62"/>
    <w:rsid w:val="030516AD"/>
    <w:rsid w:val="03052686"/>
    <w:rsid w:val="0305345B"/>
    <w:rsid w:val="03061EB2"/>
    <w:rsid w:val="030806B1"/>
    <w:rsid w:val="03091250"/>
    <w:rsid w:val="03094A24"/>
    <w:rsid w:val="030B1F15"/>
    <w:rsid w:val="030B47EA"/>
    <w:rsid w:val="030C2C93"/>
    <w:rsid w:val="030D40BE"/>
    <w:rsid w:val="030D7C0A"/>
    <w:rsid w:val="030E1DEE"/>
    <w:rsid w:val="03103B27"/>
    <w:rsid w:val="03105C95"/>
    <w:rsid w:val="0312031F"/>
    <w:rsid w:val="031247B3"/>
    <w:rsid w:val="03125F8D"/>
    <w:rsid w:val="03127926"/>
    <w:rsid w:val="03133278"/>
    <w:rsid w:val="03134FA3"/>
    <w:rsid w:val="03140261"/>
    <w:rsid w:val="031413EC"/>
    <w:rsid w:val="031511C4"/>
    <w:rsid w:val="03164686"/>
    <w:rsid w:val="0317232F"/>
    <w:rsid w:val="031A4A17"/>
    <w:rsid w:val="031A5554"/>
    <w:rsid w:val="031A67DB"/>
    <w:rsid w:val="031A6E39"/>
    <w:rsid w:val="031C2D9E"/>
    <w:rsid w:val="031F17AE"/>
    <w:rsid w:val="031F18BB"/>
    <w:rsid w:val="0320737B"/>
    <w:rsid w:val="03212322"/>
    <w:rsid w:val="032233CF"/>
    <w:rsid w:val="032267C5"/>
    <w:rsid w:val="032338E1"/>
    <w:rsid w:val="0323471D"/>
    <w:rsid w:val="032379A5"/>
    <w:rsid w:val="03242AB0"/>
    <w:rsid w:val="03276338"/>
    <w:rsid w:val="032A50C3"/>
    <w:rsid w:val="032B0E62"/>
    <w:rsid w:val="032B17E3"/>
    <w:rsid w:val="032B6C3A"/>
    <w:rsid w:val="032D4760"/>
    <w:rsid w:val="032D650E"/>
    <w:rsid w:val="032D6957"/>
    <w:rsid w:val="032D6FD5"/>
    <w:rsid w:val="033124A2"/>
    <w:rsid w:val="033138E8"/>
    <w:rsid w:val="033247B3"/>
    <w:rsid w:val="03333611"/>
    <w:rsid w:val="03337F28"/>
    <w:rsid w:val="033455DC"/>
    <w:rsid w:val="033504CA"/>
    <w:rsid w:val="03372F14"/>
    <w:rsid w:val="033755DF"/>
    <w:rsid w:val="03376DB8"/>
    <w:rsid w:val="03377B2D"/>
    <w:rsid w:val="033862D9"/>
    <w:rsid w:val="033A4890"/>
    <w:rsid w:val="033A6712"/>
    <w:rsid w:val="033B1182"/>
    <w:rsid w:val="033B6E7D"/>
    <w:rsid w:val="033C7ABE"/>
    <w:rsid w:val="033D1043"/>
    <w:rsid w:val="033D1843"/>
    <w:rsid w:val="033F4C08"/>
    <w:rsid w:val="034019B5"/>
    <w:rsid w:val="034026E5"/>
    <w:rsid w:val="03402D21"/>
    <w:rsid w:val="034313A4"/>
    <w:rsid w:val="03431F70"/>
    <w:rsid w:val="03443858"/>
    <w:rsid w:val="03444725"/>
    <w:rsid w:val="03444C3F"/>
    <w:rsid w:val="03450DEE"/>
    <w:rsid w:val="03452BA8"/>
    <w:rsid w:val="03455F4E"/>
    <w:rsid w:val="03494F01"/>
    <w:rsid w:val="03495B0C"/>
    <w:rsid w:val="034A3CCF"/>
    <w:rsid w:val="034A5312"/>
    <w:rsid w:val="034A5F18"/>
    <w:rsid w:val="034D095E"/>
    <w:rsid w:val="034F09E1"/>
    <w:rsid w:val="034F1CBC"/>
    <w:rsid w:val="034F5D29"/>
    <w:rsid w:val="034F71B9"/>
    <w:rsid w:val="03521846"/>
    <w:rsid w:val="0352701F"/>
    <w:rsid w:val="03531ABE"/>
    <w:rsid w:val="035349FE"/>
    <w:rsid w:val="0355302B"/>
    <w:rsid w:val="03561D64"/>
    <w:rsid w:val="035661EC"/>
    <w:rsid w:val="03596777"/>
    <w:rsid w:val="035D643A"/>
    <w:rsid w:val="035E0FE2"/>
    <w:rsid w:val="035E2B6B"/>
    <w:rsid w:val="035E2F5E"/>
    <w:rsid w:val="035E581E"/>
    <w:rsid w:val="035F488B"/>
    <w:rsid w:val="035F6CAE"/>
    <w:rsid w:val="03600D18"/>
    <w:rsid w:val="03604B36"/>
    <w:rsid w:val="036115CE"/>
    <w:rsid w:val="03613825"/>
    <w:rsid w:val="03617354"/>
    <w:rsid w:val="036206AD"/>
    <w:rsid w:val="036220FE"/>
    <w:rsid w:val="036314B3"/>
    <w:rsid w:val="03640208"/>
    <w:rsid w:val="03646CFD"/>
    <w:rsid w:val="0365214C"/>
    <w:rsid w:val="03667C72"/>
    <w:rsid w:val="03675440"/>
    <w:rsid w:val="03675AE6"/>
    <w:rsid w:val="03676363"/>
    <w:rsid w:val="03695879"/>
    <w:rsid w:val="03695945"/>
    <w:rsid w:val="036A05AC"/>
    <w:rsid w:val="036B150A"/>
    <w:rsid w:val="036B62CA"/>
    <w:rsid w:val="036D5065"/>
    <w:rsid w:val="036E4DC6"/>
    <w:rsid w:val="037118E4"/>
    <w:rsid w:val="037214F1"/>
    <w:rsid w:val="037333D2"/>
    <w:rsid w:val="0373384B"/>
    <w:rsid w:val="03737D22"/>
    <w:rsid w:val="037410D4"/>
    <w:rsid w:val="03743872"/>
    <w:rsid w:val="03744E73"/>
    <w:rsid w:val="03746005"/>
    <w:rsid w:val="037538B4"/>
    <w:rsid w:val="03773C2D"/>
    <w:rsid w:val="037759DB"/>
    <w:rsid w:val="0378165B"/>
    <w:rsid w:val="03790137"/>
    <w:rsid w:val="03793528"/>
    <w:rsid w:val="037A5490"/>
    <w:rsid w:val="037C09BB"/>
    <w:rsid w:val="037C1F85"/>
    <w:rsid w:val="037C2330"/>
    <w:rsid w:val="037C6FB6"/>
    <w:rsid w:val="037E6D6A"/>
    <w:rsid w:val="037E7D41"/>
    <w:rsid w:val="037F659C"/>
    <w:rsid w:val="03802AE2"/>
    <w:rsid w:val="03813F40"/>
    <w:rsid w:val="038325D2"/>
    <w:rsid w:val="038329E4"/>
    <w:rsid w:val="03833D9B"/>
    <w:rsid w:val="03847539"/>
    <w:rsid w:val="03847E06"/>
    <w:rsid w:val="038502CB"/>
    <w:rsid w:val="03850C4A"/>
    <w:rsid w:val="0385459C"/>
    <w:rsid w:val="0387065D"/>
    <w:rsid w:val="0388291B"/>
    <w:rsid w:val="03890CD1"/>
    <w:rsid w:val="038A1BB2"/>
    <w:rsid w:val="038A1CB4"/>
    <w:rsid w:val="038A6CCE"/>
    <w:rsid w:val="038B442D"/>
    <w:rsid w:val="038B7A3F"/>
    <w:rsid w:val="038C6FFE"/>
    <w:rsid w:val="038E0B30"/>
    <w:rsid w:val="038E2AC3"/>
    <w:rsid w:val="038F541B"/>
    <w:rsid w:val="039018CE"/>
    <w:rsid w:val="03902ED5"/>
    <w:rsid w:val="039202A8"/>
    <w:rsid w:val="039253C9"/>
    <w:rsid w:val="039313BD"/>
    <w:rsid w:val="03951F36"/>
    <w:rsid w:val="039667A9"/>
    <w:rsid w:val="0398276B"/>
    <w:rsid w:val="039842CF"/>
    <w:rsid w:val="039D3ECB"/>
    <w:rsid w:val="039D7B38"/>
    <w:rsid w:val="039E4B60"/>
    <w:rsid w:val="03A03184"/>
    <w:rsid w:val="03A05DEB"/>
    <w:rsid w:val="03A07011"/>
    <w:rsid w:val="03A10E4B"/>
    <w:rsid w:val="03A11740"/>
    <w:rsid w:val="03A367D0"/>
    <w:rsid w:val="03A45E7D"/>
    <w:rsid w:val="03A47F5A"/>
    <w:rsid w:val="03A50476"/>
    <w:rsid w:val="03A63E0F"/>
    <w:rsid w:val="03A66872"/>
    <w:rsid w:val="03A73084"/>
    <w:rsid w:val="03A83D63"/>
    <w:rsid w:val="03A92B21"/>
    <w:rsid w:val="03A96A25"/>
    <w:rsid w:val="03AB471F"/>
    <w:rsid w:val="03AC7D7B"/>
    <w:rsid w:val="03AE265E"/>
    <w:rsid w:val="03AE4189"/>
    <w:rsid w:val="03AF3A60"/>
    <w:rsid w:val="03B34875"/>
    <w:rsid w:val="03B3786A"/>
    <w:rsid w:val="03B409AE"/>
    <w:rsid w:val="03B42042"/>
    <w:rsid w:val="03B42306"/>
    <w:rsid w:val="03B44E81"/>
    <w:rsid w:val="03B532B4"/>
    <w:rsid w:val="03B60759"/>
    <w:rsid w:val="03B73D04"/>
    <w:rsid w:val="03B83312"/>
    <w:rsid w:val="03B92498"/>
    <w:rsid w:val="03BB4035"/>
    <w:rsid w:val="03BD08DD"/>
    <w:rsid w:val="03BE360A"/>
    <w:rsid w:val="03BE50E7"/>
    <w:rsid w:val="03BE77CE"/>
    <w:rsid w:val="03BE79AF"/>
    <w:rsid w:val="03BF0E04"/>
    <w:rsid w:val="03C036DB"/>
    <w:rsid w:val="03C20117"/>
    <w:rsid w:val="03C2547A"/>
    <w:rsid w:val="03C32DE2"/>
    <w:rsid w:val="03C34149"/>
    <w:rsid w:val="03C60012"/>
    <w:rsid w:val="03C70711"/>
    <w:rsid w:val="03C9080B"/>
    <w:rsid w:val="03C97145"/>
    <w:rsid w:val="03C97AF2"/>
    <w:rsid w:val="03CC1924"/>
    <w:rsid w:val="03CC3F79"/>
    <w:rsid w:val="03CD4722"/>
    <w:rsid w:val="03CE5048"/>
    <w:rsid w:val="03CF2914"/>
    <w:rsid w:val="03CF5817"/>
    <w:rsid w:val="03D012E5"/>
    <w:rsid w:val="03D35307"/>
    <w:rsid w:val="03D42234"/>
    <w:rsid w:val="03D52A9F"/>
    <w:rsid w:val="03D64F23"/>
    <w:rsid w:val="03D66BA6"/>
    <w:rsid w:val="03D67F82"/>
    <w:rsid w:val="03D746CC"/>
    <w:rsid w:val="03D83E3E"/>
    <w:rsid w:val="03D84ABC"/>
    <w:rsid w:val="03DA1659"/>
    <w:rsid w:val="03DB0660"/>
    <w:rsid w:val="03DC41B1"/>
    <w:rsid w:val="03DF4E5B"/>
    <w:rsid w:val="03E0235B"/>
    <w:rsid w:val="03E33071"/>
    <w:rsid w:val="03E34AD6"/>
    <w:rsid w:val="03E37FE2"/>
    <w:rsid w:val="03E42D1E"/>
    <w:rsid w:val="03E6720F"/>
    <w:rsid w:val="03E72BFA"/>
    <w:rsid w:val="03E959A7"/>
    <w:rsid w:val="03EA08A3"/>
    <w:rsid w:val="03EA1903"/>
    <w:rsid w:val="03EA6762"/>
    <w:rsid w:val="03EB5559"/>
    <w:rsid w:val="03EF3F7A"/>
    <w:rsid w:val="03EF6E31"/>
    <w:rsid w:val="03F11EE7"/>
    <w:rsid w:val="03F12807"/>
    <w:rsid w:val="03F23674"/>
    <w:rsid w:val="03F32A4B"/>
    <w:rsid w:val="03F618F7"/>
    <w:rsid w:val="03F649DD"/>
    <w:rsid w:val="03F90031"/>
    <w:rsid w:val="03F95652"/>
    <w:rsid w:val="03FC3388"/>
    <w:rsid w:val="03FD08A8"/>
    <w:rsid w:val="03FD5347"/>
    <w:rsid w:val="03FE6BF1"/>
    <w:rsid w:val="03FF396C"/>
    <w:rsid w:val="03FF4043"/>
    <w:rsid w:val="040000C7"/>
    <w:rsid w:val="04001A70"/>
    <w:rsid w:val="04001E75"/>
    <w:rsid w:val="04004E0A"/>
    <w:rsid w:val="040172D6"/>
    <w:rsid w:val="040320C1"/>
    <w:rsid w:val="04035D57"/>
    <w:rsid w:val="040411D4"/>
    <w:rsid w:val="04046712"/>
    <w:rsid w:val="0404728D"/>
    <w:rsid w:val="040547E6"/>
    <w:rsid w:val="040556DD"/>
    <w:rsid w:val="040618D4"/>
    <w:rsid w:val="04064BB4"/>
    <w:rsid w:val="04077C57"/>
    <w:rsid w:val="040B651A"/>
    <w:rsid w:val="040C6C32"/>
    <w:rsid w:val="040C70AC"/>
    <w:rsid w:val="040D6D19"/>
    <w:rsid w:val="040E178F"/>
    <w:rsid w:val="040E189C"/>
    <w:rsid w:val="040E68A8"/>
    <w:rsid w:val="040F2072"/>
    <w:rsid w:val="040F41FA"/>
    <w:rsid w:val="040F51C7"/>
    <w:rsid w:val="041251D3"/>
    <w:rsid w:val="04133216"/>
    <w:rsid w:val="04136A94"/>
    <w:rsid w:val="04146C84"/>
    <w:rsid w:val="04160396"/>
    <w:rsid w:val="04160A34"/>
    <w:rsid w:val="0416490C"/>
    <w:rsid w:val="04170DA0"/>
    <w:rsid w:val="04177AC5"/>
    <w:rsid w:val="041903F9"/>
    <w:rsid w:val="04190C39"/>
    <w:rsid w:val="04194CE4"/>
    <w:rsid w:val="041A00D1"/>
    <w:rsid w:val="041A739F"/>
    <w:rsid w:val="041B151E"/>
    <w:rsid w:val="041B6A58"/>
    <w:rsid w:val="041D1575"/>
    <w:rsid w:val="041F1186"/>
    <w:rsid w:val="041F2D4D"/>
    <w:rsid w:val="041F35E2"/>
    <w:rsid w:val="041F5699"/>
    <w:rsid w:val="041F679F"/>
    <w:rsid w:val="04211611"/>
    <w:rsid w:val="0422003D"/>
    <w:rsid w:val="04221DEB"/>
    <w:rsid w:val="04231864"/>
    <w:rsid w:val="0424074F"/>
    <w:rsid w:val="04244474"/>
    <w:rsid w:val="04246255"/>
    <w:rsid w:val="04246DD3"/>
    <w:rsid w:val="042733D4"/>
    <w:rsid w:val="042742C7"/>
    <w:rsid w:val="042773EC"/>
    <w:rsid w:val="04277E97"/>
    <w:rsid w:val="04286688"/>
    <w:rsid w:val="04293CFB"/>
    <w:rsid w:val="04294F58"/>
    <w:rsid w:val="042A346F"/>
    <w:rsid w:val="042B2878"/>
    <w:rsid w:val="042C4158"/>
    <w:rsid w:val="042E07AD"/>
    <w:rsid w:val="04302177"/>
    <w:rsid w:val="04302336"/>
    <w:rsid w:val="0430275A"/>
    <w:rsid w:val="043218C0"/>
    <w:rsid w:val="04334F75"/>
    <w:rsid w:val="04337BC2"/>
    <w:rsid w:val="04346662"/>
    <w:rsid w:val="04365ACB"/>
    <w:rsid w:val="04366FAC"/>
    <w:rsid w:val="0436748B"/>
    <w:rsid w:val="04367644"/>
    <w:rsid w:val="04371904"/>
    <w:rsid w:val="043B07E0"/>
    <w:rsid w:val="043B56EB"/>
    <w:rsid w:val="043D4E77"/>
    <w:rsid w:val="043E5027"/>
    <w:rsid w:val="043F299D"/>
    <w:rsid w:val="043F645C"/>
    <w:rsid w:val="044041E3"/>
    <w:rsid w:val="044077C2"/>
    <w:rsid w:val="04425FE9"/>
    <w:rsid w:val="04444720"/>
    <w:rsid w:val="04450C9C"/>
    <w:rsid w:val="04461F7D"/>
    <w:rsid w:val="044A30F0"/>
    <w:rsid w:val="044A6E71"/>
    <w:rsid w:val="044A784B"/>
    <w:rsid w:val="044C0B64"/>
    <w:rsid w:val="044E03A3"/>
    <w:rsid w:val="044F0C47"/>
    <w:rsid w:val="044F545C"/>
    <w:rsid w:val="04520137"/>
    <w:rsid w:val="0452158D"/>
    <w:rsid w:val="04530FF7"/>
    <w:rsid w:val="045533CC"/>
    <w:rsid w:val="04557C63"/>
    <w:rsid w:val="04574E56"/>
    <w:rsid w:val="0457585A"/>
    <w:rsid w:val="045975B8"/>
    <w:rsid w:val="045A77D7"/>
    <w:rsid w:val="045B3553"/>
    <w:rsid w:val="045B70AB"/>
    <w:rsid w:val="045C646D"/>
    <w:rsid w:val="045C75EF"/>
    <w:rsid w:val="045D1075"/>
    <w:rsid w:val="045D6A08"/>
    <w:rsid w:val="045E211B"/>
    <w:rsid w:val="045E30EF"/>
    <w:rsid w:val="04606B56"/>
    <w:rsid w:val="04610599"/>
    <w:rsid w:val="046143CB"/>
    <w:rsid w:val="04620206"/>
    <w:rsid w:val="04620439"/>
    <w:rsid w:val="0462279F"/>
    <w:rsid w:val="04623128"/>
    <w:rsid w:val="046442CB"/>
    <w:rsid w:val="04645C5C"/>
    <w:rsid w:val="04661B18"/>
    <w:rsid w:val="0467548A"/>
    <w:rsid w:val="04685302"/>
    <w:rsid w:val="04690522"/>
    <w:rsid w:val="046917C8"/>
    <w:rsid w:val="046B3F4C"/>
    <w:rsid w:val="046C2A56"/>
    <w:rsid w:val="046C3066"/>
    <w:rsid w:val="046C30B6"/>
    <w:rsid w:val="046C6C4D"/>
    <w:rsid w:val="046E6115"/>
    <w:rsid w:val="046F1AD8"/>
    <w:rsid w:val="04727A41"/>
    <w:rsid w:val="04730846"/>
    <w:rsid w:val="04750437"/>
    <w:rsid w:val="0475638A"/>
    <w:rsid w:val="047563BF"/>
    <w:rsid w:val="04784101"/>
    <w:rsid w:val="04793E30"/>
    <w:rsid w:val="0479769D"/>
    <w:rsid w:val="047A39D5"/>
    <w:rsid w:val="047B0287"/>
    <w:rsid w:val="047B5B78"/>
    <w:rsid w:val="047C6DCE"/>
    <w:rsid w:val="047C774D"/>
    <w:rsid w:val="047D162F"/>
    <w:rsid w:val="047D2C92"/>
    <w:rsid w:val="047D5D5D"/>
    <w:rsid w:val="047F0614"/>
    <w:rsid w:val="047F723D"/>
    <w:rsid w:val="048042C6"/>
    <w:rsid w:val="04804DA9"/>
    <w:rsid w:val="048209F9"/>
    <w:rsid w:val="04834854"/>
    <w:rsid w:val="048670A4"/>
    <w:rsid w:val="048848B7"/>
    <w:rsid w:val="04892B3B"/>
    <w:rsid w:val="048C1CE2"/>
    <w:rsid w:val="048C5D2D"/>
    <w:rsid w:val="048E04BC"/>
    <w:rsid w:val="048E1636"/>
    <w:rsid w:val="048E50EF"/>
    <w:rsid w:val="048F0049"/>
    <w:rsid w:val="048F480F"/>
    <w:rsid w:val="048F7CF9"/>
    <w:rsid w:val="049216B1"/>
    <w:rsid w:val="04921F24"/>
    <w:rsid w:val="049262EE"/>
    <w:rsid w:val="049300E5"/>
    <w:rsid w:val="049379E3"/>
    <w:rsid w:val="04947385"/>
    <w:rsid w:val="0496293E"/>
    <w:rsid w:val="04966BE4"/>
    <w:rsid w:val="049727D9"/>
    <w:rsid w:val="04973210"/>
    <w:rsid w:val="049755B5"/>
    <w:rsid w:val="04983E5B"/>
    <w:rsid w:val="049924DB"/>
    <w:rsid w:val="049930E0"/>
    <w:rsid w:val="049A28C4"/>
    <w:rsid w:val="049B210D"/>
    <w:rsid w:val="049D6FEC"/>
    <w:rsid w:val="049E170D"/>
    <w:rsid w:val="049E4932"/>
    <w:rsid w:val="049F51EA"/>
    <w:rsid w:val="04A14B9C"/>
    <w:rsid w:val="04A15406"/>
    <w:rsid w:val="04A311D1"/>
    <w:rsid w:val="04A42800"/>
    <w:rsid w:val="04A61DD6"/>
    <w:rsid w:val="04A71780"/>
    <w:rsid w:val="04A801EB"/>
    <w:rsid w:val="04A86794"/>
    <w:rsid w:val="04AB6613"/>
    <w:rsid w:val="04AC0D88"/>
    <w:rsid w:val="04AC7907"/>
    <w:rsid w:val="04AD3DAA"/>
    <w:rsid w:val="04AD5A56"/>
    <w:rsid w:val="04AE2C18"/>
    <w:rsid w:val="04AF08AD"/>
    <w:rsid w:val="04AF640D"/>
    <w:rsid w:val="04B073F7"/>
    <w:rsid w:val="04B3703C"/>
    <w:rsid w:val="04B64CC9"/>
    <w:rsid w:val="04B65370"/>
    <w:rsid w:val="04B74A42"/>
    <w:rsid w:val="04BA3C3B"/>
    <w:rsid w:val="04BA482B"/>
    <w:rsid w:val="04BC02DB"/>
    <w:rsid w:val="04BC20E2"/>
    <w:rsid w:val="04BD08D2"/>
    <w:rsid w:val="04BD0E3F"/>
    <w:rsid w:val="04BE0093"/>
    <w:rsid w:val="04BE4A1C"/>
    <w:rsid w:val="04BF2487"/>
    <w:rsid w:val="04C06F13"/>
    <w:rsid w:val="04C133B2"/>
    <w:rsid w:val="04C34AAD"/>
    <w:rsid w:val="04C451A5"/>
    <w:rsid w:val="04C651E7"/>
    <w:rsid w:val="04C70F47"/>
    <w:rsid w:val="04C71B6A"/>
    <w:rsid w:val="04C84286"/>
    <w:rsid w:val="04CB0E2A"/>
    <w:rsid w:val="04CB1340"/>
    <w:rsid w:val="04CD60CD"/>
    <w:rsid w:val="04CD7DC7"/>
    <w:rsid w:val="04CD7FA9"/>
    <w:rsid w:val="04CF4B73"/>
    <w:rsid w:val="04D035F5"/>
    <w:rsid w:val="04D07C68"/>
    <w:rsid w:val="04D41A32"/>
    <w:rsid w:val="04D41E92"/>
    <w:rsid w:val="04D42D5D"/>
    <w:rsid w:val="04D47734"/>
    <w:rsid w:val="04D53301"/>
    <w:rsid w:val="04D81C0D"/>
    <w:rsid w:val="04D84E7B"/>
    <w:rsid w:val="04D952CF"/>
    <w:rsid w:val="04D95FAF"/>
    <w:rsid w:val="04DB6CA2"/>
    <w:rsid w:val="04DD5D12"/>
    <w:rsid w:val="04DE3916"/>
    <w:rsid w:val="04E06A35"/>
    <w:rsid w:val="04E1514E"/>
    <w:rsid w:val="04E2053F"/>
    <w:rsid w:val="04E241C4"/>
    <w:rsid w:val="04E32341"/>
    <w:rsid w:val="04E5656E"/>
    <w:rsid w:val="04E70D12"/>
    <w:rsid w:val="04E81471"/>
    <w:rsid w:val="04E91598"/>
    <w:rsid w:val="04EA2440"/>
    <w:rsid w:val="04EB3546"/>
    <w:rsid w:val="04EC458F"/>
    <w:rsid w:val="04ED4629"/>
    <w:rsid w:val="04ED512E"/>
    <w:rsid w:val="04EE35BF"/>
    <w:rsid w:val="04F17032"/>
    <w:rsid w:val="04F31C09"/>
    <w:rsid w:val="04F330C4"/>
    <w:rsid w:val="04F33554"/>
    <w:rsid w:val="04F36269"/>
    <w:rsid w:val="04F418F2"/>
    <w:rsid w:val="04F434F3"/>
    <w:rsid w:val="04F44FB8"/>
    <w:rsid w:val="04F459FA"/>
    <w:rsid w:val="04F50E7C"/>
    <w:rsid w:val="04F630F4"/>
    <w:rsid w:val="04F642DE"/>
    <w:rsid w:val="04F749ED"/>
    <w:rsid w:val="04F76B6D"/>
    <w:rsid w:val="04F802CA"/>
    <w:rsid w:val="04F823AE"/>
    <w:rsid w:val="04F82C40"/>
    <w:rsid w:val="04F95F66"/>
    <w:rsid w:val="04FB43BE"/>
    <w:rsid w:val="04FB74DF"/>
    <w:rsid w:val="04FC1FEA"/>
    <w:rsid w:val="04FC4254"/>
    <w:rsid w:val="04FD0A58"/>
    <w:rsid w:val="04FE60C2"/>
    <w:rsid w:val="04FF212C"/>
    <w:rsid w:val="04FF3EDA"/>
    <w:rsid w:val="050026B1"/>
    <w:rsid w:val="0500794B"/>
    <w:rsid w:val="0501241F"/>
    <w:rsid w:val="05012FAD"/>
    <w:rsid w:val="05017574"/>
    <w:rsid w:val="050240E8"/>
    <w:rsid w:val="050242AD"/>
    <w:rsid w:val="05034C75"/>
    <w:rsid w:val="05035323"/>
    <w:rsid w:val="05040802"/>
    <w:rsid w:val="05046014"/>
    <w:rsid w:val="0506793D"/>
    <w:rsid w:val="05080EB6"/>
    <w:rsid w:val="05081089"/>
    <w:rsid w:val="05085757"/>
    <w:rsid w:val="05091A55"/>
    <w:rsid w:val="05092C51"/>
    <w:rsid w:val="050A032B"/>
    <w:rsid w:val="050A52AF"/>
    <w:rsid w:val="050A5347"/>
    <w:rsid w:val="050C0583"/>
    <w:rsid w:val="050C3B6C"/>
    <w:rsid w:val="050D2A9B"/>
    <w:rsid w:val="050D3484"/>
    <w:rsid w:val="050E1D74"/>
    <w:rsid w:val="050E4751"/>
    <w:rsid w:val="050F3A57"/>
    <w:rsid w:val="050F6813"/>
    <w:rsid w:val="050F7C41"/>
    <w:rsid w:val="051060E7"/>
    <w:rsid w:val="05126C96"/>
    <w:rsid w:val="05137986"/>
    <w:rsid w:val="05140015"/>
    <w:rsid w:val="051565F0"/>
    <w:rsid w:val="051946BF"/>
    <w:rsid w:val="05196AE3"/>
    <w:rsid w:val="051B1B9F"/>
    <w:rsid w:val="051C2CDE"/>
    <w:rsid w:val="051C2E0D"/>
    <w:rsid w:val="051D2739"/>
    <w:rsid w:val="051D79F2"/>
    <w:rsid w:val="051F14C5"/>
    <w:rsid w:val="051F1A73"/>
    <w:rsid w:val="05205567"/>
    <w:rsid w:val="052102F4"/>
    <w:rsid w:val="05216546"/>
    <w:rsid w:val="052438CC"/>
    <w:rsid w:val="05243941"/>
    <w:rsid w:val="05253698"/>
    <w:rsid w:val="0526099C"/>
    <w:rsid w:val="052676B9"/>
    <w:rsid w:val="052753E7"/>
    <w:rsid w:val="052A6AE5"/>
    <w:rsid w:val="052A7023"/>
    <w:rsid w:val="052C2F85"/>
    <w:rsid w:val="052D5FAC"/>
    <w:rsid w:val="052E1A16"/>
    <w:rsid w:val="052E6005"/>
    <w:rsid w:val="052E6856"/>
    <w:rsid w:val="052F21D8"/>
    <w:rsid w:val="052F46C7"/>
    <w:rsid w:val="052F5E15"/>
    <w:rsid w:val="052F7B7C"/>
    <w:rsid w:val="0532472F"/>
    <w:rsid w:val="05327B94"/>
    <w:rsid w:val="05327D53"/>
    <w:rsid w:val="053416F2"/>
    <w:rsid w:val="05345729"/>
    <w:rsid w:val="053538C7"/>
    <w:rsid w:val="05355B4E"/>
    <w:rsid w:val="053733E3"/>
    <w:rsid w:val="05377B18"/>
    <w:rsid w:val="05380FEE"/>
    <w:rsid w:val="053824E4"/>
    <w:rsid w:val="05384A61"/>
    <w:rsid w:val="05384ECA"/>
    <w:rsid w:val="0539563E"/>
    <w:rsid w:val="053C6A73"/>
    <w:rsid w:val="053C6D74"/>
    <w:rsid w:val="053D094C"/>
    <w:rsid w:val="053D0FD3"/>
    <w:rsid w:val="053E7A3E"/>
    <w:rsid w:val="053E7D66"/>
    <w:rsid w:val="053F7C66"/>
    <w:rsid w:val="05402104"/>
    <w:rsid w:val="054162A1"/>
    <w:rsid w:val="05424839"/>
    <w:rsid w:val="0543026B"/>
    <w:rsid w:val="054335A5"/>
    <w:rsid w:val="0543480D"/>
    <w:rsid w:val="05435DD8"/>
    <w:rsid w:val="05462E19"/>
    <w:rsid w:val="05485C99"/>
    <w:rsid w:val="054A1F8E"/>
    <w:rsid w:val="054C2DCF"/>
    <w:rsid w:val="054D5478"/>
    <w:rsid w:val="054E758A"/>
    <w:rsid w:val="054F397A"/>
    <w:rsid w:val="05502552"/>
    <w:rsid w:val="0551331C"/>
    <w:rsid w:val="05517489"/>
    <w:rsid w:val="055217BF"/>
    <w:rsid w:val="055472A1"/>
    <w:rsid w:val="05562FED"/>
    <w:rsid w:val="05563E72"/>
    <w:rsid w:val="05577D7A"/>
    <w:rsid w:val="05595C82"/>
    <w:rsid w:val="055A0922"/>
    <w:rsid w:val="05600E1D"/>
    <w:rsid w:val="0560177E"/>
    <w:rsid w:val="056145E3"/>
    <w:rsid w:val="0562184D"/>
    <w:rsid w:val="05624EF4"/>
    <w:rsid w:val="05626755"/>
    <w:rsid w:val="056424C7"/>
    <w:rsid w:val="056621AB"/>
    <w:rsid w:val="0568661B"/>
    <w:rsid w:val="05693339"/>
    <w:rsid w:val="05694015"/>
    <w:rsid w:val="056A0D59"/>
    <w:rsid w:val="056A1C9B"/>
    <w:rsid w:val="056A1F45"/>
    <w:rsid w:val="056A79A3"/>
    <w:rsid w:val="056B2D50"/>
    <w:rsid w:val="056C3BFE"/>
    <w:rsid w:val="056D0012"/>
    <w:rsid w:val="056D6DB2"/>
    <w:rsid w:val="056E1635"/>
    <w:rsid w:val="056F1060"/>
    <w:rsid w:val="056F7793"/>
    <w:rsid w:val="05703C22"/>
    <w:rsid w:val="057272E7"/>
    <w:rsid w:val="057418E8"/>
    <w:rsid w:val="05752BC3"/>
    <w:rsid w:val="057602A4"/>
    <w:rsid w:val="05766AAE"/>
    <w:rsid w:val="05772978"/>
    <w:rsid w:val="0577746E"/>
    <w:rsid w:val="05777A14"/>
    <w:rsid w:val="0579237E"/>
    <w:rsid w:val="05793EF1"/>
    <w:rsid w:val="057940B5"/>
    <w:rsid w:val="057A1A3A"/>
    <w:rsid w:val="057A202C"/>
    <w:rsid w:val="057A2E9A"/>
    <w:rsid w:val="057A5ABD"/>
    <w:rsid w:val="057B0119"/>
    <w:rsid w:val="057B2ECA"/>
    <w:rsid w:val="057C5A76"/>
    <w:rsid w:val="057D1CCC"/>
    <w:rsid w:val="05812B41"/>
    <w:rsid w:val="058173B5"/>
    <w:rsid w:val="05832D5D"/>
    <w:rsid w:val="058663AA"/>
    <w:rsid w:val="058732A4"/>
    <w:rsid w:val="05873555"/>
    <w:rsid w:val="058755A7"/>
    <w:rsid w:val="05885BC6"/>
    <w:rsid w:val="058906F3"/>
    <w:rsid w:val="058B0BBF"/>
    <w:rsid w:val="058B3E9A"/>
    <w:rsid w:val="058C1873"/>
    <w:rsid w:val="058F0123"/>
    <w:rsid w:val="058F488B"/>
    <w:rsid w:val="05900850"/>
    <w:rsid w:val="059038F7"/>
    <w:rsid w:val="05931CD0"/>
    <w:rsid w:val="05946661"/>
    <w:rsid w:val="05975DB8"/>
    <w:rsid w:val="05980512"/>
    <w:rsid w:val="0598083C"/>
    <w:rsid w:val="05993309"/>
    <w:rsid w:val="059943D9"/>
    <w:rsid w:val="059A27A5"/>
    <w:rsid w:val="059C41EE"/>
    <w:rsid w:val="059C5421"/>
    <w:rsid w:val="05A045D0"/>
    <w:rsid w:val="05A21435"/>
    <w:rsid w:val="05A27366"/>
    <w:rsid w:val="05A4454E"/>
    <w:rsid w:val="05A56ED6"/>
    <w:rsid w:val="05A607FA"/>
    <w:rsid w:val="05A97689"/>
    <w:rsid w:val="05AA2139"/>
    <w:rsid w:val="05AB3646"/>
    <w:rsid w:val="05AB41A4"/>
    <w:rsid w:val="05AD6835"/>
    <w:rsid w:val="05AE242A"/>
    <w:rsid w:val="05AE3AE8"/>
    <w:rsid w:val="05AE3E83"/>
    <w:rsid w:val="05AF093A"/>
    <w:rsid w:val="05AF7A09"/>
    <w:rsid w:val="05B005DF"/>
    <w:rsid w:val="05B01966"/>
    <w:rsid w:val="05B05294"/>
    <w:rsid w:val="05B1513F"/>
    <w:rsid w:val="05B15FD7"/>
    <w:rsid w:val="05B218B4"/>
    <w:rsid w:val="05B272AB"/>
    <w:rsid w:val="05B30F86"/>
    <w:rsid w:val="05B43F66"/>
    <w:rsid w:val="05B44594"/>
    <w:rsid w:val="05B448C3"/>
    <w:rsid w:val="05B52224"/>
    <w:rsid w:val="05B6183C"/>
    <w:rsid w:val="05B625AB"/>
    <w:rsid w:val="05B747B5"/>
    <w:rsid w:val="05B82808"/>
    <w:rsid w:val="05B9333A"/>
    <w:rsid w:val="05BA1C50"/>
    <w:rsid w:val="05BC414D"/>
    <w:rsid w:val="05BD4939"/>
    <w:rsid w:val="05BD613B"/>
    <w:rsid w:val="05BF2D80"/>
    <w:rsid w:val="05C13A7B"/>
    <w:rsid w:val="05C23886"/>
    <w:rsid w:val="05C23970"/>
    <w:rsid w:val="05C418C9"/>
    <w:rsid w:val="05C56ED2"/>
    <w:rsid w:val="05C75603"/>
    <w:rsid w:val="05C80A15"/>
    <w:rsid w:val="05C80C71"/>
    <w:rsid w:val="05C814D1"/>
    <w:rsid w:val="05C8201D"/>
    <w:rsid w:val="05C84751"/>
    <w:rsid w:val="05C92AA2"/>
    <w:rsid w:val="05C9348B"/>
    <w:rsid w:val="05CA69C2"/>
    <w:rsid w:val="05CB6714"/>
    <w:rsid w:val="05CB7E52"/>
    <w:rsid w:val="05CC62CA"/>
    <w:rsid w:val="05CD3FD8"/>
    <w:rsid w:val="05CE68E2"/>
    <w:rsid w:val="05CF1150"/>
    <w:rsid w:val="05CF2FC7"/>
    <w:rsid w:val="05D030B6"/>
    <w:rsid w:val="05D17F3E"/>
    <w:rsid w:val="05D2762E"/>
    <w:rsid w:val="05D37D25"/>
    <w:rsid w:val="05D473D2"/>
    <w:rsid w:val="05DB00F2"/>
    <w:rsid w:val="05DD246D"/>
    <w:rsid w:val="05DE3F06"/>
    <w:rsid w:val="05E06BB8"/>
    <w:rsid w:val="05E355AA"/>
    <w:rsid w:val="05E3722E"/>
    <w:rsid w:val="05E376BB"/>
    <w:rsid w:val="05E41A4E"/>
    <w:rsid w:val="05E42740"/>
    <w:rsid w:val="05E54421"/>
    <w:rsid w:val="05E82BC0"/>
    <w:rsid w:val="05E83F44"/>
    <w:rsid w:val="05E874D6"/>
    <w:rsid w:val="05E960AD"/>
    <w:rsid w:val="05EC26B0"/>
    <w:rsid w:val="05EC2DDC"/>
    <w:rsid w:val="05EC43D5"/>
    <w:rsid w:val="05EC6A25"/>
    <w:rsid w:val="05ED4230"/>
    <w:rsid w:val="05EE7D2D"/>
    <w:rsid w:val="05EF3F4F"/>
    <w:rsid w:val="05EF622A"/>
    <w:rsid w:val="05EF6A99"/>
    <w:rsid w:val="05F1023E"/>
    <w:rsid w:val="05F14C36"/>
    <w:rsid w:val="05F250AD"/>
    <w:rsid w:val="05F2736F"/>
    <w:rsid w:val="05F60B22"/>
    <w:rsid w:val="05F81344"/>
    <w:rsid w:val="05F9339D"/>
    <w:rsid w:val="05FA0CD1"/>
    <w:rsid w:val="05FB0B46"/>
    <w:rsid w:val="05FE78D8"/>
    <w:rsid w:val="05FF63F5"/>
    <w:rsid w:val="060009DF"/>
    <w:rsid w:val="06004E9C"/>
    <w:rsid w:val="0600615C"/>
    <w:rsid w:val="060078E9"/>
    <w:rsid w:val="06025478"/>
    <w:rsid w:val="060317A8"/>
    <w:rsid w:val="0607234F"/>
    <w:rsid w:val="060911D9"/>
    <w:rsid w:val="060A0D89"/>
    <w:rsid w:val="060A4DD7"/>
    <w:rsid w:val="060A7BA0"/>
    <w:rsid w:val="060B0E4B"/>
    <w:rsid w:val="060E0255"/>
    <w:rsid w:val="06101E5C"/>
    <w:rsid w:val="061113E0"/>
    <w:rsid w:val="06115782"/>
    <w:rsid w:val="061219D4"/>
    <w:rsid w:val="061414FF"/>
    <w:rsid w:val="06143C9C"/>
    <w:rsid w:val="06147E59"/>
    <w:rsid w:val="061540E5"/>
    <w:rsid w:val="0618289E"/>
    <w:rsid w:val="0618675B"/>
    <w:rsid w:val="061904ED"/>
    <w:rsid w:val="06193186"/>
    <w:rsid w:val="061956D4"/>
    <w:rsid w:val="061A0ADF"/>
    <w:rsid w:val="061A15FB"/>
    <w:rsid w:val="061B3570"/>
    <w:rsid w:val="061D466D"/>
    <w:rsid w:val="061E1326"/>
    <w:rsid w:val="06213F95"/>
    <w:rsid w:val="06214956"/>
    <w:rsid w:val="06220888"/>
    <w:rsid w:val="06222576"/>
    <w:rsid w:val="06225315"/>
    <w:rsid w:val="06267C6F"/>
    <w:rsid w:val="06271BF8"/>
    <w:rsid w:val="062742CF"/>
    <w:rsid w:val="062753B4"/>
    <w:rsid w:val="06277ED4"/>
    <w:rsid w:val="062956B3"/>
    <w:rsid w:val="06295C09"/>
    <w:rsid w:val="062A4F87"/>
    <w:rsid w:val="062C3530"/>
    <w:rsid w:val="062D62CF"/>
    <w:rsid w:val="062E0F1B"/>
    <w:rsid w:val="062E2F57"/>
    <w:rsid w:val="062E7673"/>
    <w:rsid w:val="062F6FF6"/>
    <w:rsid w:val="06314567"/>
    <w:rsid w:val="06315DFB"/>
    <w:rsid w:val="06335527"/>
    <w:rsid w:val="06355B52"/>
    <w:rsid w:val="06394EBA"/>
    <w:rsid w:val="063A3B1A"/>
    <w:rsid w:val="063A78C0"/>
    <w:rsid w:val="063C543D"/>
    <w:rsid w:val="063D40C6"/>
    <w:rsid w:val="063D412C"/>
    <w:rsid w:val="063D5A2D"/>
    <w:rsid w:val="063D798A"/>
    <w:rsid w:val="063E4C65"/>
    <w:rsid w:val="063F1604"/>
    <w:rsid w:val="06404B70"/>
    <w:rsid w:val="06410925"/>
    <w:rsid w:val="06423FBF"/>
    <w:rsid w:val="0643061B"/>
    <w:rsid w:val="06442B28"/>
    <w:rsid w:val="06444B83"/>
    <w:rsid w:val="06446CAE"/>
    <w:rsid w:val="06460BF7"/>
    <w:rsid w:val="06473FB0"/>
    <w:rsid w:val="0648365F"/>
    <w:rsid w:val="064A139D"/>
    <w:rsid w:val="064A58D9"/>
    <w:rsid w:val="064B1892"/>
    <w:rsid w:val="064D79F0"/>
    <w:rsid w:val="064F5803"/>
    <w:rsid w:val="065105A9"/>
    <w:rsid w:val="06523298"/>
    <w:rsid w:val="06523F48"/>
    <w:rsid w:val="06527EC8"/>
    <w:rsid w:val="06560730"/>
    <w:rsid w:val="065837C4"/>
    <w:rsid w:val="06585862"/>
    <w:rsid w:val="06593E99"/>
    <w:rsid w:val="0659586C"/>
    <w:rsid w:val="065D47B3"/>
    <w:rsid w:val="065D602E"/>
    <w:rsid w:val="065F2756"/>
    <w:rsid w:val="06603DBA"/>
    <w:rsid w:val="0660735B"/>
    <w:rsid w:val="066159B7"/>
    <w:rsid w:val="066165AE"/>
    <w:rsid w:val="0662095B"/>
    <w:rsid w:val="06627908"/>
    <w:rsid w:val="066466EB"/>
    <w:rsid w:val="06661771"/>
    <w:rsid w:val="06674EB2"/>
    <w:rsid w:val="06696460"/>
    <w:rsid w:val="066A0CD6"/>
    <w:rsid w:val="066B3B86"/>
    <w:rsid w:val="066C04F4"/>
    <w:rsid w:val="066D19F4"/>
    <w:rsid w:val="066D7111"/>
    <w:rsid w:val="066E73E8"/>
    <w:rsid w:val="066F5090"/>
    <w:rsid w:val="066F71A1"/>
    <w:rsid w:val="067032E2"/>
    <w:rsid w:val="06710E08"/>
    <w:rsid w:val="06712C8C"/>
    <w:rsid w:val="06716BE6"/>
    <w:rsid w:val="06723E3F"/>
    <w:rsid w:val="06734882"/>
    <w:rsid w:val="06736C0A"/>
    <w:rsid w:val="067611B1"/>
    <w:rsid w:val="06766ACB"/>
    <w:rsid w:val="06770ACE"/>
    <w:rsid w:val="06782196"/>
    <w:rsid w:val="06786A61"/>
    <w:rsid w:val="06787267"/>
    <w:rsid w:val="067907E0"/>
    <w:rsid w:val="06792FA5"/>
    <w:rsid w:val="067A1543"/>
    <w:rsid w:val="067A168C"/>
    <w:rsid w:val="067A4160"/>
    <w:rsid w:val="067B1C86"/>
    <w:rsid w:val="067C1866"/>
    <w:rsid w:val="067C2ABC"/>
    <w:rsid w:val="067C2CE7"/>
    <w:rsid w:val="067C3406"/>
    <w:rsid w:val="067C5624"/>
    <w:rsid w:val="067D77AC"/>
    <w:rsid w:val="067E3534"/>
    <w:rsid w:val="067E65AF"/>
    <w:rsid w:val="067F305E"/>
    <w:rsid w:val="067F4A0F"/>
    <w:rsid w:val="068154EF"/>
    <w:rsid w:val="06816F5F"/>
    <w:rsid w:val="06841C52"/>
    <w:rsid w:val="068467F9"/>
    <w:rsid w:val="06846D8D"/>
    <w:rsid w:val="06847D38"/>
    <w:rsid w:val="068544F7"/>
    <w:rsid w:val="06862EF1"/>
    <w:rsid w:val="06862F82"/>
    <w:rsid w:val="068723D9"/>
    <w:rsid w:val="06875229"/>
    <w:rsid w:val="068838E1"/>
    <w:rsid w:val="068838F4"/>
    <w:rsid w:val="068862E9"/>
    <w:rsid w:val="06886587"/>
    <w:rsid w:val="06886F97"/>
    <w:rsid w:val="068A1D23"/>
    <w:rsid w:val="068B011B"/>
    <w:rsid w:val="068B03FD"/>
    <w:rsid w:val="068B34F6"/>
    <w:rsid w:val="068C109B"/>
    <w:rsid w:val="068D2943"/>
    <w:rsid w:val="068D7423"/>
    <w:rsid w:val="068F16B5"/>
    <w:rsid w:val="068F658C"/>
    <w:rsid w:val="06946B41"/>
    <w:rsid w:val="0697042D"/>
    <w:rsid w:val="0697190B"/>
    <w:rsid w:val="06977EE7"/>
    <w:rsid w:val="069916BB"/>
    <w:rsid w:val="069B4B2F"/>
    <w:rsid w:val="069B68EF"/>
    <w:rsid w:val="069B7C33"/>
    <w:rsid w:val="069C2584"/>
    <w:rsid w:val="069D1BFD"/>
    <w:rsid w:val="069D7E4F"/>
    <w:rsid w:val="069E2431"/>
    <w:rsid w:val="06A02F7E"/>
    <w:rsid w:val="06A0494E"/>
    <w:rsid w:val="06A11240"/>
    <w:rsid w:val="06A43F0A"/>
    <w:rsid w:val="06A50DBA"/>
    <w:rsid w:val="06A72333"/>
    <w:rsid w:val="06A922BE"/>
    <w:rsid w:val="06A93A70"/>
    <w:rsid w:val="06AB05CD"/>
    <w:rsid w:val="06AD1B15"/>
    <w:rsid w:val="06AD62E4"/>
    <w:rsid w:val="06AE179F"/>
    <w:rsid w:val="06AF7FB7"/>
    <w:rsid w:val="06B01E4D"/>
    <w:rsid w:val="06B036DE"/>
    <w:rsid w:val="06B21788"/>
    <w:rsid w:val="06B22F52"/>
    <w:rsid w:val="06B30D97"/>
    <w:rsid w:val="06B451DA"/>
    <w:rsid w:val="06B47B7A"/>
    <w:rsid w:val="06B6618E"/>
    <w:rsid w:val="06B7140A"/>
    <w:rsid w:val="06B73E71"/>
    <w:rsid w:val="06B867FC"/>
    <w:rsid w:val="06BA29A7"/>
    <w:rsid w:val="06BA2A1B"/>
    <w:rsid w:val="06BA7F39"/>
    <w:rsid w:val="06BC4119"/>
    <w:rsid w:val="06BE1947"/>
    <w:rsid w:val="06BE6AB4"/>
    <w:rsid w:val="06C1551D"/>
    <w:rsid w:val="06C4123A"/>
    <w:rsid w:val="06C45E48"/>
    <w:rsid w:val="06C55506"/>
    <w:rsid w:val="06C61153"/>
    <w:rsid w:val="06C70A28"/>
    <w:rsid w:val="06CB1BC3"/>
    <w:rsid w:val="06CB25A0"/>
    <w:rsid w:val="06CC597B"/>
    <w:rsid w:val="06CD0ABC"/>
    <w:rsid w:val="06CD3D72"/>
    <w:rsid w:val="06CE3F4F"/>
    <w:rsid w:val="06CE5603"/>
    <w:rsid w:val="06CF4373"/>
    <w:rsid w:val="06D2735E"/>
    <w:rsid w:val="06D30152"/>
    <w:rsid w:val="06D418A0"/>
    <w:rsid w:val="06D47A7D"/>
    <w:rsid w:val="06D664EB"/>
    <w:rsid w:val="06D85CEA"/>
    <w:rsid w:val="06D97C66"/>
    <w:rsid w:val="06DA075B"/>
    <w:rsid w:val="06DA551C"/>
    <w:rsid w:val="06DC0CF1"/>
    <w:rsid w:val="06DC3FE4"/>
    <w:rsid w:val="06DC5C21"/>
    <w:rsid w:val="06DD48E1"/>
    <w:rsid w:val="06DE1E6F"/>
    <w:rsid w:val="06DF5D71"/>
    <w:rsid w:val="06DF76C9"/>
    <w:rsid w:val="06E17D3B"/>
    <w:rsid w:val="06E30D54"/>
    <w:rsid w:val="06E526FB"/>
    <w:rsid w:val="06E6018A"/>
    <w:rsid w:val="06E718C8"/>
    <w:rsid w:val="06E9382E"/>
    <w:rsid w:val="06EA46ED"/>
    <w:rsid w:val="06EB43B9"/>
    <w:rsid w:val="06ED0133"/>
    <w:rsid w:val="06ED67BF"/>
    <w:rsid w:val="06EE0BBA"/>
    <w:rsid w:val="06EE175B"/>
    <w:rsid w:val="06F15AA5"/>
    <w:rsid w:val="06F34474"/>
    <w:rsid w:val="06F4321E"/>
    <w:rsid w:val="06F44109"/>
    <w:rsid w:val="06F51A39"/>
    <w:rsid w:val="06F61A7D"/>
    <w:rsid w:val="06F75018"/>
    <w:rsid w:val="06F753B6"/>
    <w:rsid w:val="06F7755F"/>
    <w:rsid w:val="06F82C62"/>
    <w:rsid w:val="06F832D7"/>
    <w:rsid w:val="06F86E33"/>
    <w:rsid w:val="06F91801"/>
    <w:rsid w:val="06F91FD2"/>
    <w:rsid w:val="06F967A7"/>
    <w:rsid w:val="06FC1276"/>
    <w:rsid w:val="06FC2DC7"/>
    <w:rsid w:val="06FC6EAE"/>
    <w:rsid w:val="06FC76E1"/>
    <w:rsid w:val="06FD5623"/>
    <w:rsid w:val="06FE513C"/>
    <w:rsid w:val="07000291"/>
    <w:rsid w:val="0701257B"/>
    <w:rsid w:val="07024AB1"/>
    <w:rsid w:val="07036AE8"/>
    <w:rsid w:val="07064603"/>
    <w:rsid w:val="070800FD"/>
    <w:rsid w:val="07081CA4"/>
    <w:rsid w:val="0708321C"/>
    <w:rsid w:val="070B795F"/>
    <w:rsid w:val="070E5AAE"/>
    <w:rsid w:val="070E7A21"/>
    <w:rsid w:val="07101246"/>
    <w:rsid w:val="071058FF"/>
    <w:rsid w:val="07127E05"/>
    <w:rsid w:val="07133D2B"/>
    <w:rsid w:val="071426B7"/>
    <w:rsid w:val="071461D1"/>
    <w:rsid w:val="07153728"/>
    <w:rsid w:val="07153E89"/>
    <w:rsid w:val="07157ACF"/>
    <w:rsid w:val="07170AD3"/>
    <w:rsid w:val="07176E5F"/>
    <w:rsid w:val="071A7EB3"/>
    <w:rsid w:val="071C229E"/>
    <w:rsid w:val="071C3295"/>
    <w:rsid w:val="071D55AF"/>
    <w:rsid w:val="071E3C0C"/>
    <w:rsid w:val="071F0864"/>
    <w:rsid w:val="071F16B3"/>
    <w:rsid w:val="071F1885"/>
    <w:rsid w:val="072034F0"/>
    <w:rsid w:val="07207AA4"/>
    <w:rsid w:val="07224A50"/>
    <w:rsid w:val="07224DBF"/>
    <w:rsid w:val="07230354"/>
    <w:rsid w:val="07231CB1"/>
    <w:rsid w:val="0723588D"/>
    <w:rsid w:val="072468B9"/>
    <w:rsid w:val="07250A9A"/>
    <w:rsid w:val="072530D7"/>
    <w:rsid w:val="0725765A"/>
    <w:rsid w:val="072617F1"/>
    <w:rsid w:val="07274904"/>
    <w:rsid w:val="0728596A"/>
    <w:rsid w:val="072916E2"/>
    <w:rsid w:val="07292F15"/>
    <w:rsid w:val="07293490"/>
    <w:rsid w:val="072D4D2F"/>
    <w:rsid w:val="072F792E"/>
    <w:rsid w:val="07301C8D"/>
    <w:rsid w:val="07302402"/>
    <w:rsid w:val="073267E9"/>
    <w:rsid w:val="07331844"/>
    <w:rsid w:val="073411F2"/>
    <w:rsid w:val="07362068"/>
    <w:rsid w:val="073B129C"/>
    <w:rsid w:val="073B2C60"/>
    <w:rsid w:val="073B6CAB"/>
    <w:rsid w:val="07402340"/>
    <w:rsid w:val="07423F7E"/>
    <w:rsid w:val="07426A65"/>
    <w:rsid w:val="07433953"/>
    <w:rsid w:val="07436E4C"/>
    <w:rsid w:val="07443B62"/>
    <w:rsid w:val="07450D4A"/>
    <w:rsid w:val="07470675"/>
    <w:rsid w:val="0747507F"/>
    <w:rsid w:val="07483BF5"/>
    <w:rsid w:val="07485A77"/>
    <w:rsid w:val="07486182"/>
    <w:rsid w:val="074917EE"/>
    <w:rsid w:val="074A766A"/>
    <w:rsid w:val="074B7783"/>
    <w:rsid w:val="074D0A2F"/>
    <w:rsid w:val="074E5C7C"/>
    <w:rsid w:val="074F5A1D"/>
    <w:rsid w:val="074F7AC9"/>
    <w:rsid w:val="07504612"/>
    <w:rsid w:val="07511370"/>
    <w:rsid w:val="075318FB"/>
    <w:rsid w:val="0754433D"/>
    <w:rsid w:val="075449B1"/>
    <w:rsid w:val="07545FA8"/>
    <w:rsid w:val="07555AC3"/>
    <w:rsid w:val="075631C5"/>
    <w:rsid w:val="07577FFE"/>
    <w:rsid w:val="075860A1"/>
    <w:rsid w:val="07586D7E"/>
    <w:rsid w:val="07596E43"/>
    <w:rsid w:val="075A03A2"/>
    <w:rsid w:val="075A222B"/>
    <w:rsid w:val="075A2B2B"/>
    <w:rsid w:val="075A5E7B"/>
    <w:rsid w:val="075B6A13"/>
    <w:rsid w:val="075B790A"/>
    <w:rsid w:val="075E3268"/>
    <w:rsid w:val="07622E52"/>
    <w:rsid w:val="07630750"/>
    <w:rsid w:val="0763443E"/>
    <w:rsid w:val="07634BF4"/>
    <w:rsid w:val="07641C33"/>
    <w:rsid w:val="07660241"/>
    <w:rsid w:val="076612F7"/>
    <w:rsid w:val="07670AEB"/>
    <w:rsid w:val="0767791B"/>
    <w:rsid w:val="07697A64"/>
    <w:rsid w:val="076A4A8B"/>
    <w:rsid w:val="076B07D5"/>
    <w:rsid w:val="076B7795"/>
    <w:rsid w:val="076D7229"/>
    <w:rsid w:val="076F0114"/>
    <w:rsid w:val="076F2044"/>
    <w:rsid w:val="076F2D6C"/>
    <w:rsid w:val="077010BF"/>
    <w:rsid w:val="0770286B"/>
    <w:rsid w:val="077101A3"/>
    <w:rsid w:val="07710602"/>
    <w:rsid w:val="07724C40"/>
    <w:rsid w:val="07735269"/>
    <w:rsid w:val="07736D89"/>
    <w:rsid w:val="0774157A"/>
    <w:rsid w:val="077566D6"/>
    <w:rsid w:val="07766B57"/>
    <w:rsid w:val="07775550"/>
    <w:rsid w:val="07781D8F"/>
    <w:rsid w:val="07785F9A"/>
    <w:rsid w:val="077869E0"/>
    <w:rsid w:val="07787F0D"/>
    <w:rsid w:val="077901CF"/>
    <w:rsid w:val="077948BA"/>
    <w:rsid w:val="077A10F2"/>
    <w:rsid w:val="077A22C1"/>
    <w:rsid w:val="077A53ED"/>
    <w:rsid w:val="077A65E7"/>
    <w:rsid w:val="077C37C5"/>
    <w:rsid w:val="077C60AF"/>
    <w:rsid w:val="077D5D05"/>
    <w:rsid w:val="077E4B83"/>
    <w:rsid w:val="077E56AF"/>
    <w:rsid w:val="078057A6"/>
    <w:rsid w:val="07811B90"/>
    <w:rsid w:val="07813D1C"/>
    <w:rsid w:val="078254E2"/>
    <w:rsid w:val="07832BA1"/>
    <w:rsid w:val="07837045"/>
    <w:rsid w:val="07856413"/>
    <w:rsid w:val="07875257"/>
    <w:rsid w:val="0789509A"/>
    <w:rsid w:val="07896C3F"/>
    <w:rsid w:val="078A0D82"/>
    <w:rsid w:val="078A0DF5"/>
    <w:rsid w:val="078A42CE"/>
    <w:rsid w:val="078B693C"/>
    <w:rsid w:val="078B7C97"/>
    <w:rsid w:val="078D7EC3"/>
    <w:rsid w:val="078E1364"/>
    <w:rsid w:val="078E70B9"/>
    <w:rsid w:val="078F1DA1"/>
    <w:rsid w:val="078F745F"/>
    <w:rsid w:val="078F7797"/>
    <w:rsid w:val="079117F2"/>
    <w:rsid w:val="079175D5"/>
    <w:rsid w:val="079337C6"/>
    <w:rsid w:val="07933E3A"/>
    <w:rsid w:val="07947B2B"/>
    <w:rsid w:val="07950B26"/>
    <w:rsid w:val="07960B91"/>
    <w:rsid w:val="07962B50"/>
    <w:rsid w:val="07962EDA"/>
    <w:rsid w:val="07966D78"/>
    <w:rsid w:val="07972AF0"/>
    <w:rsid w:val="07993823"/>
    <w:rsid w:val="07995B5F"/>
    <w:rsid w:val="079B7E3C"/>
    <w:rsid w:val="079D06AC"/>
    <w:rsid w:val="079E06FB"/>
    <w:rsid w:val="079E5C2C"/>
    <w:rsid w:val="079F3753"/>
    <w:rsid w:val="07A0647A"/>
    <w:rsid w:val="07A174CB"/>
    <w:rsid w:val="07A269BC"/>
    <w:rsid w:val="07A50D69"/>
    <w:rsid w:val="07A52FE6"/>
    <w:rsid w:val="07A56FBB"/>
    <w:rsid w:val="07A8437E"/>
    <w:rsid w:val="07A87985"/>
    <w:rsid w:val="07A9564E"/>
    <w:rsid w:val="07A9785F"/>
    <w:rsid w:val="07AA4B1E"/>
    <w:rsid w:val="07AB1A03"/>
    <w:rsid w:val="07AB20F7"/>
    <w:rsid w:val="07AB4678"/>
    <w:rsid w:val="07AB7D7F"/>
    <w:rsid w:val="07AC17C1"/>
    <w:rsid w:val="07AC3666"/>
    <w:rsid w:val="07AC3D93"/>
    <w:rsid w:val="07AC41A7"/>
    <w:rsid w:val="07AE4FCF"/>
    <w:rsid w:val="07AE5765"/>
    <w:rsid w:val="07AF37E1"/>
    <w:rsid w:val="07AF3ACA"/>
    <w:rsid w:val="07B03E41"/>
    <w:rsid w:val="07B0770E"/>
    <w:rsid w:val="07B34575"/>
    <w:rsid w:val="07B36AB5"/>
    <w:rsid w:val="07B559E4"/>
    <w:rsid w:val="07B74F40"/>
    <w:rsid w:val="07B812A2"/>
    <w:rsid w:val="07BE4913"/>
    <w:rsid w:val="07BE62CF"/>
    <w:rsid w:val="07BF38FA"/>
    <w:rsid w:val="07C10B0A"/>
    <w:rsid w:val="07C22C1C"/>
    <w:rsid w:val="07C23055"/>
    <w:rsid w:val="07C25034"/>
    <w:rsid w:val="07C35693"/>
    <w:rsid w:val="07C362B9"/>
    <w:rsid w:val="07C440E8"/>
    <w:rsid w:val="07C5107C"/>
    <w:rsid w:val="07C81AF4"/>
    <w:rsid w:val="07C82CA9"/>
    <w:rsid w:val="07C90F3A"/>
    <w:rsid w:val="07CA5F0B"/>
    <w:rsid w:val="07CB5DA5"/>
    <w:rsid w:val="07CC1DB5"/>
    <w:rsid w:val="07CD52EE"/>
    <w:rsid w:val="07CD7318"/>
    <w:rsid w:val="07CD7F4E"/>
    <w:rsid w:val="07CF228A"/>
    <w:rsid w:val="07D000A4"/>
    <w:rsid w:val="07D00C48"/>
    <w:rsid w:val="07D07AAD"/>
    <w:rsid w:val="07D10FB9"/>
    <w:rsid w:val="07D16002"/>
    <w:rsid w:val="07D174FE"/>
    <w:rsid w:val="07D17DB0"/>
    <w:rsid w:val="07D258D6"/>
    <w:rsid w:val="07D26499"/>
    <w:rsid w:val="07D27DF0"/>
    <w:rsid w:val="07D608AC"/>
    <w:rsid w:val="07D67837"/>
    <w:rsid w:val="07D87D2D"/>
    <w:rsid w:val="07D9228C"/>
    <w:rsid w:val="07DC1E60"/>
    <w:rsid w:val="07DC2329"/>
    <w:rsid w:val="07DD1BAC"/>
    <w:rsid w:val="07DE0142"/>
    <w:rsid w:val="07DE427B"/>
    <w:rsid w:val="07DE7496"/>
    <w:rsid w:val="07E37AE3"/>
    <w:rsid w:val="07E5385B"/>
    <w:rsid w:val="07E61381"/>
    <w:rsid w:val="07E775D3"/>
    <w:rsid w:val="07E85C51"/>
    <w:rsid w:val="07EB1D30"/>
    <w:rsid w:val="07EB6762"/>
    <w:rsid w:val="07EC1847"/>
    <w:rsid w:val="07EC4EAD"/>
    <w:rsid w:val="07EF0236"/>
    <w:rsid w:val="07EF49DE"/>
    <w:rsid w:val="07F0648C"/>
    <w:rsid w:val="07F07473"/>
    <w:rsid w:val="07F100A9"/>
    <w:rsid w:val="07F1637B"/>
    <w:rsid w:val="07F23064"/>
    <w:rsid w:val="07F250AD"/>
    <w:rsid w:val="07F474C3"/>
    <w:rsid w:val="07F63E15"/>
    <w:rsid w:val="07F8392C"/>
    <w:rsid w:val="07F97307"/>
    <w:rsid w:val="07FA2698"/>
    <w:rsid w:val="07FB307F"/>
    <w:rsid w:val="07FC3E74"/>
    <w:rsid w:val="07FE52DC"/>
    <w:rsid w:val="07FE66CB"/>
    <w:rsid w:val="07FF48C8"/>
    <w:rsid w:val="080000C0"/>
    <w:rsid w:val="08006731"/>
    <w:rsid w:val="0801452F"/>
    <w:rsid w:val="08016791"/>
    <w:rsid w:val="08026841"/>
    <w:rsid w:val="08030FD8"/>
    <w:rsid w:val="0803189C"/>
    <w:rsid w:val="08033CE1"/>
    <w:rsid w:val="0803562C"/>
    <w:rsid w:val="0803635E"/>
    <w:rsid w:val="08040049"/>
    <w:rsid w:val="08046063"/>
    <w:rsid w:val="08064DBA"/>
    <w:rsid w:val="08075F7B"/>
    <w:rsid w:val="0808754A"/>
    <w:rsid w:val="080E1791"/>
    <w:rsid w:val="080E352C"/>
    <w:rsid w:val="080F6B2A"/>
    <w:rsid w:val="080F6F07"/>
    <w:rsid w:val="08111B06"/>
    <w:rsid w:val="0813103B"/>
    <w:rsid w:val="08142E70"/>
    <w:rsid w:val="08155AF6"/>
    <w:rsid w:val="081604CD"/>
    <w:rsid w:val="081608A9"/>
    <w:rsid w:val="08161C67"/>
    <w:rsid w:val="081A031D"/>
    <w:rsid w:val="081A6AA7"/>
    <w:rsid w:val="081B149E"/>
    <w:rsid w:val="081C3B7B"/>
    <w:rsid w:val="081C4DA3"/>
    <w:rsid w:val="081D4EC1"/>
    <w:rsid w:val="081D5FCD"/>
    <w:rsid w:val="081E13EE"/>
    <w:rsid w:val="081E4B98"/>
    <w:rsid w:val="081F4466"/>
    <w:rsid w:val="081F552B"/>
    <w:rsid w:val="08200168"/>
    <w:rsid w:val="08207009"/>
    <w:rsid w:val="08217955"/>
    <w:rsid w:val="08225E73"/>
    <w:rsid w:val="08226AA5"/>
    <w:rsid w:val="08232813"/>
    <w:rsid w:val="0824157E"/>
    <w:rsid w:val="08246E93"/>
    <w:rsid w:val="08250DD9"/>
    <w:rsid w:val="082537F9"/>
    <w:rsid w:val="082645E6"/>
    <w:rsid w:val="0826742F"/>
    <w:rsid w:val="08277056"/>
    <w:rsid w:val="0828524F"/>
    <w:rsid w:val="082969A2"/>
    <w:rsid w:val="082A780B"/>
    <w:rsid w:val="082B3EC3"/>
    <w:rsid w:val="082B7429"/>
    <w:rsid w:val="082C3238"/>
    <w:rsid w:val="082D1FBD"/>
    <w:rsid w:val="082D5DC8"/>
    <w:rsid w:val="082D6FB0"/>
    <w:rsid w:val="082E1370"/>
    <w:rsid w:val="082E55DF"/>
    <w:rsid w:val="082F0918"/>
    <w:rsid w:val="082F4AD6"/>
    <w:rsid w:val="082F77ED"/>
    <w:rsid w:val="08301237"/>
    <w:rsid w:val="0831084F"/>
    <w:rsid w:val="08311CF1"/>
    <w:rsid w:val="08341B8F"/>
    <w:rsid w:val="08367B67"/>
    <w:rsid w:val="08387626"/>
    <w:rsid w:val="08393BA7"/>
    <w:rsid w:val="083B16A4"/>
    <w:rsid w:val="083E11BD"/>
    <w:rsid w:val="083E4D1A"/>
    <w:rsid w:val="083F4163"/>
    <w:rsid w:val="08400A92"/>
    <w:rsid w:val="08402456"/>
    <w:rsid w:val="08417F5B"/>
    <w:rsid w:val="08420AFA"/>
    <w:rsid w:val="08444A86"/>
    <w:rsid w:val="08467AD1"/>
    <w:rsid w:val="0847567B"/>
    <w:rsid w:val="084D0FC5"/>
    <w:rsid w:val="084D1CF0"/>
    <w:rsid w:val="084E067B"/>
    <w:rsid w:val="084E7652"/>
    <w:rsid w:val="084F5B93"/>
    <w:rsid w:val="085034CC"/>
    <w:rsid w:val="085202AE"/>
    <w:rsid w:val="08524424"/>
    <w:rsid w:val="08534FC3"/>
    <w:rsid w:val="08537402"/>
    <w:rsid w:val="08541BE9"/>
    <w:rsid w:val="08550C20"/>
    <w:rsid w:val="085A0A0A"/>
    <w:rsid w:val="085A794B"/>
    <w:rsid w:val="085B51B1"/>
    <w:rsid w:val="085D0282"/>
    <w:rsid w:val="085D1644"/>
    <w:rsid w:val="085D56CD"/>
    <w:rsid w:val="085D7E4F"/>
    <w:rsid w:val="085E1496"/>
    <w:rsid w:val="085F10A3"/>
    <w:rsid w:val="085F1FF3"/>
    <w:rsid w:val="085F62F6"/>
    <w:rsid w:val="08613EEA"/>
    <w:rsid w:val="086278EF"/>
    <w:rsid w:val="08640DAE"/>
    <w:rsid w:val="08645C08"/>
    <w:rsid w:val="08653485"/>
    <w:rsid w:val="08655C45"/>
    <w:rsid w:val="08687FE8"/>
    <w:rsid w:val="0869456A"/>
    <w:rsid w:val="086A7DA4"/>
    <w:rsid w:val="086B77B1"/>
    <w:rsid w:val="086C290A"/>
    <w:rsid w:val="086E0331"/>
    <w:rsid w:val="08722947"/>
    <w:rsid w:val="08776489"/>
    <w:rsid w:val="08791024"/>
    <w:rsid w:val="087A0447"/>
    <w:rsid w:val="087A185D"/>
    <w:rsid w:val="087A507B"/>
    <w:rsid w:val="087B0530"/>
    <w:rsid w:val="087E040B"/>
    <w:rsid w:val="087E165A"/>
    <w:rsid w:val="087F28FA"/>
    <w:rsid w:val="088012BC"/>
    <w:rsid w:val="08802790"/>
    <w:rsid w:val="08806BD6"/>
    <w:rsid w:val="08816B15"/>
    <w:rsid w:val="0882554E"/>
    <w:rsid w:val="08825B97"/>
    <w:rsid w:val="088463BC"/>
    <w:rsid w:val="08852948"/>
    <w:rsid w:val="088568C2"/>
    <w:rsid w:val="0886622F"/>
    <w:rsid w:val="088842BD"/>
    <w:rsid w:val="088E3395"/>
    <w:rsid w:val="0890171B"/>
    <w:rsid w:val="08905BA0"/>
    <w:rsid w:val="0891675F"/>
    <w:rsid w:val="08923091"/>
    <w:rsid w:val="089267D0"/>
    <w:rsid w:val="0895702F"/>
    <w:rsid w:val="0896541C"/>
    <w:rsid w:val="0896764F"/>
    <w:rsid w:val="0899258E"/>
    <w:rsid w:val="089B645C"/>
    <w:rsid w:val="089C0163"/>
    <w:rsid w:val="089C289E"/>
    <w:rsid w:val="089C4DCB"/>
    <w:rsid w:val="089C6372"/>
    <w:rsid w:val="089D7C92"/>
    <w:rsid w:val="089F55D7"/>
    <w:rsid w:val="08A059D4"/>
    <w:rsid w:val="08A12DDA"/>
    <w:rsid w:val="08A56BE7"/>
    <w:rsid w:val="08A60005"/>
    <w:rsid w:val="08A92BF8"/>
    <w:rsid w:val="08A94889"/>
    <w:rsid w:val="08AA23CF"/>
    <w:rsid w:val="08AA7F48"/>
    <w:rsid w:val="08AE6343"/>
    <w:rsid w:val="08B03E69"/>
    <w:rsid w:val="08B05036"/>
    <w:rsid w:val="08B13458"/>
    <w:rsid w:val="08B201FC"/>
    <w:rsid w:val="08B558FB"/>
    <w:rsid w:val="08B87789"/>
    <w:rsid w:val="08B9674C"/>
    <w:rsid w:val="08BA0844"/>
    <w:rsid w:val="08BB1B4A"/>
    <w:rsid w:val="08BC0A60"/>
    <w:rsid w:val="08BD20E2"/>
    <w:rsid w:val="08C03B56"/>
    <w:rsid w:val="08C12616"/>
    <w:rsid w:val="08C416C3"/>
    <w:rsid w:val="08C5147B"/>
    <w:rsid w:val="08C60521"/>
    <w:rsid w:val="08C75F70"/>
    <w:rsid w:val="08C85D36"/>
    <w:rsid w:val="08C94F2B"/>
    <w:rsid w:val="08C950B6"/>
    <w:rsid w:val="08C952ED"/>
    <w:rsid w:val="08CA176A"/>
    <w:rsid w:val="08CA4233"/>
    <w:rsid w:val="08CA47FF"/>
    <w:rsid w:val="08CB21B0"/>
    <w:rsid w:val="08CC0577"/>
    <w:rsid w:val="08CC113E"/>
    <w:rsid w:val="08CC2606"/>
    <w:rsid w:val="08CC47E6"/>
    <w:rsid w:val="08CC5C2A"/>
    <w:rsid w:val="08CD091F"/>
    <w:rsid w:val="08CD1983"/>
    <w:rsid w:val="08CD2191"/>
    <w:rsid w:val="08CE043D"/>
    <w:rsid w:val="08D025B5"/>
    <w:rsid w:val="08D062B9"/>
    <w:rsid w:val="08D07C7F"/>
    <w:rsid w:val="08D12C20"/>
    <w:rsid w:val="08D132F7"/>
    <w:rsid w:val="08D13DE0"/>
    <w:rsid w:val="08D22573"/>
    <w:rsid w:val="08D30429"/>
    <w:rsid w:val="08D345EE"/>
    <w:rsid w:val="08D44328"/>
    <w:rsid w:val="08D44EE3"/>
    <w:rsid w:val="08DA69A3"/>
    <w:rsid w:val="08DA6AC0"/>
    <w:rsid w:val="08DB0B60"/>
    <w:rsid w:val="08DB1DF8"/>
    <w:rsid w:val="08DB3D33"/>
    <w:rsid w:val="08DB6A0C"/>
    <w:rsid w:val="08DC2D4C"/>
    <w:rsid w:val="08DC386F"/>
    <w:rsid w:val="08DD24B4"/>
    <w:rsid w:val="08DD42B7"/>
    <w:rsid w:val="08DD7C14"/>
    <w:rsid w:val="08DD7EC2"/>
    <w:rsid w:val="08E104C7"/>
    <w:rsid w:val="08E16A75"/>
    <w:rsid w:val="08E518F4"/>
    <w:rsid w:val="08E61CEC"/>
    <w:rsid w:val="08E91129"/>
    <w:rsid w:val="08E940C9"/>
    <w:rsid w:val="08E9706D"/>
    <w:rsid w:val="08EB6C4F"/>
    <w:rsid w:val="08EC3DDD"/>
    <w:rsid w:val="08ED45E1"/>
    <w:rsid w:val="08ED6E6B"/>
    <w:rsid w:val="08F05D16"/>
    <w:rsid w:val="08F24AF9"/>
    <w:rsid w:val="08F3109B"/>
    <w:rsid w:val="08F4189D"/>
    <w:rsid w:val="08F443EB"/>
    <w:rsid w:val="08F47607"/>
    <w:rsid w:val="08F5557B"/>
    <w:rsid w:val="08F671D1"/>
    <w:rsid w:val="08F900BF"/>
    <w:rsid w:val="08FA6E92"/>
    <w:rsid w:val="08FB1B65"/>
    <w:rsid w:val="08FD204C"/>
    <w:rsid w:val="08FD3395"/>
    <w:rsid w:val="08FD4BD5"/>
    <w:rsid w:val="08FE3517"/>
    <w:rsid w:val="08FF3F23"/>
    <w:rsid w:val="09010DF0"/>
    <w:rsid w:val="09021F51"/>
    <w:rsid w:val="090221EB"/>
    <w:rsid w:val="090339B5"/>
    <w:rsid w:val="09041024"/>
    <w:rsid w:val="09043664"/>
    <w:rsid w:val="09045F63"/>
    <w:rsid w:val="09063A89"/>
    <w:rsid w:val="09071850"/>
    <w:rsid w:val="09093423"/>
    <w:rsid w:val="09093579"/>
    <w:rsid w:val="090950B4"/>
    <w:rsid w:val="09096974"/>
    <w:rsid w:val="090C06B5"/>
    <w:rsid w:val="090C56B1"/>
    <w:rsid w:val="090D306A"/>
    <w:rsid w:val="090E228E"/>
    <w:rsid w:val="090E6FBD"/>
    <w:rsid w:val="090F2E12"/>
    <w:rsid w:val="090F79F0"/>
    <w:rsid w:val="09100915"/>
    <w:rsid w:val="091066B6"/>
    <w:rsid w:val="0910729B"/>
    <w:rsid w:val="091259A0"/>
    <w:rsid w:val="091361A6"/>
    <w:rsid w:val="09151909"/>
    <w:rsid w:val="09151F1E"/>
    <w:rsid w:val="091A3917"/>
    <w:rsid w:val="091A67D9"/>
    <w:rsid w:val="091A7535"/>
    <w:rsid w:val="091B5142"/>
    <w:rsid w:val="091B52DA"/>
    <w:rsid w:val="091E23D2"/>
    <w:rsid w:val="091E4412"/>
    <w:rsid w:val="091E6270"/>
    <w:rsid w:val="091F5DF1"/>
    <w:rsid w:val="092054D3"/>
    <w:rsid w:val="092108C3"/>
    <w:rsid w:val="0921144B"/>
    <w:rsid w:val="09227AB0"/>
    <w:rsid w:val="09235330"/>
    <w:rsid w:val="09243C67"/>
    <w:rsid w:val="092669FE"/>
    <w:rsid w:val="09273B1B"/>
    <w:rsid w:val="09282155"/>
    <w:rsid w:val="0928674D"/>
    <w:rsid w:val="092906CB"/>
    <w:rsid w:val="092A537F"/>
    <w:rsid w:val="092B09CD"/>
    <w:rsid w:val="092B7994"/>
    <w:rsid w:val="092B7C9F"/>
    <w:rsid w:val="092C34C3"/>
    <w:rsid w:val="092C434E"/>
    <w:rsid w:val="092C4CF1"/>
    <w:rsid w:val="092C4EB6"/>
    <w:rsid w:val="092D33A6"/>
    <w:rsid w:val="092E2FE0"/>
    <w:rsid w:val="092F4AD4"/>
    <w:rsid w:val="09313FEA"/>
    <w:rsid w:val="09321CF9"/>
    <w:rsid w:val="09335C07"/>
    <w:rsid w:val="093455E9"/>
    <w:rsid w:val="09363D3B"/>
    <w:rsid w:val="09364775"/>
    <w:rsid w:val="09364AFB"/>
    <w:rsid w:val="09366C34"/>
    <w:rsid w:val="093700E7"/>
    <w:rsid w:val="09373735"/>
    <w:rsid w:val="09381F46"/>
    <w:rsid w:val="09391BDB"/>
    <w:rsid w:val="093A783A"/>
    <w:rsid w:val="093B4794"/>
    <w:rsid w:val="093E7D3D"/>
    <w:rsid w:val="093F0D49"/>
    <w:rsid w:val="093F1C9F"/>
    <w:rsid w:val="093F343F"/>
    <w:rsid w:val="094025CF"/>
    <w:rsid w:val="09405DA8"/>
    <w:rsid w:val="09412D13"/>
    <w:rsid w:val="09424B8B"/>
    <w:rsid w:val="09434CDD"/>
    <w:rsid w:val="09454B2F"/>
    <w:rsid w:val="0946583B"/>
    <w:rsid w:val="0946657C"/>
    <w:rsid w:val="09473CE2"/>
    <w:rsid w:val="09474723"/>
    <w:rsid w:val="094837C1"/>
    <w:rsid w:val="094903C5"/>
    <w:rsid w:val="094A13A7"/>
    <w:rsid w:val="094B1DE4"/>
    <w:rsid w:val="094B221C"/>
    <w:rsid w:val="094C4888"/>
    <w:rsid w:val="094C6680"/>
    <w:rsid w:val="0950340E"/>
    <w:rsid w:val="09506DC0"/>
    <w:rsid w:val="09527D26"/>
    <w:rsid w:val="09547CAD"/>
    <w:rsid w:val="09552FEF"/>
    <w:rsid w:val="095577D8"/>
    <w:rsid w:val="09565DE8"/>
    <w:rsid w:val="09572A3C"/>
    <w:rsid w:val="0957358E"/>
    <w:rsid w:val="095B73E3"/>
    <w:rsid w:val="095C563D"/>
    <w:rsid w:val="095C7B55"/>
    <w:rsid w:val="095D0797"/>
    <w:rsid w:val="095E0350"/>
    <w:rsid w:val="09600354"/>
    <w:rsid w:val="09612E05"/>
    <w:rsid w:val="09616E8B"/>
    <w:rsid w:val="09616F12"/>
    <w:rsid w:val="09630EDC"/>
    <w:rsid w:val="09635040"/>
    <w:rsid w:val="09635565"/>
    <w:rsid w:val="09641263"/>
    <w:rsid w:val="09644C54"/>
    <w:rsid w:val="09656764"/>
    <w:rsid w:val="09664528"/>
    <w:rsid w:val="09671E4B"/>
    <w:rsid w:val="09681FA3"/>
    <w:rsid w:val="09685ACD"/>
    <w:rsid w:val="096864F2"/>
    <w:rsid w:val="096B5FE2"/>
    <w:rsid w:val="096D2A70"/>
    <w:rsid w:val="096D2D05"/>
    <w:rsid w:val="096E2623"/>
    <w:rsid w:val="096F639D"/>
    <w:rsid w:val="09716F93"/>
    <w:rsid w:val="09730682"/>
    <w:rsid w:val="09740483"/>
    <w:rsid w:val="097529BD"/>
    <w:rsid w:val="0976720A"/>
    <w:rsid w:val="097924AD"/>
    <w:rsid w:val="09794255"/>
    <w:rsid w:val="097A1AFB"/>
    <w:rsid w:val="097A1DFC"/>
    <w:rsid w:val="097B03F2"/>
    <w:rsid w:val="097B0432"/>
    <w:rsid w:val="097C3D4B"/>
    <w:rsid w:val="0980019C"/>
    <w:rsid w:val="098021C8"/>
    <w:rsid w:val="09802DB1"/>
    <w:rsid w:val="09815806"/>
    <w:rsid w:val="09817F9E"/>
    <w:rsid w:val="09823AB3"/>
    <w:rsid w:val="098333B9"/>
    <w:rsid w:val="0984657C"/>
    <w:rsid w:val="09866978"/>
    <w:rsid w:val="09886B94"/>
    <w:rsid w:val="098B6190"/>
    <w:rsid w:val="098C6164"/>
    <w:rsid w:val="098D7D07"/>
    <w:rsid w:val="098F08D1"/>
    <w:rsid w:val="09911702"/>
    <w:rsid w:val="099260C1"/>
    <w:rsid w:val="09932A4B"/>
    <w:rsid w:val="099367A2"/>
    <w:rsid w:val="0995305F"/>
    <w:rsid w:val="09954E0D"/>
    <w:rsid w:val="09963BB0"/>
    <w:rsid w:val="09965E81"/>
    <w:rsid w:val="0997182D"/>
    <w:rsid w:val="099723FA"/>
    <w:rsid w:val="099948FD"/>
    <w:rsid w:val="0999596E"/>
    <w:rsid w:val="09996322"/>
    <w:rsid w:val="099A6934"/>
    <w:rsid w:val="099B0548"/>
    <w:rsid w:val="099C7539"/>
    <w:rsid w:val="099D2DC6"/>
    <w:rsid w:val="099D5A03"/>
    <w:rsid w:val="099E3CC2"/>
    <w:rsid w:val="099F1451"/>
    <w:rsid w:val="099F1469"/>
    <w:rsid w:val="09A01D59"/>
    <w:rsid w:val="09A068C1"/>
    <w:rsid w:val="09A276C2"/>
    <w:rsid w:val="09A30A2C"/>
    <w:rsid w:val="09A3621C"/>
    <w:rsid w:val="09A4175A"/>
    <w:rsid w:val="09A45F0B"/>
    <w:rsid w:val="09A62612"/>
    <w:rsid w:val="09A6526C"/>
    <w:rsid w:val="09A83C44"/>
    <w:rsid w:val="09A85F44"/>
    <w:rsid w:val="09AB08D1"/>
    <w:rsid w:val="09AC2E40"/>
    <w:rsid w:val="09AC365A"/>
    <w:rsid w:val="09AD2669"/>
    <w:rsid w:val="09AD3EF9"/>
    <w:rsid w:val="09AE44E1"/>
    <w:rsid w:val="09B0215C"/>
    <w:rsid w:val="09B22554"/>
    <w:rsid w:val="09B23B28"/>
    <w:rsid w:val="09B31567"/>
    <w:rsid w:val="09B40621"/>
    <w:rsid w:val="09B41595"/>
    <w:rsid w:val="09B42EC2"/>
    <w:rsid w:val="09B44716"/>
    <w:rsid w:val="09B5523A"/>
    <w:rsid w:val="09B64070"/>
    <w:rsid w:val="09B67ABC"/>
    <w:rsid w:val="09BA274B"/>
    <w:rsid w:val="09BA2AC6"/>
    <w:rsid w:val="09BA7D80"/>
    <w:rsid w:val="09BC05EC"/>
    <w:rsid w:val="09BC4A90"/>
    <w:rsid w:val="09BE3576"/>
    <w:rsid w:val="09BE5E69"/>
    <w:rsid w:val="09BE697E"/>
    <w:rsid w:val="09C07C70"/>
    <w:rsid w:val="09C3197A"/>
    <w:rsid w:val="09C37BCC"/>
    <w:rsid w:val="09C41CDB"/>
    <w:rsid w:val="09C4326B"/>
    <w:rsid w:val="09C456D0"/>
    <w:rsid w:val="09C474A0"/>
    <w:rsid w:val="09C50FEF"/>
    <w:rsid w:val="09C57495"/>
    <w:rsid w:val="09C676BC"/>
    <w:rsid w:val="09C82F67"/>
    <w:rsid w:val="09C83435"/>
    <w:rsid w:val="09C86F91"/>
    <w:rsid w:val="09C922C0"/>
    <w:rsid w:val="09CD0A4B"/>
    <w:rsid w:val="09CD44CE"/>
    <w:rsid w:val="09CF6439"/>
    <w:rsid w:val="09D13DDF"/>
    <w:rsid w:val="09D26AEB"/>
    <w:rsid w:val="09D43B87"/>
    <w:rsid w:val="09D52C60"/>
    <w:rsid w:val="09D661A4"/>
    <w:rsid w:val="09D726B7"/>
    <w:rsid w:val="09D810A5"/>
    <w:rsid w:val="09D8354C"/>
    <w:rsid w:val="09D90645"/>
    <w:rsid w:val="09DA121F"/>
    <w:rsid w:val="09DC74C7"/>
    <w:rsid w:val="09DD541A"/>
    <w:rsid w:val="09E010D7"/>
    <w:rsid w:val="09E1372C"/>
    <w:rsid w:val="09E162A4"/>
    <w:rsid w:val="09E21873"/>
    <w:rsid w:val="09E241A0"/>
    <w:rsid w:val="09E24B57"/>
    <w:rsid w:val="09E46D61"/>
    <w:rsid w:val="09E57A38"/>
    <w:rsid w:val="09E82F11"/>
    <w:rsid w:val="09E962A6"/>
    <w:rsid w:val="09E97995"/>
    <w:rsid w:val="09EA17BA"/>
    <w:rsid w:val="09EC3248"/>
    <w:rsid w:val="09ED345E"/>
    <w:rsid w:val="09EE4196"/>
    <w:rsid w:val="09EF451D"/>
    <w:rsid w:val="09EF5C4F"/>
    <w:rsid w:val="09F00295"/>
    <w:rsid w:val="09F05072"/>
    <w:rsid w:val="09F10CF8"/>
    <w:rsid w:val="09F114B8"/>
    <w:rsid w:val="09F201DF"/>
    <w:rsid w:val="09F204B1"/>
    <w:rsid w:val="09F2400E"/>
    <w:rsid w:val="09F41E9D"/>
    <w:rsid w:val="09F41F52"/>
    <w:rsid w:val="09F430B1"/>
    <w:rsid w:val="09F452ED"/>
    <w:rsid w:val="09F57407"/>
    <w:rsid w:val="09F65B6F"/>
    <w:rsid w:val="09F70636"/>
    <w:rsid w:val="09F74B6A"/>
    <w:rsid w:val="09F80BCB"/>
    <w:rsid w:val="09F925B2"/>
    <w:rsid w:val="09F977AC"/>
    <w:rsid w:val="09FB1114"/>
    <w:rsid w:val="09FB3046"/>
    <w:rsid w:val="09FF01C3"/>
    <w:rsid w:val="09FF1272"/>
    <w:rsid w:val="0A002D8A"/>
    <w:rsid w:val="0A0064DD"/>
    <w:rsid w:val="0A0124A3"/>
    <w:rsid w:val="0A014251"/>
    <w:rsid w:val="0A0302D4"/>
    <w:rsid w:val="0A0313AD"/>
    <w:rsid w:val="0A037FC9"/>
    <w:rsid w:val="0A0427C2"/>
    <w:rsid w:val="0A0501E5"/>
    <w:rsid w:val="0A050D43"/>
    <w:rsid w:val="0A065182"/>
    <w:rsid w:val="0A0704F3"/>
    <w:rsid w:val="0A076757"/>
    <w:rsid w:val="0A097895"/>
    <w:rsid w:val="0A0A733F"/>
    <w:rsid w:val="0A0A7F91"/>
    <w:rsid w:val="0A0B2D2F"/>
    <w:rsid w:val="0A1102E2"/>
    <w:rsid w:val="0A11626D"/>
    <w:rsid w:val="0A12632D"/>
    <w:rsid w:val="0A1357D3"/>
    <w:rsid w:val="0A15589B"/>
    <w:rsid w:val="0A165853"/>
    <w:rsid w:val="0A165F4E"/>
    <w:rsid w:val="0A173C7F"/>
    <w:rsid w:val="0A1931C5"/>
    <w:rsid w:val="0A195A3E"/>
    <w:rsid w:val="0A1A2AD5"/>
    <w:rsid w:val="0A1A7A58"/>
    <w:rsid w:val="0A1B69C7"/>
    <w:rsid w:val="0A1D552E"/>
    <w:rsid w:val="0A1D5CB7"/>
    <w:rsid w:val="0A1E44DA"/>
    <w:rsid w:val="0A1F007C"/>
    <w:rsid w:val="0A20654F"/>
    <w:rsid w:val="0A217483"/>
    <w:rsid w:val="0A223AFB"/>
    <w:rsid w:val="0A2368BD"/>
    <w:rsid w:val="0A24417B"/>
    <w:rsid w:val="0A2467A2"/>
    <w:rsid w:val="0A250B64"/>
    <w:rsid w:val="0A27015B"/>
    <w:rsid w:val="0A275576"/>
    <w:rsid w:val="0A292838"/>
    <w:rsid w:val="0A2A114A"/>
    <w:rsid w:val="0A2B62E9"/>
    <w:rsid w:val="0A2C3657"/>
    <w:rsid w:val="0A2C5771"/>
    <w:rsid w:val="0A2D140B"/>
    <w:rsid w:val="0A2D169C"/>
    <w:rsid w:val="0A2D248C"/>
    <w:rsid w:val="0A2F1479"/>
    <w:rsid w:val="0A2F1F5A"/>
    <w:rsid w:val="0A2F7010"/>
    <w:rsid w:val="0A306E0F"/>
    <w:rsid w:val="0A324EF8"/>
    <w:rsid w:val="0A33448D"/>
    <w:rsid w:val="0A342878"/>
    <w:rsid w:val="0A36459E"/>
    <w:rsid w:val="0A367F74"/>
    <w:rsid w:val="0A37311C"/>
    <w:rsid w:val="0A382873"/>
    <w:rsid w:val="0A385068"/>
    <w:rsid w:val="0A390C74"/>
    <w:rsid w:val="0A3A1862"/>
    <w:rsid w:val="0A3A62A5"/>
    <w:rsid w:val="0A3B4C36"/>
    <w:rsid w:val="0A3D1946"/>
    <w:rsid w:val="0A3D797F"/>
    <w:rsid w:val="0A3E1000"/>
    <w:rsid w:val="0A3F6A0C"/>
    <w:rsid w:val="0A40746F"/>
    <w:rsid w:val="0A425EB8"/>
    <w:rsid w:val="0A47022C"/>
    <w:rsid w:val="0A477459"/>
    <w:rsid w:val="0A480BD5"/>
    <w:rsid w:val="0A4A1FEA"/>
    <w:rsid w:val="0A4A207D"/>
    <w:rsid w:val="0A4A2EC2"/>
    <w:rsid w:val="0A4A6971"/>
    <w:rsid w:val="0A4B2C97"/>
    <w:rsid w:val="0A4B75A8"/>
    <w:rsid w:val="0A4F3823"/>
    <w:rsid w:val="0A4F6B43"/>
    <w:rsid w:val="0A5011FC"/>
    <w:rsid w:val="0A5014D1"/>
    <w:rsid w:val="0A510C1E"/>
    <w:rsid w:val="0A51727D"/>
    <w:rsid w:val="0A52600B"/>
    <w:rsid w:val="0A5269C8"/>
    <w:rsid w:val="0A54036B"/>
    <w:rsid w:val="0A541176"/>
    <w:rsid w:val="0A546102"/>
    <w:rsid w:val="0A546366"/>
    <w:rsid w:val="0A550955"/>
    <w:rsid w:val="0A5641FE"/>
    <w:rsid w:val="0A570285"/>
    <w:rsid w:val="0A583738"/>
    <w:rsid w:val="0A592277"/>
    <w:rsid w:val="0A5922E8"/>
    <w:rsid w:val="0A5927DA"/>
    <w:rsid w:val="0A595E3B"/>
    <w:rsid w:val="0A5A4BC3"/>
    <w:rsid w:val="0A5A4E67"/>
    <w:rsid w:val="0A5B4E92"/>
    <w:rsid w:val="0A5B6CFE"/>
    <w:rsid w:val="0A5D2729"/>
    <w:rsid w:val="0A5E2D20"/>
    <w:rsid w:val="0A5E51A8"/>
    <w:rsid w:val="0A5E792F"/>
    <w:rsid w:val="0A5F324A"/>
    <w:rsid w:val="0A5F6817"/>
    <w:rsid w:val="0A612EF0"/>
    <w:rsid w:val="0A6251B2"/>
    <w:rsid w:val="0A641E54"/>
    <w:rsid w:val="0A6505CD"/>
    <w:rsid w:val="0A653517"/>
    <w:rsid w:val="0A69405B"/>
    <w:rsid w:val="0A6E213B"/>
    <w:rsid w:val="0A6E4877"/>
    <w:rsid w:val="0A6E5D8A"/>
    <w:rsid w:val="0A6F1257"/>
    <w:rsid w:val="0A726EFC"/>
    <w:rsid w:val="0A731650"/>
    <w:rsid w:val="0A7556E7"/>
    <w:rsid w:val="0A765F0A"/>
    <w:rsid w:val="0A780FD3"/>
    <w:rsid w:val="0A786C09"/>
    <w:rsid w:val="0A79028B"/>
    <w:rsid w:val="0A790B64"/>
    <w:rsid w:val="0A794110"/>
    <w:rsid w:val="0A7E3AF3"/>
    <w:rsid w:val="0A801250"/>
    <w:rsid w:val="0A827BE5"/>
    <w:rsid w:val="0A833B0A"/>
    <w:rsid w:val="0A835A2D"/>
    <w:rsid w:val="0A837189"/>
    <w:rsid w:val="0A850A10"/>
    <w:rsid w:val="0A8660B8"/>
    <w:rsid w:val="0A872CBE"/>
    <w:rsid w:val="0A8779FC"/>
    <w:rsid w:val="0A880415"/>
    <w:rsid w:val="0A8925AA"/>
    <w:rsid w:val="0A8A413B"/>
    <w:rsid w:val="0A8B5D76"/>
    <w:rsid w:val="0A8C14D6"/>
    <w:rsid w:val="0A8C1B57"/>
    <w:rsid w:val="0A8C6210"/>
    <w:rsid w:val="0A8C73A6"/>
    <w:rsid w:val="0A8C7778"/>
    <w:rsid w:val="0A8D118A"/>
    <w:rsid w:val="0A8E1F88"/>
    <w:rsid w:val="0A8E7038"/>
    <w:rsid w:val="0A8E7222"/>
    <w:rsid w:val="0A8F226A"/>
    <w:rsid w:val="0A923284"/>
    <w:rsid w:val="0A952A19"/>
    <w:rsid w:val="0A956F59"/>
    <w:rsid w:val="0A971416"/>
    <w:rsid w:val="0A9817DB"/>
    <w:rsid w:val="0A984BB5"/>
    <w:rsid w:val="0A990F8B"/>
    <w:rsid w:val="0A992FE8"/>
    <w:rsid w:val="0A9960CD"/>
    <w:rsid w:val="0A9A0B5B"/>
    <w:rsid w:val="0A9B5215"/>
    <w:rsid w:val="0A9B7CA9"/>
    <w:rsid w:val="0A9C4630"/>
    <w:rsid w:val="0A9C66F1"/>
    <w:rsid w:val="0A9D76FF"/>
    <w:rsid w:val="0A9E1125"/>
    <w:rsid w:val="0A9E506A"/>
    <w:rsid w:val="0A9E51BA"/>
    <w:rsid w:val="0AA10745"/>
    <w:rsid w:val="0AA15A0F"/>
    <w:rsid w:val="0AA236F1"/>
    <w:rsid w:val="0AA2576C"/>
    <w:rsid w:val="0AA32EFB"/>
    <w:rsid w:val="0AA42DFC"/>
    <w:rsid w:val="0AA442E9"/>
    <w:rsid w:val="0AA5353C"/>
    <w:rsid w:val="0AA55F6C"/>
    <w:rsid w:val="0AA7129C"/>
    <w:rsid w:val="0AA736ED"/>
    <w:rsid w:val="0AA76F6A"/>
    <w:rsid w:val="0AA90B70"/>
    <w:rsid w:val="0AAA01A7"/>
    <w:rsid w:val="0AAA1711"/>
    <w:rsid w:val="0AAA348F"/>
    <w:rsid w:val="0AAA48E8"/>
    <w:rsid w:val="0AAB022A"/>
    <w:rsid w:val="0AAC0660"/>
    <w:rsid w:val="0AAF1847"/>
    <w:rsid w:val="0AAF60C7"/>
    <w:rsid w:val="0AAF7781"/>
    <w:rsid w:val="0AB10AB1"/>
    <w:rsid w:val="0AB20B99"/>
    <w:rsid w:val="0AB2675B"/>
    <w:rsid w:val="0AB33876"/>
    <w:rsid w:val="0AB44ED8"/>
    <w:rsid w:val="0AB539B9"/>
    <w:rsid w:val="0AB61D29"/>
    <w:rsid w:val="0AB734AE"/>
    <w:rsid w:val="0AB81D64"/>
    <w:rsid w:val="0AB83A53"/>
    <w:rsid w:val="0AB94B2B"/>
    <w:rsid w:val="0AB96B12"/>
    <w:rsid w:val="0ABB29EC"/>
    <w:rsid w:val="0ABB6AF5"/>
    <w:rsid w:val="0ABC406B"/>
    <w:rsid w:val="0ABC7CF1"/>
    <w:rsid w:val="0AC059D5"/>
    <w:rsid w:val="0AC110ED"/>
    <w:rsid w:val="0AC1236F"/>
    <w:rsid w:val="0AC147CE"/>
    <w:rsid w:val="0AC17762"/>
    <w:rsid w:val="0AC340AA"/>
    <w:rsid w:val="0AC35F03"/>
    <w:rsid w:val="0AC4542D"/>
    <w:rsid w:val="0AC52104"/>
    <w:rsid w:val="0AC66D22"/>
    <w:rsid w:val="0AC7367C"/>
    <w:rsid w:val="0AC91212"/>
    <w:rsid w:val="0AC9537B"/>
    <w:rsid w:val="0ACA2F86"/>
    <w:rsid w:val="0ACB31DC"/>
    <w:rsid w:val="0ACD0B1F"/>
    <w:rsid w:val="0ACE6420"/>
    <w:rsid w:val="0ACF0E24"/>
    <w:rsid w:val="0AD01CB1"/>
    <w:rsid w:val="0AD04B8B"/>
    <w:rsid w:val="0AD21E28"/>
    <w:rsid w:val="0AD23ADB"/>
    <w:rsid w:val="0AD41C78"/>
    <w:rsid w:val="0AD70FE7"/>
    <w:rsid w:val="0AD875F1"/>
    <w:rsid w:val="0ADA6B55"/>
    <w:rsid w:val="0ADD6A6C"/>
    <w:rsid w:val="0ADD6AD7"/>
    <w:rsid w:val="0ADE0443"/>
    <w:rsid w:val="0ADE435C"/>
    <w:rsid w:val="0AE0030A"/>
    <w:rsid w:val="0AE05E8C"/>
    <w:rsid w:val="0AE24082"/>
    <w:rsid w:val="0AE3711D"/>
    <w:rsid w:val="0AE459F3"/>
    <w:rsid w:val="0AE504EB"/>
    <w:rsid w:val="0AE549A2"/>
    <w:rsid w:val="0AE7424B"/>
    <w:rsid w:val="0AE83BE8"/>
    <w:rsid w:val="0AE91E43"/>
    <w:rsid w:val="0AE941D3"/>
    <w:rsid w:val="0AEA4236"/>
    <w:rsid w:val="0AEB0BF0"/>
    <w:rsid w:val="0AEC5751"/>
    <w:rsid w:val="0AEC6CC4"/>
    <w:rsid w:val="0AF0147D"/>
    <w:rsid w:val="0AF0197B"/>
    <w:rsid w:val="0AF05C98"/>
    <w:rsid w:val="0AF142C5"/>
    <w:rsid w:val="0AF147D1"/>
    <w:rsid w:val="0AF50946"/>
    <w:rsid w:val="0AF5240C"/>
    <w:rsid w:val="0AF57C2F"/>
    <w:rsid w:val="0AF64B82"/>
    <w:rsid w:val="0AF73FD1"/>
    <w:rsid w:val="0AF76B7C"/>
    <w:rsid w:val="0AF86192"/>
    <w:rsid w:val="0AF91141"/>
    <w:rsid w:val="0AFA4183"/>
    <w:rsid w:val="0AFD1169"/>
    <w:rsid w:val="0AFD7F6E"/>
    <w:rsid w:val="0AFE5560"/>
    <w:rsid w:val="0B0052A5"/>
    <w:rsid w:val="0B0373BC"/>
    <w:rsid w:val="0B0410A9"/>
    <w:rsid w:val="0B0520E4"/>
    <w:rsid w:val="0B065290"/>
    <w:rsid w:val="0B066CDA"/>
    <w:rsid w:val="0B073AE9"/>
    <w:rsid w:val="0B09041E"/>
    <w:rsid w:val="0B091C93"/>
    <w:rsid w:val="0B094C47"/>
    <w:rsid w:val="0B095AB3"/>
    <w:rsid w:val="0B0A1F19"/>
    <w:rsid w:val="0B0A268F"/>
    <w:rsid w:val="0B0A5387"/>
    <w:rsid w:val="0B0C18B6"/>
    <w:rsid w:val="0B0C43BC"/>
    <w:rsid w:val="0B0D0BA9"/>
    <w:rsid w:val="0B0E131B"/>
    <w:rsid w:val="0B0F299D"/>
    <w:rsid w:val="0B104AFF"/>
    <w:rsid w:val="0B17438C"/>
    <w:rsid w:val="0B187AA4"/>
    <w:rsid w:val="0B1921B3"/>
    <w:rsid w:val="0B1C5935"/>
    <w:rsid w:val="0B1D50BA"/>
    <w:rsid w:val="0B1D5D6F"/>
    <w:rsid w:val="0B1E4F61"/>
    <w:rsid w:val="0B1F1705"/>
    <w:rsid w:val="0B1F45FF"/>
    <w:rsid w:val="0B202230"/>
    <w:rsid w:val="0B2067CF"/>
    <w:rsid w:val="0B23490B"/>
    <w:rsid w:val="0B236202"/>
    <w:rsid w:val="0B242263"/>
    <w:rsid w:val="0B2428ED"/>
    <w:rsid w:val="0B25011C"/>
    <w:rsid w:val="0B2536F3"/>
    <w:rsid w:val="0B261896"/>
    <w:rsid w:val="0B26445B"/>
    <w:rsid w:val="0B275F39"/>
    <w:rsid w:val="0B27768A"/>
    <w:rsid w:val="0B293CD7"/>
    <w:rsid w:val="0B294A6F"/>
    <w:rsid w:val="0B2B4CE0"/>
    <w:rsid w:val="0B2B5180"/>
    <w:rsid w:val="0B2E72CB"/>
    <w:rsid w:val="0B2F5597"/>
    <w:rsid w:val="0B2F6DD6"/>
    <w:rsid w:val="0B300C3C"/>
    <w:rsid w:val="0B302931"/>
    <w:rsid w:val="0B30303F"/>
    <w:rsid w:val="0B310B66"/>
    <w:rsid w:val="0B323126"/>
    <w:rsid w:val="0B341E3E"/>
    <w:rsid w:val="0B344E20"/>
    <w:rsid w:val="0B35169E"/>
    <w:rsid w:val="0B3545A0"/>
    <w:rsid w:val="0B361FE4"/>
    <w:rsid w:val="0B371C2D"/>
    <w:rsid w:val="0B380146"/>
    <w:rsid w:val="0B380544"/>
    <w:rsid w:val="0B381661"/>
    <w:rsid w:val="0B386ECE"/>
    <w:rsid w:val="0B390F50"/>
    <w:rsid w:val="0B391DF2"/>
    <w:rsid w:val="0B3A20D5"/>
    <w:rsid w:val="0B3A3EBE"/>
    <w:rsid w:val="0B3B6760"/>
    <w:rsid w:val="0B3C1C80"/>
    <w:rsid w:val="0B3C7694"/>
    <w:rsid w:val="0B3D3319"/>
    <w:rsid w:val="0B3F51A2"/>
    <w:rsid w:val="0B420FC5"/>
    <w:rsid w:val="0B42116F"/>
    <w:rsid w:val="0B4364E5"/>
    <w:rsid w:val="0B445AA4"/>
    <w:rsid w:val="0B445E0F"/>
    <w:rsid w:val="0B460455"/>
    <w:rsid w:val="0B471443"/>
    <w:rsid w:val="0B472137"/>
    <w:rsid w:val="0B481F47"/>
    <w:rsid w:val="0B485A8F"/>
    <w:rsid w:val="0B487443"/>
    <w:rsid w:val="0B492353"/>
    <w:rsid w:val="0B4B60CB"/>
    <w:rsid w:val="0B4C0ACD"/>
    <w:rsid w:val="0B4D0B62"/>
    <w:rsid w:val="0B4D1F58"/>
    <w:rsid w:val="0B4D3E40"/>
    <w:rsid w:val="0B4E1717"/>
    <w:rsid w:val="0B4E2243"/>
    <w:rsid w:val="0B52745A"/>
    <w:rsid w:val="0B53227B"/>
    <w:rsid w:val="0B534F80"/>
    <w:rsid w:val="0B552AA6"/>
    <w:rsid w:val="0B564AC6"/>
    <w:rsid w:val="0B592893"/>
    <w:rsid w:val="0B5A379F"/>
    <w:rsid w:val="0B5B6E3F"/>
    <w:rsid w:val="0B5C1719"/>
    <w:rsid w:val="0B5C3E34"/>
    <w:rsid w:val="0B5C5A3A"/>
    <w:rsid w:val="0B5D1D94"/>
    <w:rsid w:val="0B5D6791"/>
    <w:rsid w:val="0B5D7FC7"/>
    <w:rsid w:val="0B5E23F3"/>
    <w:rsid w:val="0B5E26D9"/>
    <w:rsid w:val="0B5E31B6"/>
    <w:rsid w:val="0B5F2C0D"/>
    <w:rsid w:val="0B5F3614"/>
    <w:rsid w:val="0B5F4699"/>
    <w:rsid w:val="0B625DB4"/>
    <w:rsid w:val="0B62685D"/>
    <w:rsid w:val="0B633415"/>
    <w:rsid w:val="0B640F3B"/>
    <w:rsid w:val="0B645E0D"/>
    <w:rsid w:val="0B653E82"/>
    <w:rsid w:val="0B6574A7"/>
    <w:rsid w:val="0B666841"/>
    <w:rsid w:val="0B674229"/>
    <w:rsid w:val="0B681363"/>
    <w:rsid w:val="0B685D10"/>
    <w:rsid w:val="0B6A45A5"/>
    <w:rsid w:val="0B6E3B68"/>
    <w:rsid w:val="0B703F6E"/>
    <w:rsid w:val="0B704808"/>
    <w:rsid w:val="0B7218AA"/>
    <w:rsid w:val="0B726008"/>
    <w:rsid w:val="0B732F2C"/>
    <w:rsid w:val="0B750117"/>
    <w:rsid w:val="0B756CA4"/>
    <w:rsid w:val="0B770F1B"/>
    <w:rsid w:val="0B772A1C"/>
    <w:rsid w:val="0B7753AB"/>
    <w:rsid w:val="0B776EC0"/>
    <w:rsid w:val="0B784B6C"/>
    <w:rsid w:val="0B7958BA"/>
    <w:rsid w:val="0B7A2290"/>
    <w:rsid w:val="0B7A7000"/>
    <w:rsid w:val="0B7B56B2"/>
    <w:rsid w:val="0B7C795A"/>
    <w:rsid w:val="0B7D4132"/>
    <w:rsid w:val="0B7E024F"/>
    <w:rsid w:val="0B7E3AA8"/>
    <w:rsid w:val="0B800B7F"/>
    <w:rsid w:val="0B811AED"/>
    <w:rsid w:val="0B8142F6"/>
    <w:rsid w:val="0B8151D2"/>
    <w:rsid w:val="0B820F78"/>
    <w:rsid w:val="0B830974"/>
    <w:rsid w:val="0B83184E"/>
    <w:rsid w:val="0B83436A"/>
    <w:rsid w:val="0B85418E"/>
    <w:rsid w:val="0B865885"/>
    <w:rsid w:val="0B867103"/>
    <w:rsid w:val="0B872075"/>
    <w:rsid w:val="0B8757C1"/>
    <w:rsid w:val="0B8775F0"/>
    <w:rsid w:val="0B8B4D2E"/>
    <w:rsid w:val="0B8C4A42"/>
    <w:rsid w:val="0B8E67E2"/>
    <w:rsid w:val="0B8F4E9B"/>
    <w:rsid w:val="0B911A8E"/>
    <w:rsid w:val="0B913B41"/>
    <w:rsid w:val="0B9323ED"/>
    <w:rsid w:val="0B9450EA"/>
    <w:rsid w:val="0B955093"/>
    <w:rsid w:val="0B970D88"/>
    <w:rsid w:val="0B972C0A"/>
    <w:rsid w:val="0B977501"/>
    <w:rsid w:val="0B99683A"/>
    <w:rsid w:val="0B9A323C"/>
    <w:rsid w:val="0B9B5B06"/>
    <w:rsid w:val="0B9C1B14"/>
    <w:rsid w:val="0B9C2958"/>
    <w:rsid w:val="0B9C3BE2"/>
    <w:rsid w:val="0B9C6927"/>
    <w:rsid w:val="0B9C7D1B"/>
    <w:rsid w:val="0B9D01F0"/>
    <w:rsid w:val="0B9D7EDB"/>
    <w:rsid w:val="0B9E5120"/>
    <w:rsid w:val="0BA24924"/>
    <w:rsid w:val="0BA3473C"/>
    <w:rsid w:val="0BA36327"/>
    <w:rsid w:val="0BA4235C"/>
    <w:rsid w:val="0BA436F8"/>
    <w:rsid w:val="0BA55F1B"/>
    <w:rsid w:val="0BA6675F"/>
    <w:rsid w:val="0BA86F50"/>
    <w:rsid w:val="0BA92DF2"/>
    <w:rsid w:val="0BAA580B"/>
    <w:rsid w:val="0BAA59C1"/>
    <w:rsid w:val="0BAB39E9"/>
    <w:rsid w:val="0BAB6B6A"/>
    <w:rsid w:val="0BAC4BD1"/>
    <w:rsid w:val="0BAD5948"/>
    <w:rsid w:val="0BAD5C75"/>
    <w:rsid w:val="0BAE6D5C"/>
    <w:rsid w:val="0BAF1610"/>
    <w:rsid w:val="0BAF2874"/>
    <w:rsid w:val="0BB05345"/>
    <w:rsid w:val="0BB0561F"/>
    <w:rsid w:val="0BB06711"/>
    <w:rsid w:val="0BB11AD5"/>
    <w:rsid w:val="0BB12A9D"/>
    <w:rsid w:val="0BB148C8"/>
    <w:rsid w:val="0BB22B4A"/>
    <w:rsid w:val="0BB2614A"/>
    <w:rsid w:val="0BB3257F"/>
    <w:rsid w:val="0BB34B00"/>
    <w:rsid w:val="0BB37837"/>
    <w:rsid w:val="0BB755DC"/>
    <w:rsid w:val="0BB77891"/>
    <w:rsid w:val="0BB84DE3"/>
    <w:rsid w:val="0BB91287"/>
    <w:rsid w:val="0BB9237A"/>
    <w:rsid w:val="0BB93035"/>
    <w:rsid w:val="0BB96D3F"/>
    <w:rsid w:val="0BBA5096"/>
    <w:rsid w:val="0BBA7808"/>
    <w:rsid w:val="0BBB1D64"/>
    <w:rsid w:val="0BBC105E"/>
    <w:rsid w:val="0BBC4CB7"/>
    <w:rsid w:val="0BBC689F"/>
    <w:rsid w:val="0BBD0D36"/>
    <w:rsid w:val="0BBE55BE"/>
    <w:rsid w:val="0BBF4016"/>
    <w:rsid w:val="0BC033A9"/>
    <w:rsid w:val="0BC07081"/>
    <w:rsid w:val="0BC23342"/>
    <w:rsid w:val="0BC26D6D"/>
    <w:rsid w:val="0BC450F6"/>
    <w:rsid w:val="0BC53C49"/>
    <w:rsid w:val="0BC641ED"/>
    <w:rsid w:val="0BC67140"/>
    <w:rsid w:val="0BCA5242"/>
    <w:rsid w:val="0BCC37C1"/>
    <w:rsid w:val="0BCD1C21"/>
    <w:rsid w:val="0BCE4606"/>
    <w:rsid w:val="0BCE4D3A"/>
    <w:rsid w:val="0BCE6898"/>
    <w:rsid w:val="0BCE6B3B"/>
    <w:rsid w:val="0BD0532B"/>
    <w:rsid w:val="0BD6231D"/>
    <w:rsid w:val="0BD62423"/>
    <w:rsid w:val="0BD63CD5"/>
    <w:rsid w:val="0BD7109D"/>
    <w:rsid w:val="0BD72FD2"/>
    <w:rsid w:val="0BD7624B"/>
    <w:rsid w:val="0BD776A5"/>
    <w:rsid w:val="0BD84435"/>
    <w:rsid w:val="0BD847E4"/>
    <w:rsid w:val="0BD931A6"/>
    <w:rsid w:val="0BDA78C2"/>
    <w:rsid w:val="0BDD028D"/>
    <w:rsid w:val="0BDD3460"/>
    <w:rsid w:val="0BE208A9"/>
    <w:rsid w:val="0BE336BD"/>
    <w:rsid w:val="0BE358BE"/>
    <w:rsid w:val="0BE423C1"/>
    <w:rsid w:val="0BE43EE0"/>
    <w:rsid w:val="0BE44893"/>
    <w:rsid w:val="0BE51336"/>
    <w:rsid w:val="0BE65DF4"/>
    <w:rsid w:val="0BE669AA"/>
    <w:rsid w:val="0BE750E9"/>
    <w:rsid w:val="0BE856C8"/>
    <w:rsid w:val="0BEA0F6D"/>
    <w:rsid w:val="0BEA1439"/>
    <w:rsid w:val="0BEA76A7"/>
    <w:rsid w:val="0BED60EA"/>
    <w:rsid w:val="0BEF1D0B"/>
    <w:rsid w:val="0BF265EE"/>
    <w:rsid w:val="0BF32FD9"/>
    <w:rsid w:val="0BF40085"/>
    <w:rsid w:val="0BF47156"/>
    <w:rsid w:val="0BF508D2"/>
    <w:rsid w:val="0BF612E8"/>
    <w:rsid w:val="0BF62A74"/>
    <w:rsid w:val="0BF70001"/>
    <w:rsid w:val="0BF73BE1"/>
    <w:rsid w:val="0BF7590B"/>
    <w:rsid w:val="0BF86793"/>
    <w:rsid w:val="0BF92918"/>
    <w:rsid w:val="0BFB22A3"/>
    <w:rsid w:val="0BFB7E74"/>
    <w:rsid w:val="0BFE31F0"/>
    <w:rsid w:val="0C0000B3"/>
    <w:rsid w:val="0C0011BA"/>
    <w:rsid w:val="0C0048F0"/>
    <w:rsid w:val="0C010A28"/>
    <w:rsid w:val="0C033E63"/>
    <w:rsid w:val="0C042D62"/>
    <w:rsid w:val="0C056B48"/>
    <w:rsid w:val="0C057BD8"/>
    <w:rsid w:val="0C062086"/>
    <w:rsid w:val="0C071B45"/>
    <w:rsid w:val="0C083994"/>
    <w:rsid w:val="0C0A1AE2"/>
    <w:rsid w:val="0C0B585A"/>
    <w:rsid w:val="0C0B7609"/>
    <w:rsid w:val="0C0C64FE"/>
    <w:rsid w:val="0C0D7AE6"/>
    <w:rsid w:val="0C0E43A5"/>
    <w:rsid w:val="0C0F70F9"/>
    <w:rsid w:val="0C0F71DA"/>
    <w:rsid w:val="0C111000"/>
    <w:rsid w:val="0C1278F7"/>
    <w:rsid w:val="0C154D0A"/>
    <w:rsid w:val="0C160E49"/>
    <w:rsid w:val="0C166546"/>
    <w:rsid w:val="0C1B0DF3"/>
    <w:rsid w:val="0C1B20CF"/>
    <w:rsid w:val="0C1B3AFB"/>
    <w:rsid w:val="0C1B3CF0"/>
    <w:rsid w:val="0C1C7A68"/>
    <w:rsid w:val="0C1D1A5F"/>
    <w:rsid w:val="0C1D6014"/>
    <w:rsid w:val="0C1D705A"/>
    <w:rsid w:val="0C1E0271"/>
    <w:rsid w:val="0C1E6511"/>
    <w:rsid w:val="0C1E733C"/>
    <w:rsid w:val="0C1F7C16"/>
    <w:rsid w:val="0C210B2D"/>
    <w:rsid w:val="0C211D10"/>
    <w:rsid w:val="0C217B87"/>
    <w:rsid w:val="0C2226EA"/>
    <w:rsid w:val="0C230021"/>
    <w:rsid w:val="0C2327D8"/>
    <w:rsid w:val="0C236238"/>
    <w:rsid w:val="0C252478"/>
    <w:rsid w:val="0C267547"/>
    <w:rsid w:val="0C2A36F7"/>
    <w:rsid w:val="0C2A3993"/>
    <w:rsid w:val="0C2B3807"/>
    <w:rsid w:val="0C2C072E"/>
    <w:rsid w:val="0C2E04AB"/>
    <w:rsid w:val="0C2E3A15"/>
    <w:rsid w:val="0C2E45EC"/>
    <w:rsid w:val="0C30003B"/>
    <w:rsid w:val="0C300E1D"/>
    <w:rsid w:val="0C30136E"/>
    <w:rsid w:val="0C3152C1"/>
    <w:rsid w:val="0C321039"/>
    <w:rsid w:val="0C34090D"/>
    <w:rsid w:val="0C3649FC"/>
    <w:rsid w:val="0C380E83"/>
    <w:rsid w:val="0C3C2EDD"/>
    <w:rsid w:val="0C3C5105"/>
    <w:rsid w:val="0C3D4EEB"/>
    <w:rsid w:val="0C3E708E"/>
    <w:rsid w:val="0C3F03EF"/>
    <w:rsid w:val="0C3F59B0"/>
    <w:rsid w:val="0C3F7BB0"/>
    <w:rsid w:val="0C3F7C93"/>
    <w:rsid w:val="0C423182"/>
    <w:rsid w:val="0C43088F"/>
    <w:rsid w:val="0C430C6B"/>
    <w:rsid w:val="0C4348A2"/>
    <w:rsid w:val="0C4355EA"/>
    <w:rsid w:val="0C436DA2"/>
    <w:rsid w:val="0C461D53"/>
    <w:rsid w:val="0C462C17"/>
    <w:rsid w:val="0C4826BA"/>
    <w:rsid w:val="0C49746F"/>
    <w:rsid w:val="0C4A6AA6"/>
    <w:rsid w:val="0C4D7C21"/>
    <w:rsid w:val="0C4D7C98"/>
    <w:rsid w:val="0C4E0CD2"/>
    <w:rsid w:val="0C4F3999"/>
    <w:rsid w:val="0C4F7E3C"/>
    <w:rsid w:val="0C51664E"/>
    <w:rsid w:val="0C5240E1"/>
    <w:rsid w:val="0C525237"/>
    <w:rsid w:val="0C5402B8"/>
    <w:rsid w:val="0C542BA1"/>
    <w:rsid w:val="0C542D5E"/>
    <w:rsid w:val="0C57383A"/>
    <w:rsid w:val="0C590D62"/>
    <w:rsid w:val="0C5A6B62"/>
    <w:rsid w:val="0C5A7A15"/>
    <w:rsid w:val="0C5C6640"/>
    <w:rsid w:val="0C5F7626"/>
    <w:rsid w:val="0C603273"/>
    <w:rsid w:val="0C6308E0"/>
    <w:rsid w:val="0C641386"/>
    <w:rsid w:val="0C6433BC"/>
    <w:rsid w:val="0C650DC1"/>
    <w:rsid w:val="0C664657"/>
    <w:rsid w:val="0C673F81"/>
    <w:rsid w:val="0C67464B"/>
    <w:rsid w:val="0C6754D4"/>
    <w:rsid w:val="0C687DF1"/>
    <w:rsid w:val="0C6A7729"/>
    <w:rsid w:val="0C6C2574"/>
    <w:rsid w:val="0C6C3410"/>
    <w:rsid w:val="0C6C43F7"/>
    <w:rsid w:val="0C6E18F2"/>
    <w:rsid w:val="0C7208C1"/>
    <w:rsid w:val="0C726E2A"/>
    <w:rsid w:val="0C727F9D"/>
    <w:rsid w:val="0C73630C"/>
    <w:rsid w:val="0C7448C8"/>
    <w:rsid w:val="0C765ED2"/>
    <w:rsid w:val="0C776A4C"/>
    <w:rsid w:val="0C784DC3"/>
    <w:rsid w:val="0C791994"/>
    <w:rsid w:val="0C7927C4"/>
    <w:rsid w:val="0C793CAB"/>
    <w:rsid w:val="0C7B4653"/>
    <w:rsid w:val="0C7C40DD"/>
    <w:rsid w:val="0C7C7402"/>
    <w:rsid w:val="0C7D55F1"/>
    <w:rsid w:val="0C7E08A9"/>
    <w:rsid w:val="0C7E6A8E"/>
    <w:rsid w:val="0C7F440D"/>
    <w:rsid w:val="0C7F64EB"/>
    <w:rsid w:val="0C7F6F6B"/>
    <w:rsid w:val="0C807E08"/>
    <w:rsid w:val="0C812CC8"/>
    <w:rsid w:val="0C814ED5"/>
    <w:rsid w:val="0C815BBA"/>
    <w:rsid w:val="0C8172E9"/>
    <w:rsid w:val="0C831E9D"/>
    <w:rsid w:val="0C83729E"/>
    <w:rsid w:val="0C873133"/>
    <w:rsid w:val="0C8769B4"/>
    <w:rsid w:val="0C8A71DB"/>
    <w:rsid w:val="0C8C24F7"/>
    <w:rsid w:val="0C8D2A18"/>
    <w:rsid w:val="0C8E1EF9"/>
    <w:rsid w:val="0C9129D5"/>
    <w:rsid w:val="0C922B02"/>
    <w:rsid w:val="0C945850"/>
    <w:rsid w:val="0C946488"/>
    <w:rsid w:val="0C9475FE"/>
    <w:rsid w:val="0C955040"/>
    <w:rsid w:val="0C965160"/>
    <w:rsid w:val="0C96783C"/>
    <w:rsid w:val="0C9811DE"/>
    <w:rsid w:val="0C985340"/>
    <w:rsid w:val="0C9910B8"/>
    <w:rsid w:val="0C9926B7"/>
    <w:rsid w:val="0C9B1DD7"/>
    <w:rsid w:val="0C9B4F6B"/>
    <w:rsid w:val="0C9C795E"/>
    <w:rsid w:val="0C9E0EDB"/>
    <w:rsid w:val="0C9E222B"/>
    <w:rsid w:val="0C9E4489"/>
    <w:rsid w:val="0C9F6A2A"/>
    <w:rsid w:val="0CA03F46"/>
    <w:rsid w:val="0CA271F6"/>
    <w:rsid w:val="0CA36866"/>
    <w:rsid w:val="0CA41DB2"/>
    <w:rsid w:val="0CA47113"/>
    <w:rsid w:val="0CA54136"/>
    <w:rsid w:val="0CA648B1"/>
    <w:rsid w:val="0CA830A9"/>
    <w:rsid w:val="0CAB3FC2"/>
    <w:rsid w:val="0CAB5BBC"/>
    <w:rsid w:val="0CAC0566"/>
    <w:rsid w:val="0CAC5270"/>
    <w:rsid w:val="0CAD2379"/>
    <w:rsid w:val="0CAD6E25"/>
    <w:rsid w:val="0CAE0A3D"/>
    <w:rsid w:val="0CAE0BF3"/>
    <w:rsid w:val="0CAE6912"/>
    <w:rsid w:val="0CAF7690"/>
    <w:rsid w:val="0CAF7A8F"/>
    <w:rsid w:val="0CAF7FFC"/>
    <w:rsid w:val="0CB02BEB"/>
    <w:rsid w:val="0CB12C28"/>
    <w:rsid w:val="0CB14328"/>
    <w:rsid w:val="0CB22BF4"/>
    <w:rsid w:val="0CB3239A"/>
    <w:rsid w:val="0CB47A4D"/>
    <w:rsid w:val="0CB71DC1"/>
    <w:rsid w:val="0CB72AA7"/>
    <w:rsid w:val="0CB842FF"/>
    <w:rsid w:val="0CB8742C"/>
    <w:rsid w:val="0CB96097"/>
    <w:rsid w:val="0CB97065"/>
    <w:rsid w:val="0CBA03C5"/>
    <w:rsid w:val="0CBA057B"/>
    <w:rsid w:val="0CBA12FE"/>
    <w:rsid w:val="0CBB4328"/>
    <w:rsid w:val="0CBD3156"/>
    <w:rsid w:val="0CBE337E"/>
    <w:rsid w:val="0CBE4CE3"/>
    <w:rsid w:val="0CBF08FA"/>
    <w:rsid w:val="0CC048EB"/>
    <w:rsid w:val="0CC339A0"/>
    <w:rsid w:val="0CC358B5"/>
    <w:rsid w:val="0CC43954"/>
    <w:rsid w:val="0CC44211"/>
    <w:rsid w:val="0CC457F7"/>
    <w:rsid w:val="0CC710AB"/>
    <w:rsid w:val="0CC87BBC"/>
    <w:rsid w:val="0CC96FDC"/>
    <w:rsid w:val="0CCA1272"/>
    <w:rsid w:val="0CCA5D9A"/>
    <w:rsid w:val="0CCB39DB"/>
    <w:rsid w:val="0CCB6B37"/>
    <w:rsid w:val="0CCC323C"/>
    <w:rsid w:val="0CCE3C17"/>
    <w:rsid w:val="0CD02D66"/>
    <w:rsid w:val="0CD25291"/>
    <w:rsid w:val="0CD36095"/>
    <w:rsid w:val="0CD45C4C"/>
    <w:rsid w:val="0CD5797C"/>
    <w:rsid w:val="0CD705FD"/>
    <w:rsid w:val="0CD72091"/>
    <w:rsid w:val="0CD80BFD"/>
    <w:rsid w:val="0CD81BE1"/>
    <w:rsid w:val="0CD81F65"/>
    <w:rsid w:val="0CD82FD0"/>
    <w:rsid w:val="0CD83D13"/>
    <w:rsid w:val="0CD95E41"/>
    <w:rsid w:val="0CDC3332"/>
    <w:rsid w:val="0CDC5F82"/>
    <w:rsid w:val="0CDD473D"/>
    <w:rsid w:val="0CE0261E"/>
    <w:rsid w:val="0CE049F6"/>
    <w:rsid w:val="0CE26079"/>
    <w:rsid w:val="0CE33AF9"/>
    <w:rsid w:val="0CE340E1"/>
    <w:rsid w:val="0CE35CBA"/>
    <w:rsid w:val="0CE5259D"/>
    <w:rsid w:val="0CE52ACB"/>
    <w:rsid w:val="0CE52E0B"/>
    <w:rsid w:val="0CE52F54"/>
    <w:rsid w:val="0CEC692F"/>
    <w:rsid w:val="0CEE41A8"/>
    <w:rsid w:val="0CEE4D8C"/>
    <w:rsid w:val="0CEE7D34"/>
    <w:rsid w:val="0CEF7BD0"/>
    <w:rsid w:val="0CF021E0"/>
    <w:rsid w:val="0CF070D9"/>
    <w:rsid w:val="0CF0771F"/>
    <w:rsid w:val="0CF30C95"/>
    <w:rsid w:val="0CF3584F"/>
    <w:rsid w:val="0CF47D26"/>
    <w:rsid w:val="0CF56C4B"/>
    <w:rsid w:val="0CF8095B"/>
    <w:rsid w:val="0CF81D6E"/>
    <w:rsid w:val="0CF837EB"/>
    <w:rsid w:val="0CF9124E"/>
    <w:rsid w:val="0CF94538"/>
    <w:rsid w:val="0CF95052"/>
    <w:rsid w:val="0CF9615D"/>
    <w:rsid w:val="0CFA2095"/>
    <w:rsid w:val="0CFA2238"/>
    <w:rsid w:val="0CFA5625"/>
    <w:rsid w:val="0CFB58CF"/>
    <w:rsid w:val="0CFB7007"/>
    <w:rsid w:val="0CFF5E8E"/>
    <w:rsid w:val="0CFF6A6A"/>
    <w:rsid w:val="0CFF7B5C"/>
    <w:rsid w:val="0CFF7CC9"/>
    <w:rsid w:val="0D010F46"/>
    <w:rsid w:val="0D012060"/>
    <w:rsid w:val="0D014626"/>
    <w:rsid w:val="0D043CEE"/>
    <w:rsid w:val="0D044297"/>
    <w:rsid w:val="0D044784"/>
    <w:rsid w:val="0D054058"/>
    <w:rsid w:val="0D057601"/>
    <w:rsid w:val="0D061C5D"/>
    <w:rsid w:val="0D062877"/>
    <w:rsid w:val="0D091D9A"/>
    <w:rsid w:val="0D0A4205"/>
    <w:rsid w:val="0D0A7571"/>
    <w:rsid w:val="0D0B3D64"/>
    <w:rsid w:val="0D0D0E61"/>
    <w:rsid w:val="0D0D519F"/>
    <w:rsid w:val="0D0F4710"/>
    <w:rsid w:val="0D10137A"/>
    <w:rsid w:val="0D1128F9"/>
    <w:rsid w:val="0D1129FD"/>
    <w:rsid w:val="0D132CCA"/>
    <w:rsid w:val="0D134413"/>
    <w:rsid w:val="0D140B10"/>
    <w:rsid w:val="0D157AFA"/>
    <w:rsid w:val="0D165FCE"/>
    <w:rsid w:val="0D1755F9"/>
    <w:rsid w:val="0D18022F"/>
    <w:rsid w:val="0D181FDD"/>
    <w:rsid w:val="0D186FCA"/>
    <w:rsid w:val="0D191BE1"/>
    <w:rsid w:val="0D193B67"/>
    <w:rsid w:val="0D1A0E57"/>
    <w:rsid w:val="0D1A187E"/>
    <w:rsid w:val="0D1A3B98"/>
    <w:rsid w:val="0D1B5290"/>
    <w:rsid w:val="0D1B67E4"/>
    <w:rsid w:val="0D1D5845"/>
    <w:rsid w:val="0D1E517A"/>
    <w:rsid w:val="0D2061F7"/>
    <w:rsid w:val="0D211A66"/>
    <w:rsid w:val="0D227363"/>
    <w:rsid w:val="0D234FA8"/>
    <w:rsid w:val="0D23607A"/>
    <w:rsid w:val="0D2546FA"/>
    <w:rsid w:val="0D286C0B"/>
    <w:rsid w:val="0D2941EA"/>
    <w:rsid w:val="0D2A1D10"/>
    <w:rsid w:val="0D2D174A"/>
    <w:rsid w:val="0D2E21D4"/>
    <w:rsid w:val="0D300C6E"/>
    <w:rsid w:val="0D314852"/>
    <w:rsid w:val="0D3355BC"/>
    <w:rsid w:val="0D376BF8"/>
    <w:rsid w:val="0D383DEB"/>
    <w:rsid w:val="0D3A1146"/>
    <w:rsid w:val="0D3A1F53"/>
    <w:rsid w:val="0D3A4AF8"/>
    <w:rsid w:val="0D3A6C34"/>
    <w:rsid w:val="0D3C1FFF"/>
    <w:rsid w:val="0D3D5BEF"/>
    <w:rsid w:val="0D3E65B6"/>
    <w:rsid w:val="0D4074FB"/>
    <w:rsid w:val="0D407B3F"/>
    <w:rsid w:val="0D41564C"/>
    <w:rsid w:val="0D415BDD"/>
    <w:rsid w:val="0D42046E"/>
    <w:rsid w:val="0D42266F"/>
    <w:rsid w:val="0D431241"/>
    <w:rsid w:val="0D4442EB"/>
    <w:rsid w:val="0D444E00"/>
    <w:rsid w:val="0D447EFD"/>
    <w:rsid w:val="0D461B28"/>
    <w:rsid w:val="0D487669"/>
    <w:rsid w:val="0D4A1085"/>
    <w:rsid w:val="0D4B6B9D"/>
    <w:rsid w:val="0D4C2BDE"/>
    <w:rsid w:val="0D4C7E4E"/>
    <w:rsid w:val="0D4D0A3C"/>
    <w:rsid w:val="0D4D6EFA"/>
    <w:rsid w:val="0D4E03F0"/>
    <w:rsid w:val="0D4F0661"/>
    <w:rsid w:val="0D4F2E1E"/>
    <w:rsid w:val="0D51729D"/>
    <w:rsid w:val="0D526CAE"/>
    <w:rsid w:val="0D530400"/>
    <w:rsid w:val="0D5448F5"/>
    <w:rsid w:val="0D5474CC"/>
    <w:rsid w:val="0D547CC5"/>
    <w:rsid w:val="0D550956"/>
    <w:rsid w:val="0D584ACF"/>
    <w:rsid w:val="0D5A1FBC"/>
    <w:rsid w:val="0D5A416C"/>
    <w:rsid w:val="0D5B1E98"/>
    <w:rsid w:val="0D5B4C61"/>
    <w:rsid w:val="0D5D4D41"/>
    <w:rsid w:val="0D5D5D3D"/>
    <w:rsid w:val="0D5E5D92"/>
    <w:rsid w:val="0D5F4830"/>
    <w:rsid w:val="0D600C33"/>
    <w:rsid w:val="0D6027F4"/>
    <w:rsid w:val="0D604CCA"/>
    <w:rsid w:val="0D610F4A"/>
    <w:rsid w:val="0D6364B4"/>
    <w:rsid w:val="0D657CAC"/>
    <w:rsid w:val="0D674D12"/>
    <w:rsid w:val="0D682FD5"/>
    <w:rsid w:val="0D6867D8"/>
    <w:rsid w:val="0D686CB9"/>
    <w:rsid w:val="0D6A7D59"/>
    <w:rsid w:val="0D6B42BD"/>
    <w:rsid w:val="0D6B65B1"/>
    <w:rsid w:val="0D6C56B8"/>
    <w:rsid w:val="0D6C609B"/>
    <w:rsid w:val="0D6D057B"/>
    <w:rsid w:val="0D6D1B60"/>
    <w:rsid w:val="0D6E1EF9"/>
    <w:rsid w:val="0D6E2119"/>
    <w:rsid w:val="0D6E62A6"/>
    <w:rsid w:val="0D6E78E5"/>
    <w:rsid w:val="0D7124F2"/>
    <w:rsid w:val="0D714374"/>
    <w:rsid w:val="0D71572E"/>
    <w:rsid w:val="0D733FCD"/>
    <w:rsid w:val="0D743EDF"/>
    <w:rsid w:val="0D755475"/>
    <w:rsid w:val="0D76547F"/>
    <w:rsid w:val="0D7706C5"/>
    <w:rsid w:val="0D786F20"/>
    <w:rsid w:val="0D79514B"/>
    <w:rsid w:val="0D7C6A10"/>
    <w:rsid w:val="0D7C7ACB"/>
    <w:rsid w:val="0D7D1781"/>
    <w:rsid w:val="0D7E24BB"/>
    <w:rsid w:val="0D7E749F"/>
    <w:rsid w:val="0D815DD4"/>
    <w:rsid w:val="0D817B82"/>
    <w:rsid w:val="0D821721"/>
    <w:rsid w:val="0D843E39"/>
    <w:rsid w:val="0D843EF5"/>
    <w:rsid w:val="0D8446B5"/>
    <w:rsid w:val="0D857346"/>
    <w:rsid w:val="0D8674E2"/>
    <w:rsid w:val="0D8721FC"/>
    <w:rsid w:val="0D883C4C"/>
    <w:rsid w:val="0D887446"/>
    <w:rsid w:val="0D8933C0"/>
    <w:rsid w:val="0D897652"/>
    <w:rsid w:val="0D8C2C0D"/>
    <w:rsid w:val="0D8E0A6F"/>
    <w:rsid w:val="0D8E6B48"/>
    <w:rsid w:val="0D8F034B"/>
    <w:rsid w:val="0D924CC9"/>
    <w:rsid w:val="0D961154"/>
    <w:rsid w:val="0D976AE0"/>
    <w:rsid w:val="0D981CA6"/>
    <w:rsid w:val="0D98311E"/>
    <w:rsid w:val="0D983140"/>
    <w:rsid w:val="0D99471A"/>
    <w:rsid w:val="0D9B53CF"/>
    <w:rsid w:val="0D9C051F"/>
    <w:rsid w:val="0D9F012F"/>
    <w:rsid w:val="0D9F2356"/>
    <w:rsid w:val="0D9F502D"/>
    <w:rsid w:val="0D9F52BA"/>
    <w:rsid w:val="0DA12E1B"/>
    <w:rsid w:val="0DA239FF"/>
    <w:rsid w:val="0DA26E00"/>
    <w:rsid w:val="0DA32390"/>
    <w:rsid w:val="0DA35575"/>
    <w:rsid w:val="0DA35750"/>
    <w:rsid w:val="0DA371D4"/>
    <w:rsid w:val="0DA5698B"/>
    <w:rsid w:val="0DA6583B"/>
    <w:rsid w:val="0DA675E9"/>
    <w:rsid w:val="0DA719BF"/>
    <w:rsid w:val="0DA76B8C"/>
    <w:rsid w:val="0DA924A4"/>
    <w:rsid w:val="0DA9657A"/>
    <w:rsid w:val="0DAC201E"/>
    <w:rsid w:val="0DAC2D80"/>
    <w:rsid w:val="0DAE15F9"/>
    <w:rsid w:val="0DB059A3"/>
    <w:rsid w:val="0DB10079"/>
    <w:rsid w:val="0DB11AFA"/>
    <w:rsid w:val="0DB2035D"/>
    <w:rsid w:val="0DB44593"/>
    <w:rsid w:val="0DB6446C"/>
    <w:rsid w:val="0DB72191"/>
    <w:rsid w:val="0DB84E47"/>
    <w:rsid w:val="0DB92613"/>
    <w:rsid w:val="0DBB562C"/>
    <w:rsid w:val="0DBB6410"/>
    <w:rsid w:val="0DBD4932"/>
    <w:rsid w:val="0DBD4DA1"/>
    <w:rsid w:val="0DBF3C6C"/>
    <w:rsid w:val="0DC06D9C"/>
    <w:rsid w:val="0DC108C7"/>
    <w:rsid w:val="0DC12675"/>
    <w:rsid w:val="0DC15A1B"/>
    <w:rsid w:val="0DC25AE2"/>
    <w:rsid w:val="0DC263EA"/>
    <w:rsid w:val="0DC330C6"/>
    <w:rsid w:val="0DC33D15"/>
    <w:rsid w:val="0DC45873"/>
    <w:rsid w:val="0DC51DD6"/>
    <w:rsid w:val="0DC72296"/>
    <w:rsid w:val="0DC861A2"/>
    <w:rsid w:val="0DC87239"/>
    <w:rsid w:val="0DC932D7"/>
    <w:rsid w:val="0DC97DD1"/>
    <w:rsid w:val="0DCA21CD"/>
    <w:rsid w:val="0DCA3491"/>
    <w:rsid w:val="0DCA3859"/>
    <w:rsid w:val="0DCB50F9"/>
    <w:rsid w:val="0DCC0AEC"/>
    <w:rsid w:val="0DCD1068"/>
    <w:rsid w:val="0DCD726B"/>
    <w:rsid w:val="0DCE2DF8"/>
    <w:rsid w:val="0DCE5703"/>
    <w:rsid w:val="0DCE6B40"/>
    <w:rsid w:val="0DD06AB7"/>
    <w:rsid w:val="0DD175F1"/>
    <w:rsid w:val="0DD23FEB"/>
    <w:rsid w:val="0DD264D9"/>
    <w:rsid w:val="0DD36BE7"/>
    <w:rsid w:val="0DD41DEC"/>
    <w:rsid w:val="0DD512AE"/>
    <w:rsid w:val="0DD51542"/>
    <w:rsid w:val="0DD51C7C"/>
    <w:rsid w:val="0DD53D1D"/>
    <w:rsid w:val="0DD75B9C"/>
    <w:rsid w:val="0DDC4ECA"/>
    <w:rsid w:val="0DDE49B3"/>
    <w:rsid w:val="0DDE4FD5"/>
    <w:rsid w:val="0DDF1C18"/>
    <w:rsid w:val="0DDF2139"/>
    <w:rsid w:val="0DDF432E"/>
    <w:rsid w:val="0DE0319F"/>
    <w:rsid w:val="0DE11D32"/>
    <w:rsid w:val="0DE33306"/>
    <w:rsid w:val="0DE46363"/>
    <w:rsid w:val="0DE4678E"/>
    <w:rsid w:val="0DE5263B"/>
    <w:rsid w:val="0DE53F73"/>
    <w:rsid w:val="0DE545B5"/>
    <w:rsid w:val="0DE63E89"/>
    <w:rsid w:val="0DE7312A"/>
    <w:rsid w:val="0DE75043"/>
    <w:rsid w:val="0DE76B9D"/>
    <w:rsid w:val="0DEA5867"/>
    <w:rsid w:val="0DEB2A04"/>
    <w:rsid w:val="0DEC1D46"/>
    <w:rsid w:val="0DEC3FF2"/>
    <w:rsid w:val="0DED346A"/>
    <w:rsid w:val="0DED3F7D"/>
    <w:rsid w:val="0DEE186B"/>
    <w:rsid w:val="0DEF54F6"/>
    <w:rsid w:val="0DEF6259"/>
    <w:rsid w:val="0DF2282E"/>
    <w:rsid w:val="0DF32233"/>
    <w:rsid w:val="0DF36217"/>
    <w:rsid w:val="0DF40461"/>
    <w:rsid w:val="0DF46E8E"/>
    <w:rsid w:val="0DF47E93"/>
    <w:rsid w:val="0DF50570"/>
    <w:rsid w:val="0DF62C9E"/>
    <w:rsid w:val="0DF74F1E"/>
    <w:rsid w:val="0DF82E21"/>
    <w:rsid w:val="0DF92677"/>
    <w:rsid w:val="0DFA2C9C"/>
    <w:rsid w:val="0DFA3A47"/>
    <w:rsid w:val="0DFA7259"/>
    <w:rsid w:val="0DFA79B8"/>
    <w:rsid w:val="0DFC1E8C"/>
    <w:rsid w:val="0DFD6346"/>
    <w:rsid w:val="0DFE4EC3"/>
    <w:rsid w:val="0DFE7425"/>
    <w:rsid w:val="0DFF3A62"/>
    <w:rsid w:val="0E00579A"/>
    <w:rsid w:val="0E010DC7"/>
    <w:rsid w:val="0E016F15"/>
    <w:rsid w:val="0E0276C8"/>
    <w:rsid w:val="0E0367E9"/>
    <w:rsid w:val="0E05000C"/>
    <w:rsid w:val="0E050C1A"/>
    <w:rsid w:val="0E092F98"/>
    <w:rsid w:val="0E097340"/>
    <w:rsid w:val="0E0A401C"/>
    <w:rsid w:val="0E0A401F"/>
    <w:rsid w:val="0E0B2945"/>
    <w:rsid w:val="0E0B6E73"/>
    <w:rsid w:val="0E0D58BA"/>
    <w:rsid w:val="0E0D6AA9"/>
    <w:rsid w:val="0E100D9F"/>
    <w:rsid w:val="0E1053AA"/>
    <w:rsid w:val="0E107075"/>
    <w:rsid w:val="0E12064D"/>
    <w:rsid w:val="0E131438"/>
    <w:rsid w:val="0E1409F6"/>
    <w:rsid w:val="0E141045"/>
    <w:rsid w:val="0E1516DC"/>
    <w:rsid w:val="0E1529C0"/>
    <w:rsid w:val="0E1554FA"/>
    <w:rsid w:val="0E156544"/>
    <w:rsid w:val="0E1620AB"/>
    <w:rsid w:val="0E167B20"/>
    <w:rsid w:val="0E1A03B0"/>
    <w:rsid w:val="0E1A32FE"/>
    <w:rsid w:val="0E1D0272"/>
    <w:rsid w:val="0E1D356C"/>
    <w:rsid w:val="0E1E046F"/>
    <w:rsid w:val="0E1E7DBF"/>
    <w:rsid w:val="0E203375"/>
    <w:rsid w:val="0E245290"/>
    <w:rsid w:val="0E250E55"/>
    <w:rsid w:val="0E25712B"/>
    <w:rsid w:val="0E260A4B"/>
    <w:rsid w:val="0E275D5E"/>
    <w:rsid w:val="0E2826F4"/>
    <w:rsid w:val="0E2832D5"/>
    <w:rsid w:val="0E2844A2"/>
    <w:rsid w:val="0E2846A5"/>
    <w:rsid w:val="0E285773"/>
    <w:rsid w:val="0E2A13FD"/>
    <w:rsid w:val="0E2D6995"/>
    <w:rsid w:val="0E3066B6"/>
    <w:rsid w:val="0E31014F"/>
    <w:rsid w:val="0E31557E"/>
    <w:rsid w:val="0E31755E"/>
    <w:rsid w:val="0E323572"/>
    <w:rsid w:val="0E324372"/>
    <w:rsid w:val="0E3471C1"/>
    <w:rsid w:val="0E355C1A"/>
    <w:rsid w:val="0E356BBF"/>
    <w:rsid w:val="0E364E11"/>
    <w:rsid w:val="0E375AEE"/>
    <w:rsid w:val="0E39045D"/>
    <w:rsid w:val="0E3977C0"/>
    <w:rsid w:val="0E3A1CFF"/>
    <w:rsid w:val="0E3A446A"/>
    <w:rsid w:val="0E3B2427"/>
    <w:rsid w:val="0E3B2429"/>
    <w:rsid w:val="0E3C6699"/>
    <w:rsid w:val="0E3D5E73"/>
    <w:rsid w:val="0E3E50CF"/>
    <w:rsid w:val="0E3E6654"/>
    <w:rsid w:val="0E3F073D"/>
    <w:rsid w:val="0E3F2189"/>
    <w:rsid w:val="0E3F2556"/>
    <w:rsid w:val="0E3F7776"/>
    <w:rsid w:val="0E401CB6"/>
    <w:rsid w:val="0E402A74"/>
    <w:rsid w:val="0E44204B"/>
    <w:rsid w:val="0E446BD8"/>
    <w:rsid w:val="0E450E45"/>
    <w:rsid w:val="0E4660AC"/>
    <w:rsid w:val="0E47674E"/>
    <w:rsid w:val="0E4A4D1A"/>
    <w:rsid w:val="0E4A5E15"/>
    <w:rsid w:val="0E4B6768"/>
    <w:rsid w:val="0E4D0A8B"/>
    <w:rsid w:val="0E4E199E"/>
    <w:rsid w:val="0E4E5CCE"/>
    <w:rsid w:val="0E4E6F98"/>
    <w:rsid w:val="0E5057A5"/>
    <w:rsid w:val="0E507E0B"/>
    <w:rsid w:val="0E513356"/>
    <w:rsid w:val="0E51617F"/>
    <w:rsid w:val="0E5242BB"/>
    <w:rsid w:val="0E543FE0"/>
    <w:rsid w:val="0E544176"/>
    <w:rsid w:val="0E55004D"/>
    <w:rsid w:val="0E561B86"/>
    <w:rsid w:val="0E566FEB"/>
    <w:rsid w:val="0E581951"/>
    <w:rsid w:val="0E594522"/>
    <w:rsid w:val="0E5C4993"/>
    <w:rsid w:val="0E5D662D"/>
    <w:rsid w:val="0E5D6B95"/>
    <w:rsid w:val="0E5D7668"/>
    <w:rsid w:val="0E5E25D3"/>
    <w:rsid w:val="0E5E28EF"/>
    <w:rsid w:val="0E620AEA"/>
    <w:rsid w:val="0E642DD7"/>
    <w:rsid w:val="0E643D85"/>
    <w:rsid w:val="0E667F48"/>
    <w:rsid w:val="0E6760C6"/>
    <w:rsid w:val="0E677FB6"/>
    <w:rsid w:val="0E693593"/>
    <w:rsid w:val="0E69674F"/>
    <w:rsid w:val="0E6A098F"/>
    <w:rsid w:val="0E6B1369"/>
    <w:rsid w:val="0E6B152D"/>
    <w:rsid w:val="0E6B25E0"/>
    <w:rsid w:val="0E6C0170"/>
    <w:rsid w:val="0E6D0EA0"/>
    <w:rsid w:val="0E6D6D5D"/>
    <w:rsid w:val="0E6E13F9"/>
    <w:rsid w:val="0E6F41E3"/>
    <w:rsid w:val="0E701594"/>
    <w:rsid w:val="0E72571D"/>
    <w:rsid w:val="0E72733B"/>
    <w:rsid w:val="0E75024E"/>
    <w:rsid w:val="0E763A4A"/>
    <w:rsid w:val="0E764469"/>
    <w:rsid w:val="0E792F4F"/>
    <w:rsid w:val="0E794CFD"/>
    <w:rsid w:val="0E7B5273"/>
    <w:rsid w:val="0E7B6CC7"/>
    <w:rsid w:val="0E7C0F8E"/>
    <w:rsid w:val="0E7C59F6"/>
    <w:rsid w:val="0E7D09A0"/>
    <w:rsid w:val="0E7D3B9C"/>
    <w:rsid w:val="0E7D7E97"/>
    <w:rsid w:val="0E7E40C2"/>
    <w:rsid w:val="0E7F6173"/>
    <w:rsid w:val="0E802CFD"/>
    <w:rsid w:val="0E811E04"/>
    <w:rsid w:val="0E813BB2"/>
    <w:rsid w:val="0E8170EC"/>
    <w:rsid w:val="0E821930"/>
    <w:rsid w:val="0E8310E3"/>
    <w:rsid w:val="0E837C69"/>
    <w:rsid w:val="0E850184"/>
    <w:rsid w:val="0E8536A2"/>
    <w:rsid w:val="0E853A00"/>
    <w:rsid w:val="0E8813E4"/>
    <w:rsid w:val="0E882247"/>
    <w:rsid w:val="0E887F2D"/>
    <w:rsid w:val="0E8B2F2F"/>
    <w:rsid w:val="0E8B6589"/>
    <w:rsid w:val="0E8C48A2"/>
    <w:rsid w:val="0E8D096C"/>
    <w:rsid w:val="0E8E127C"/>
    <w:rsid w:val="0E8F556B"/>
    <w:rsid w:val="0E912047"/>
    <w:rsid w:val="0E9360EE"/>
    <w:rsid w:val="0E937A10"/>
    <w:rsid w:val="0E950205"/>
    <w:rsid w:val="0E9618F3"/>
    <w:rsid w:val="0E985723"/>
    <w:rsid w:val="0E99203C"/>
    <w:rsid w:val="0E994C8F"/>
    <w:rsid w:val="0E99589D"/>
    <w:rsid w:val="0E9A04E1"/>
    <w:rsid w:val="0E9A5D6C"/>
    <w:rsid w:val="0E9A6E8A"/>
    <w:rsid w:val="0E9B705B"/>
    <w:rsid w:val="0E9E2951"/>
    <w:rsid w:val="0E9F5A87"/>
    <w:rsid w:val="0EA018D1"/>
    <w:rsid w:val="0EA150C5"/>
    <w:rsid w:val="0EA17AC9"/>
    <w:rsid w:val="0EA24254"/>
    <w:rsid w:val="0EA27ACA"/>
    <w:rsid w:val="0EA308AE"/>
    <w:rsid w:val="0EA40718"/>
    <w:rsid w:val="0EA4409B"/>
    <w:rsid w:val="0EA55E22"/>
    <w:rsid w:val="0EA64513"/>
    <w:rsid w:val="0EA7052A"/>
    <w:rsid w:val="0EA7526D"/>
    <w:rsid w:val="0EA75364"/>
    <w:rsid w:val="0EA80418"/>
    <w:rsid w:val="0EA864F0"/>
    <w:rsid w:val="0EA87B9E"/>
    <w:rsid w:val="0EA9280C"/>
    <w:rsid w:val="0EA93835"/>
    <w:rsid w:val="0EAA4EB7"/>
    <w:rsid w:val="0EAB0B07"/>
    <w:rsid w:val="0EAC5647"/>
    <w:rsid w:val="0EAD388C"/>
    <w:rsid w:val="0EAE274B"/>
    <w:rsid w:val="0EAE40BC"/>
    <w:rsid w:val="0EAF61DC"/>
    <w:rsid w:val="0EB14D68"/>
    <w:rsid w:val="0EB21FBD"/>
    <w:rsid w:val="0EB256CB"/>
    <w:rsid w:val="0EB268AA"/>
    <w:rsid w:val="0EB3626A"/>
    <w:rsid w:val="0EB378EA"/>
    <w:rsid w:val="0EB465EB"/>
    <w:rsid w:val="0EB4779A"/>
    <w:rsid w:val="0EB751E3"/>
    <w:rsid w:val="0EB777EE"/>
    <w:rsid w:val="0EB854D6"/>
    <w:rsid w:val="0EB91987"/>
    <w:rsid w:val="0EBA5ACB"/>
    <w:rsid w:val="0EBC43EC"/>
    <w:rsid w:val="0EBC50E6"/>
    <w:rsid w:val="0EBD144D"/>
    <w:rsid w:val="0EBF0542"/>
    <w:rsid w:val="0EBF0FFA"/>
    <w:rsid w:val="0EBF510A"/>
    <w:rsid w:val="0EC05F7C"/>
    <w:rsid w:val="0EC0632A"/>
    <w:rsid w:val="0EC26103"/>
    <w:rsid w:val="0EC2686E"/>
    <w:rsid w:val="0EC27A60"/>
    <w:rsid w:val="0EC4251C"/>
    <w:rsid w:val="0EC71CE7"/>
    <w:rsid w:val="0EC77F58"/>
    <w:rsid w:val="0EC8223D"/>
    <w:rsid w:val="0EC8358F"/>
    <w:rsid w:val="0EC84CE9"/>
    <w:rsid w:val="0ECA37AB"/>
    <w:rsid w:val="0ECA53D4"/>
    <w:rsid w:val="0ECA7307"/>
    <w:rsid w:val="0ECC4537"/>
    <w:rsid w:val="0ECD4DAF"/>
    <w:rsid w:val="0ECD7F79"/>
    <w:rsid w:val="0ED22A24"/>
    <w:rsid w:val="0ED32960"/>
    <w:rsid w:val="0ED347A7"/>
    <w:rsid w:val="0ED35683"/>
    <w:rsid w:val="0ED4138B"/>
    <w:rsid w:val="0ED460D1"/>
    <w:rsid w:val="0ED4687F"/>
    <w:rsid w:val="0ED5188C"/>
    <w:rsid w:val="0ED564BB"/>
    <w:rsid w:val="0ED618C0"/>
    <w:rsid w:val="0ED64E21"/>
    <w:rsid w:val="0ED65881"/>
    <w:rsid w:val="0ED87D67"/>
    <w:rsid w:val="0ED95B06"/>
    <w:rsid w:val="0EDB32C2"/>
    <w:rsid w:val="0EDC0101"/>
    <w:rsid w:val="0EDC17D1"/>
    <w:rsid w:val="0EDC2BF8"/>
    <w:rsid w:val="0EDD4088"/>
    <w:rsid w:val="0EDF6FFF"/>
    <w:rsid w:val="0EE022D2"/>
    <w:rsid w:val="0EE2062B"/>
    <w:rsid w:val="0EE3661B"/>
    <w:rsid w:val="0EE41B4B"/>
    <w:rsid w:val="0EE41C18"/>
    <w:rsid w:val="0EE505E5"/>
    <w:rsid w:val="0EE5692C"/>
    <w:rsid w:val="0EE56FF7"/>
    <w:rsid w:val="0EE62B07"/>
    <w:rsid w:val="0EE651D4"/>
    <w:rsid w:val="0EE66792"/>
    <w:rsid w:val="0EE67993"/>
    <w:rsid w:val="0EE67C8B"/>
    <w:rsid w:val="0EE7610B"/>
    <w:rsid w:val="0EED6044"/>
    <w:rsid w:val="0EED6D32"/>
    <w:rsid w:val="0EEE3490"/>
    <w:rsid w:val="0EEE3CAD"/>
    <w:rsid w:val="0EEE649D"/>
    <w:rsid w:val="0EF12740"/>
    <w:rsid w:val="0EF146A7"/>
    <w:rsid w:val="0EF23C7E"/>
    <w:rsid w:val="0EF5293A"/>
    <w:rsid w:val="0EF56A7A"/>
    <w:rsid w:val="0EF600FC"/>
    <w:rsid w:val="0EF73A15"/>
    <w:rsid w:val="0EF80B5D"/>
    <w:rsid w:val="0EF84CAC"/>
    <w:rsid w:val="0EF91270"/>
    <w:rsid w:val="0EF9295C"/>
    <w:rsid w:val="0EFA34EE"/>
    <w:rsid w:val="0EFB3964"/>
    <w:rsid w:val="0EFC3281"/>
    <w:rsid w:val="0EFC37CB"/>
    <w:rsid w:val="0EFD36E4"/>
    <w:rsid w:val="0EFD592E"/>
    <w:rsid w:val="0EFD612F"/>
    <w:rsid w:val="0EFE3967"/>
    <w:rsid w:val="0EFE5203"/>
    <w:rsid w:val="0EFE772F"/>
    <w:rsid w:val="0EFF0C96"/>
    <w:rsid w:val="0EFF7EDE"/>
    <w:rsid w:val="0F0071CD"/>
    <w:rsid w:val="0F017011"/>
    <w:rsid w:val="0F017CED"/>
    <w:rsid w:val="0F0304DC"/>
    <w:rsid w:val="0F0345BF"/>
    <w:rsid w:val="0F043AA6"/>
    <w:rsid w:val="0F054D75"/>
    <w:rsid w:val="0F0740B7"/>
    <w:rsid w:val="0F08121B"/>
    <w:rsid w:val="0F0A1DF9"/>
    <w:rsid w:val="0F0A7858"/>
    <w:rsid w:val="0F0B1B7A"/>
    <w:rsid w:val="0F0C3DC3"/>
    <w:rsid w:val="0F0C57C2"/>
    <w:rsid w:val="0F0D0441"/>
    <w:rsid w:val="0F0D1356"/>
    <w:rsid w:val="0F0E4D0F"/>
    <w:rsid w:val="0F0F36AC"/>
    <w:rsid w:val="0F111FDB"/>
    <w:rsid w:val="0F1145C2"/>
    <w:rsid w:val="0F114D2F"/>
    <w:rsid w:val="0F1346A4"/>
    <w:rsid w:val="0F135CB9"/>
    <w:rsid w:val="0F141CD4"/>
    <w:rsid w:val="0F144A26"/>
    <w:rsid w:val="0F147FC6"/>
    <w:rsid w:val="0F152D89"/>
    <w:rsid w:val="0F1562D8"/>
    <w:rsid w:val="0F157703"/>
    <w:rsid w:val="0F162159"/>
    <w:rsid w:val="0F18135E"/>
    <w:rsid w:val="0F190442"/>
    <w:rsid w:val="0F1955C8"/>
    <w:rsid w:val="0F1C3EF3"/>
    <w:rsid w:val="0F1C63CF"/>
    <w:rsid w:val="0F206065"/>
    <w:rsid w:val="0F213C2C"/>
    <w:rsid w:val="0F230706"/>
    <w:rsid w:val="0F237DDC"/>
    <w:rsid w:val="0F244DDE"/>
    <w:rsid w:val="0F262C35"/>
    <w:rsid w:val="0F276507"/>
    <w:rsid w:val="0F2A3A08"/>
    <w:rsid w:val="0F2B249C"/>
    <w:rsid w:val="0F2C0F65"/>
    <w:rsid w:val="0F2C65BE"/>
    <w:rsid w:val="0F304C9E"/>
    <w:rsid w:val="0F3059E5"/>
    <w:rsid w:val="0F31093A"/>
    <w:rsid w:val="0F320284"/>
    <w:rsid w:val="0F326B5E"/>
    <w:rsid w:val="0F350BF7"/>
    <w:rsid w:val="0F376CE6"/>
    <w:rsid w:val="0F382DAB"/>
    <w:rsid w:val="0F39178A"/>
    <w:rsid w:val="0F3962B4"/>
    <w:rsid w:val="0F3B2377"/>
    <w:rsid w:val="0F3C4321"/>
    <w:rsid w:val="0F3D1A87"/>
    <w:rsid w:val="0F3D72AA"/>
    <w:rsid w:val="0F3D73C4"/>
    <w:rsid w:val="0F3E3367"/>
    <w:rsid w:val="0F3F7B28"/>
    <w:rsid w:val="0F40288F"/>
    <w:rsid w:val="0F420447"/>
    <w:rsid w:val="0F424575"/>
    <w:rsid w:val="0F425BB0"/>
    <w:rsid w:val="0F43277D"/>
    <w:rsid w:val="0F444573"/>
    <w:rsid w:val="0F4678BA"/>
    <w:rsid w:val="0F482F07"/>
    <w:rsid w:val="0F4C0664"/>
    <w:rsid w:val="0F4C41C0"/>
    <w:rsid w:val="0F4C6CF4"/>
    <w:rsid w:val="0F4D19EF"/>
    <w:rsid w:val="0F4D1A8A"/>
    <w:rsid w:val="0F4D1BD5"/>
    <w:rsid w:val="0F4D5845"/>
    <w:rsid w:val="0F4D6EB9"/>
    <w:rsid w:val="0F4E618A"/>
    <w:rsid w:val="0F4E76FE"/>
    <w:rsid w:val="0F4F5A5E"/>
    <w:rsid w:val="0F506025"/>
    <w:rsid w:val="0F5114EF"/>
    <w:rsid w:val="0F5117D6"/>
    <w:rsid w:val="0F5148E8"/>
    <w:rsid w:val="0F522C33"/>
    <w:rsid w:val="0F533280"/>
    <w:rsid w:val="0F5342FE"/>
    <w:rsid w:val="0F552E5F"/>
    <w:rsid w:val="0F554825"/>
    <w:rsid w:val="0F563291"/>
    <w:rsid w:val="0F5800B3"/>
    <w:rsid w:val="0F5A0DB5"/>
    <w:rsid w:val="0F600249"/>
    <w:rsid w:val="0F6018A6"/>
    <w:rsid w:val="0F616C9C"/>
    <w:rsid w:val="0F622805"/>
    <w:rsid w:val="0F626428"/>
    <w:rsid w:val="0F633379"/>
    <w:rsid w:val="0F635000"/>
    <w:rsid w:val="0F64775C"/>
    <w:rsid w:val="0F664C94"/>
    <w:rsid w:val="0F6812C7"/>
    <w:rsid w:val="0F6823CE"/>
    <w:rsid w:val="0F683A8A"/>
    <w:rsid w:val="0F690CFF"/>
    <w:rsid w:val="0F69708A"/>
    <w:rsid w:val="0F6A43F6"/>
    <w:rsid w:val="0F6B25C0"/>
    <w:rsid w:val="0F6C03BE"/>
    <w:rsid w:val="0F6C7E9E"/>
    <w:rsid w:val="0F6D7859"/>
    <w:rsid w:val="0F7116B7"/>
    <w:rsid w:val="0F713C26"/>
    <w:rsid w:val="0F717056"/>
    <w:rsid w:val="0F722315"/>
    <w:rsid w:val="0F742064"/>
    <w:rsid w:val="0F747DFE"/>
    <w:rsid w:val="0F76748F"/>
    <w:rsid w:val="0F77518B"/>
    <w:rsid w:val="0F7756E1"/>
    <w:rsid w:val="0F77627B"/>
    <w:rsid w:val="0F777EE0"/>
    <w:rsid w:val="0F7811B7"/>
    <w:rsid w:val="0F78136C"/>
    <w:rsid w:val="0F781DAE"/>
    <w:rsid w:val="0F786C55"/>
    <w:rsid w:val="0F7A443F"/>
    <w:rsid w:val="0F7A609D"/>
    <w:rsid w:val="0F7A7366"/>
    <w:rsid w:val="0F7B6853"/>
    <w:rsid w:val="0F7D22E5"/>
    <w:rsid w:val="0F7D29E3"/>
    <w:rsid w:val="0F7D4F57"/>
    <w:rsid w:val="0F7D76E3"/>
    <w:rsid w:val="0F7F1D48"/>
    <w:rsid w:val="0F800CBE"/>
    <w:rsid w:val="0F815318"/>
    <w:rsid w:val="0F827226"/>
    <w:rsid w:val="0F84040B"/>
    <w:rsid w:val="0F842885"/>
    <w:rsid w:val="0F845358"/>
    <w:rsid w:val="0F866B20"/>
    <w:rsid w:val="0F871CDD"/>
    <w:rsid w:val="0F873B4A"/>
    <w:rsid w:val="0F876D07"/>
    <w:rsid w:val="0F88453B"/>
    <w:rsid w:val="0F8A404D"/>
    <w:rsid w:val="0F8A513C"/>
    <w:rsid w:val="0F8B2F4B"/>
    <w:rsid w:val="0F8D6973"/>
    <w:rsid w:val="0F8E47D8"/>
    <w:rsid w:val="0F8E4C13"/>
    <w:rsid w:val="0F916E5A"/>
    <w:rsid w:val="0F924FA1"/>
    <w:rsid w:val="0F925AE4"/>
    <w:rsid w:val="0F927CB0"/>
    <w:rsid w:val="0F932BA2"/>
    <w:rsid w:val="0F943740"/>
    <w:rsid w:val="0F953DB9"/>
    <w:rsid w:val="0F956741"/>
    <w:rsid w:val="0F9643EC"/>
    <w:rsid w:val="0F970575"/>
    <w:rsid w:val="0F9741D3"/>
    <w:rsid w:val="0F996BBF"/>
    <w:rsid w:val="0F9B04D3"/>
    <w:rsid w:val="0F9C6BCB"/>
    <w:rsid w:val="0F9D41E8"/>
    <w:rsid w:val="0F9E2E3C"/>
    <w:rsid w:val="0F9F297E"/>
    <w:rsid w:val="0FA0028B"/>
    <w:rsid w:val="0FA073DF"/>
    <w:rsid w:val="0FA108D3"/>
    <w:rsid w:val="0FA22205"/>
    <w:rsid w:val="0FA31024"/>
    <w:rsid w:val="0FA346A2"/>
    <w:rsid w:val="0FA42F11"/>
    <w:rsid w:val="0FA518C7"/>
    <w:rsid w:val="0FA62B5E"/>
    <w:rsid w:val="0FA81971"/>
    <w:rsid w:val="0FAA551F"/>
    <w:rsid w:val="0FAC2EB1"/>
    <w:rsid w:val="0FAC3208"/>
    <w:rsid w:val="0FAC6523"/>
    <w:rsid w:val="0FAE1B81"/>
    <w:rsid w:val="0FAE7E81"/>
    <w:rsid w:val="0FAF41DB"/>
    <w:rsid w:val="0FB047D2"/>
    <w:rsid w:val="0FB21B8D"/>
    <w:rsid w:val="0FB22C0A"/>
    <w:rsid w:val="0FB30D7D"/>
    <w:rsid w:val="0FB321C9"/>
    <w:rsid w:val="0FB52392"/>
    <w:rsid w:val="0FB56209"/>
    <w:rsid w:val="0FB6062D"/>
    <w:rsid w:val="0FB649E7"/>
    <w:rsid w:val="0FB6788B"/>
    <w:rsid w:val="0FB968EE"/>
    <w:rsid w:val="0FBA413C"/>
    <w:rsid w:val="0FBB29F6"/>
    <w:rsid w:val="0FBC0EA0"/>
    <w:rsid w:val="0FBC2848"/>
    <w:rsid w:val="0FBD2D54"/>
    <w:rsid w:val="0FBF363A"/>
    <w:rsid w:val="0FBF4992"/>
    <w:rsid w:val="0FBF71DA"/>
    <w:rsid w:val="0FC051B3"/>
    <w:rsid w:val="0FC37A0F"/>
    <w:rsid w:val="0FC67927"/>
    <w:rsid w:val="0FC87B38"/>
    <w:rsid w:val="0FCA0C38"/>
    <w:rsid w:val="0FCC2456"/>
    <w:rsid w:val="0FCC70AF"/>
    <w:rsid w:val="0FCC7B4C"/>
    <w:rsid w:val="0FCD5A10"/>
    <w:rsid w:val="0FCE1079"/>
    <w:rsid w:val="0FCE2E27"/>
    <w:rsid w:val="0FCE7EF0"/>
    <w:rsid w:val="0FCF43F6"/>
    <w:rsid w:val="0FCF7859"/>
    <w:rsid w:val="0FD22F83"/>
    <w:rsid w:val="0FD23D30"/>
    <w:rsid w:val="0FD33430"/>
    <w:rsid w:val="0FD44283"/>
    <w:rsid w:val="0FD73E7D"/>
    <w:rsid w:val="0FD81E37"/>
    <w:rsid w:val="0FD83D5F"/>
    <w:rsid w:val="0FDA30C2"/>
    <w:rsid w:val="0FDA36B9"/>
    <w:rsid w:val="0FDA7A1E"/>
    <w:rsid w:val="0FDB00FD"/>
    <w:rsid w:val="0FDB53CD"/>
    <w:rsid w:val="0FDF5838"/>
    <w:rsid w:val="0FE12B5A"/>
    <w:rsid w:val="0FE1391C"/>
    <w:rsid w:val="0FE36E63"/>
    <w:rsid w:val="0FE36F3B"/>
    <w:rsid w:val="0FE4247F"/>
    <w:rsid w:val="0FE439AD"/>
    <w:rsid w:val="0FE465D5"/>
    <w:rsid w:val="0FE555D4"/>
    <w:rsid w:val="0FE556D1"/>
    <w:rsid w:val="0FE677AD"/>
    <w:rsid w:val="0FE911A2"/>
    <w:rsid w:val="0FE933EF"/>
    <w:rsid w:val="0FEC5E28"/>
    <w:rsid w:val="0FEE1D54"/>
    <w:rsid w:val="0FF1019B"/>
    <w:rsid w:val="0FF24C8B"/>
    <w:rsid w:val="0FF27549"/>
    <w:rsid w:val="0FF34F54"/>
    <w:rsid w:val="0FF3799B"/>
    <w:rsid w:val="0FF46A17"/>
    <w:rsid w:val="0FF56606"/>
    <w:rsid w:val="0FF6382B"/>
    <w:rsid w:val="0FF71A15"/>
    <w:rsid w:val="0FF71AA5"/>
    <w:rsid w:val="0FF758CC"/>
    <w:rsid w:val="0FF860F6"/>
    <w:rsid w:val="0FF8666D"/>
    <w:rsid w:val="0FF916AC"/>
    <w:rsid w:val="0FF95063"/>
    <w:rsid w:val="0FF975A2"/>
    <w:rsid w:val="0FFA787D"/>
    <w:rsid w:val="0FFC1B10"/>
    <w:rsid w:val="0FFD2107"/>
    <w:rsid w:val="0FFE106F"/>
    <w:rsid w:val="0FFE1352"/>
    <w:rsid w:val="0FFE69F9"/>
    <w:rsid w:val="100110D5"/>
    <w:rsid w:val="10024CD2"/>
    <w:rsid w:val="10031BAA"/>
    <w:rsid w:val="10066A65"/>
    <w:rsid w:val="10075607"/>
    <w:rsid w:val="1007613D"/>
    <w:rsid w:val="100861F5"/>
    <w:rsid w:val="100B05B9"/>
    <w:rsid w:val="100B0635"/>
    <w:rsid w:val="100B3AC8"/>
    <w:rsid w:val="100B407B"/>
    <w:rsid w:val="100C2521"/>
    <w:rsid w:val="100D1BA1"/>
    <w:rsid w:val="100E36DD"/>
    <w:rsid w:val="100E5C66"/>
    <w:rsid w:val="100F32A4"/>
    <w:rsid w:val="100F6192"/>
    <w:rsid w:val="101056DE"/>
    <w:rsid w:val="10115B2E"/>
    <w:rsid w:val="101456ED"/>
    <w:rsid w:val="10154880"/>
    <w:rsid w:val="101747CE"/>
    <w:rsid w:val="10193ECA"/>
    <w:rsid w:val="101A7A5E"/>
    <w:rsid w:val="101B1D76"/>
    <w:rsid w:val="101C3B08"/>
    <w:rsid w:val="101D5BDB"/>
    <w:rsid w:val="101D693F"/>
    <w:rsid w:val="101F1086"/>
    <w:rsid w:val="101F18D4"/>
    <w:rsid w:val="10212EDE"/>
    <w:rsid w:val="102139A6"/>
    <w:rsid w:val="10225B22"/>
    <w:rsid w:val="10227568"/>
    <w:rsid w:val="10241B3B"/>
    <w:rsid w:val="10252BB5"/>
    <w:rsid w:val="10261806"/>
    <w:rsid w:val="10267B04"/>
    <w:rsid w:val="10273CCA"/>
    <w:rsid w:val="102A079E"/>
    <w:rsid w:val="102B0279"/>
    <w:rsid w:val="102B16F6"/>
    <w:rsid w:val="102B1813"/>
    <w:rsid w:val="102B26A9"/>
    <w:rsid w:val="102B2F13"/>
    <w:rsid w:val="102D2243"/>
    <w:rsid w:val="102D3EDB"/>
    <w:rsid w:val="102F5234"/>
    <w:rsid w:val="103047D2"/>
    <w:rsid w:val="10305890"/>
    <w:rsid w:val="103107E9"/>
    <w:rsid w:val="103108BE"/>
    <w:rsid w:val="1031229A"/>
    <w:rsid w:val="10323FEC"/>
    <w:rsid w:val="10333B0E"/>
    <w:rsid w:val="103457A9"/>
    <w:rsid w:val="10387AD7"/>
    <w:rsid w:val="103A5ACF"/>
    <w:rsid w:val="103C6165"/>
    <w:rsid w:val="103D7E98"/>
    <w:rsid w:val="103F0C13"/>
    <w:rsid w:val="103F4475"/>
    <w:rsid w:val="10405CD4"/>
    <w:rsid w:val="104071FE"/>
    <w:rsid w:val="10424E4B"/>
    <w:rsid w:val="104258B0"/>
    <w:rsid w:val="104327E0"/>
    <w:rsid w:val="10437371"/>
    <w:rsid w:val="10443784"/>
    <w:rsid w:val="10446CB7"/>
    <w:rsid w:val="10450C3A"/>
    <w:rsid w:val="10455D10"/>
    <w:rsid w:val="10462A15"/>
    <w:rsid w:val="1048279D"/>
    <w:rsid w:val="10484987"/>
    <w:rsid w:val="104B1731"/>
    <w:rsid w:val="104B72DD"/>
    <w:rsid w:val="104D657C"/>
    <w:rsid w:val="104E486C"/>
    <w:rsid w:val="10505F32"/>
    <w:rsid w:val="105134CA"/>
    <w:rsid w:val="10521331"/>
    <w:rsid w:val="105214BA"/>
    <w:rsid w:val="1052332A"/>
    <w:rsid w:val="10543532"/>
    <w:rsid w:val="10547856"/>
    <w:rsid w:val="10550CD3"/>
    <w:rsid w:val="105529FC"/>
    <w:rsid w:val="105570A4"/>
    <w:rsid w:val="1056280D"/>
    <w:rsid w:val="1056508F"/>
    <w:rsid w:val="10571DDB"/>
    <w:rsid w:val="105720D0"/>
    <w:rsid w:val="105871F4"/>
    <w:rsid w:val="105C2F06"/>
    <w:rsid w:val="105C48D7"/>
    <w:rsid w:val="105D1DBE"/>
    <w:rsid w:val="105D473A"/>
    <w:rsid w:val="105D4A79"/>
    <w:rsid w:val="105E01E5"/>
    <w:rsid w:val="105E23FD"/>
    <w:rsid w:val="105F391B"/>
    <w:rsid w:val="10611EED"/>
    <w:rsid w:val="1062398A"/>
    <w:rsid w:val="10624B4A"/>
    <w:rsid w:val="10625C40"/>
    <w:rsid w:val="106339A3"/>
    <w:rsid w:val="10635A52"/>
    <w:rsid w:val="106519DD"/>
    <w:rsid w:val="10654FAC"/>
    <w:rsid w:val="10655E70"/>
    <w:rsid w:val="106612B1"/>
    <w:rsid w:val="10666FF7"/>
    <w:rsid w:val="1067787C"/>
    <w:rsid w:val="10685029"/>
    <w:rsid w:val="10693240"/>
    <w:rsid w:val="10693B2C"/>
    <w:rsid w:val="106A362C"/>
    <w:rsid w:val="106A6D7E"/>
    <w:rsid w:val="106C28D1"/>
    <w:rsid w:val="106D339C"/>
    <w:rsid w:val="106E1F77"/>
    <w:rsid w:val="106E45C2"/>
    <w:rsid w:val="106F1380"/>
    <w:rsid w:val="106F600E"/>
    <w:rsid w:val="10707FB1"/>
    <w:rsid w:val="1071153C"/>
    <w:rsid w:val="10716B98"/>
    <w:rsid w:val="10731EA3"/>
    <w:rsid w:val="10747124"/>
    <w:rsid w:val="10751757"/>
    <w:rsid w:val="10753354"/>
    <w:rsid w:val="10755213"/>
    <w:rsid w:val="107734BE"/>
    <w:rsid w:val="107751C6"/>
    <w:rsid w:val="10780E3B"/>
    <w:rsid w:val="10785D4A"/>
    <w:rsid w:val="10790FE5"/>
    <w:rsid w:val="10791232"/>
    <w:rsid w:val="10791C91"/>
    <w:rsid w:val="10793B9F"/>
    <w:rsid w:val="107B3763"/>
    <w:rsid w:val="107B7125"/>
    <w:rsid w:val="107C42FA"/>
    <w:rsid w:val="107C51B8"/>
    <w:rsid w:val="107D2040"/>
    <w:rsid w:val="107F02A7"/>
    <w:rsid w:val="108029C0"/>
    <w:rsid w:val="10806817"/>
    <w:rsid w:val="10807AC5"/>
    <w:rsid w:val="1081283B"/>
    <w:rsid w:val="10831E63"/>
    <w:rsid w:val="108434DD"/>
    <w:rsid w:val="10856F1B"/>
    <w:rsid w:val="10857989"/>
    <w:rsid w:val="108616C4"/>
    <w:rsid w:val="108654B0"/>
    <w:rsid w:val="108673FD"/>
    <w:rsid w:val="10893DA0"/>
    <w:rsid w:val="108940F6"/>
    <w:rsid w:val="108A4C7B"/>
    <w:rsid w:val="108B113E"/>
    <w:rsid w:val="108C79A1"/>
    <w:rsid w:val="108D20E9"/>
    <w:rsid w:val="108D2CE2"/>
    <w:rsid w:val="108E3427"/>
    <w:rsid w:val="108F6A5A"/>
    <w:rsid w:val="1090553E"/>
    <w:rsid w:val="109106AA"/>
    <w:rsid w:val="10925C32"/>
    <w:rsid w:val="109322EA"/>
    <w:rsid w:val="10940030"/>
    <w:rsid w:val="10945158"/>
    <w:rsid w:val="10945C27"/>
    <w:rsid w:val="10952259"/>
    <w:rsid w:val="10984F09"/>
    <w:rsid w:val="109A6F35"/>
    <w:rsid w:val="109B7FF9"/>
    <w:rsid w:val="109C10AA"/>
    <w:rsid w:val="109D1177"/>
    <w:rsid w:val="109E6D51"/>
    <w:rsid w:val="109E77CB"/>
    <w:rsid w:val="10A01277"/>
    <w:rsid w:val="10A342B4"/>
    <w:rsid w:val="10A34CB9"/>
    <w:rsid w:val="10A5627E"/>
    <w:rsid w:val="10A72C19"/>
    <w:rsid w:val="10A82F2F"/>
    <w:rsid w:val="10A867D5"/>
    <w:rsid w:val="10AA08EC"/>
    <w:rsid w:val="10AA2392"/>
    <w:rsid w:val="10AB3168"/>
    <w:rsid w:val="10AD3A87"/>
    <w:rsid w:val="10AE5D60"/>
    <w:rsid w:val="10AE6479"/>
    <w:rsid w:val="10AE7FBC"/>
    <w:rsid w:val="10AF0EAA"/>
    <w:rsid w:val="10AF1D60"/>
    <w:rsid w:val="10AF28A8"/>
    <w:rsid w:val="10AF3056"/>
    <w:rsid w:val="10AF58DC"/>
    <w:rsid w:val="10B164DB"/>
    <w:rsid w:val="10B20785"/>
    <w:rsid w:val="10B27DB1"/>
    <w:rsid w:val="10B3726F"/>
    <w:rsid w:val="10B4201D"/>
    <w:rsid w:val="10B512C2"/>
    <w:rsid w:val="10B97124"/>
    <w:rsid w:val="10B97C29"/>
    <w:rsid w:val="10BA6D8B"/>
    <w:rsid w:val="10BB4DB5"/>
    <w:rsid w:val="10BF6318"/>
    <w:rsid w:val="10BF7A6B"/>
    <w:rsid w:val="10C009C2"/>
    <w:rsid w:val="10C20BDE"/>
    <w:rsid w:val="10C20BFE"/>
    <w:rsid w:val="10C22280"/>
    <w:rsid w:val="10C35DCA"/>
    <w:rsid w:val="10C42D3B"/>
    <w:rsid w:val="10C74B74"/>
    <w:rsid w:val="10CB7366"/>
    <w:rsid w:val="10CD501D"/>
    <w:rsid w:val="10CE14CF"/>
    <w:rsid w:val="10CF0C40"/>
    <w:rsid w:val="10CF555B"/>
    <w:rsid w:val="10D03DBD"/>
    <w:rsid w:val="10D11FFE"/>
    <w:rsid w:val="10D2198A"/>
    <w:rsid w:val="10D27B32"/>
    <w:rsid w:val="10D418E0"/>
    <w:rsid w:val="10D43DF6"/>
    <w:rsid w:val="10D475C5"/>
    <w:rsid w:val="10D47789"/>
    <w:rsid w:val="10D51CFF"/>
    <w:rsid w:val="10D60D7C"/>
    <w:rsid w:val="10D6121D"/>
    <w:rsid w:val="10DA70EF"/>
    <w:rsid w:val="10DB067E"/>
    <w:rsid w:val="10DB090B"/>
    <w:rsid w:val="10DE5653"/>
    <w:rsid w:val="10DF3C80"/>
    <w:rsid w:val="10DF4EC1"/>
    <w:rsid w:val="10DF5030"/>
    <w:rsid w:val="10E20EC3"/>
    <w:rsid w:val="10E24D48"/>
    <w:rsid w:val="10E6462C"/>
    <w:rsid w:val="10E80C64"/>
    <w:rsid w:val="10E83632"/>
    <w:rsid w:val="10E954F8"/>
    <w:rsid w:val="10E96FE9"/>
    <w:rsid w:val="10EA019F"/>
    <w:rsid w:val="10ED1612"/>
    <w:rsid w:val="10ED1D02"/>
    <w:rsid w:val="10EF368D"/>
    <w:rsid w:val="10F0623A"/>
    <w:rsid w:val="10F0742D"/>
    <w:rsid w:val="10F1056E"/>
    <w:rsid w:val="10F201A6"/>
    <w:rsid w:val="10F20D97"/>
    <w:rsid w:val="10F265C2"/>
    <w:rsid w:val="10F40031"/>
    <w:rsid w:val="10F50D5B"/>
    <w:rsid w:val="10F54416"/>
    <w:rsid w:val="10F75B87"/>
    <w:rsid w:val="10F824D9"/>
    <w:rsid w:val="10F82B7D"/>
    <w:rsid w:val="10F8474E"/>
    <w:rsid w:val="10FC5325"/>
    <w:rsid w:val="10FD39C4"/>
    <w:rsid w:val="10FD5330"/>
    <w:rsid w:val="10FD70F0"/>
    <w:rsid w:val="10FE58B5"/>
    <w:rsid w:val="10FE71F1"/>
    <w:rsid w:val="10FF053A"/>
    <w:rsid w:val="10FF7000"/>
    <w:rsid w:val="11005262"/>
    <w:rsid w:val="11010513"/>
    <w:rsid w:val="11030290"/>
    <w:rsid w:val="11031026"/>
    <w:rsid w:val="11052878"/>
    <w:rsid w:val="1105306B"/>
    <w:rsid w:val="11053860"/>
    <w:rsid w:val="11056146"/>
    <w:rsid w:val="11056D4E"/>
    <w:rsid w:val="11072BC3"/>
    <w:rsid w:val="110760EC"/>
    <w:rsid w:val="110A553C"/>
    <w:rsid w:val="110C3C07"/>
    <w:rsid w:val="110C4038"/>
    <w:rsid w:val="110E20AD"/>
    <w:rsid w:val="110E3C53"/>
    <w:rsid w:val="110F60A0"/>
    <w:rsid w:val="110F67EA"/>
    <w:rsid w:val="110F721E"/>
    <w:rsid w:val="111022AF"/>
    <w:rsid w:val="11111402"/>
    <w:rsid w:val="11114EE0"/>
    <w:rsid w:val="11121056"/>
    <w:rsid w:val="11136046"/>
    <w:rsid w:val="11136C90"/>
    <w:rsid w:val="11146DA7"/>
    <w:rsid w:val="11150F0E"/>
    <w:rsid w:val="11161B98"/>
    <w:rsid w:val="11163121"/>
    <w:rsid w:val="11164A85"/>
    <w:rsid w:val="111A2D88"/>
    <w:rsid w:val="111D00AB"/>
    <w:rsid w:val="111D3207"/>
    <w:rsid w:val="111D5E14"/>
    <w:rsid w:val="111F7DDE"/>
    <w:rsid w:val="11203BB6"/>
    <w:rsid w:val="112076B2"/>
    <w:rsid w:val="112175EC"/>
    <w:rsid w:val="11217B93"/>
    <w:rsid w:val="112203C1"/>
    <w:rsid w:val="112248A1"/>
    <w:rsid w:val="11225C9F"/>
    <w:rsid w:val="11231D09"/>
    <w:rsid w:val="1124182D"/>
    <w:rsid w:val="11241C6E"/>
    <w:rsid w:val="11247F25"/>
    <w:rsid w:val="11251853"/>
    <w:rsid w:val="11252F1A"/>
    <w:rsid w:val="11257345"/>
    <w:rsid w:val="112845C2"/>
    <w:rsid w:val="11285BF9"/>
    <w:rsid w:val="11291F54"/>
    <w:rsid w:val="11294683"/>
    <w:rsid w:val="112B6C40"/>
    <w:rsid w:val="112C38F2"/>
    <w:rsid w:val="112E1562"/>
    <w:rsid w:val="112F52E9"/>
    <w:rsid w:val="112F5B47"/>
    <w:rsid w:val="11305976"/>
    <w:rsid w:val="11305B15"/>
    <w:rsid w:val="11313335"/>
    <w:rsid w:val="113257B6"/>
    <w:rsid w:val="11336993"/>
    <w:rsid w:val="113556FF"/>
    <w:rsid w:val="11356600"/>
    <w:rsid w:val="11356B11"/>
    <w:rsid w:val="1137173D"/>
    <w:rsid w:val="11386C61"/>
    <w:rsid w:val="113A017C"/>
    <w:rsid w:val="113A08BE"/>
    <w:rsid w:val="113C01AF"/>
    <w:rsid w:val="113D0264"/>
    <w:rsid w:val="113E3FDC"/>
    <w:rsid w:val="113E7433"/>
    <w:rsid w:val="114063D0"/>
    <w:rsid w:val="11413C64"/>
    <w:rsid w:val="11480329"/>
    <w:rsid w:val="11483F5E"/>
    <w:rsid w:val="11487B04"/>
    <w:rsid w:val="11493EB8"/>
    <w:rsid w:val="11494E5B"/>
    <w:rsid w:val="114A2981"/>
    <w:rsid w:val="114A472F"/>
    <w:rsid w:val="114B271D"/>
    <w:rsid w:val="114B37B0"/>
    <w:rsid w:val="114E1C80"/>
    <w:rsid w:val="114F590B"/>
    <w:rsid w:val="115009F9"/>
    <w:rsid w:val="11501EBF"/>
    <w:rsid w:val="1151130E"/>
    <w:rsid w:val="11521A18"/>
    <w:rsid w:val="11521B79"/>
    <w:rsid w:val="11531836"/>
    <w:rsid w:val="11537A88"/>
    <w:rsid w:val="115455AE"/>
    <w:rsid w:val="11551A52"/>
    <w:rsid w:val="11566383"/>
    <w:rsid w:val="11566576"/>
    <w:rsid w:val="11571C89"/>
    <w:rsid w:val="1157256C"/>
    <w:rsid w:val="11580C42"/>
    <w:rsid w:val="115832F0"/>
    <w:rsid w:val="115B693C"/>
    <w:rsid w:val="115C1832"/>
    <w:rsid w:val="115C2C14"/>
    <w:rsid w:val="115D26B4"/>
    <w:rsid w:val="115D2B1C"/>
    <w:rsid w:val="115E01DA"/>
    <w:rsid w:val="1160147D"/>
    <w:rsid w:val="116021A5"/>
    <w:rsid w:val="11612C8D"/>
    <w:rsid w:val="11621B8A"/>
    <w:rsid w:val="11622A94"/>
    <w:rsid w:val="116313CA"/>
    <w:rsid w:val="11634536"/>
    <w:rsid w:val="11640ECC"/>
    <w:rsid w:val="11651DD5"/>
    <w:rsid w:val="11673922"/>
    <w:rsid w:val="116752E1"/>
    <w:rsid w:val="11692E07"/>
    <w:rsid w:val="116935E4"/>
    <w:rsid w:val="11695FFC"/>
    <w:rsid w:val="116A06D7"/>
    <w:rsid w:val="116A4DD1"/>
    <w:rsid w:val="116A5DC0"/>
    <w:rsid w:val="116B5463"/>
    <w:rsid w:val="116D0BDC"/>
    <w:rsid w:val="116F2B2A"/>
    <w:rsid w:val="11721F0C"/>
    <w:rsid w:val="11722693"/>
    <w:rsid w:val="117235B3"/>
    <w:rsid w:val="11727009"/>
    <w:rsid w:val="11742DB9"/>
    <w:rsid w:val="11743B70"/>
    <w:rsid w:val="11743D26"/>
    <w:rsid w:val="11761AF6"/>
    <w:rsid w:val="11767655"/>
    <w:rsid w:val="117937AD"/>
    <w:rsid w:val="117959F3"/>
    <w:rsid w:val="117A1762"/>
    <w:rsid w:val="117A20C2"/>
    <w:rsid w:val="117B75FC"/>
    <w:rsid w:val="117C18E6"/>
    <w:rsid w:val="117C1CF2"/>
    <w:rsid w:val="117D4B05"/>
    <w:rsid w:val="117E028D"/>
    <w:rsid w:val="117E5DCC"/>
    <w:rsid w:val="117E7509"/>
    <w:rsid w:val="117F29D9"/>
    <w:rsid w:val="117F4DC6"/>
    <w:rsid w:val="118005E0"/>
    <w:rsid w:val="118026E4"/>
    <w:rsid w:val="1181130B"/>
    <w:rsid w:val="11812C2C"/>
    <w:rsid w:val="11814800"/>
    <w:rsid w:val="11820D2E"/>
    <w:rsid w:val="1182140E"/>
    <w:rsid w:val="1182557E"/>
    <w:rsid w:val="11826EDE"/>
    <w:rsid w:val="118270A2"/>
    <w:rsid w:val="11866444"/>
    <w:rsid w:val="11877731"/>
    <w:rsid w:val="118916FB"/>
    <w:rsid w:val="118937D1"/>
    <w:rsid w:val="11896031"/>
    <w:rsid w:val="11896C4A"/>
    <w:rsid w:val="118A7DBE"/>
    <w:rsid w:val="118C60FC"/>
    <w:rsid w:val="119107BF"/>
    <w:rsid w:val="119165F3"/>
    <w:rsid w:val="11934A25"/>
    <w:rsid w:val="119360D6"/>
    <w:rsid w:val="1195630D"/>
    <w:rsid w:val="1196199C"/>
    <w:rsid w:val="1196605D"/>
    <w:rsid w:val="11977894"/>
    <w:rsid w:val="11991213"/>
    <w:rsid w:val="119A413D"/>
    <w:rsid w:val="119B1096"/>
    <w:rsid w:val="119B4F8B"/>
    <w:rsid w:val="119E39C9"/>
    <w:rsid w:val="119F3332"/>
    <w:rsid w:val="119F37EB"/>
    <w:rsid w:val="11A023A5"/>
    <w:rsid w:val="11A1268D"/>
    <w:rsid w:val="11A20D6C"/>
    <w:rsid w:val="11A37BF8"/>
    <w:rsid w:val="11A547E7"/>
    <w:rsid w:val="11A702DC"/>
    <w:rsid w:val="11A71B81"/>
    <w:rsid w:val="11A7392F"/>
    <w:rsid w:val="11A830C4"/>
    <w:rsid w:val="11A83E45"/>
    <w:rsid w:val="11A855EC"/>
    <w:rsid w:val="11A866AC"/>
    <w:rsid w:val="11AB6154"/>
    <w:rsid w:val="11B07D38"/>
    <w:rsid w:val="11B217C4"/>
    <w:rsid w:val="11B27A2E"/>
    <w:rsid w:val="11B31925"/>
    <w:rsid w:val="11B52B72"/>
    <w:rsid w:val="11B65A10"/>
    <w:rsid w:val="11B67893"/>
    <w:rsid w:val="11B74185"/>
    <w:rsid w:val="11B7573D"/>
    <w:rsid w:val="11B84B99"/>
    <w:rsid w:val="11BB7DC5"/>
    <w:rsid w:val="11BC1998"/>
    <w:rsid w:val="11BE2DE2"/>
    <w:rsid w:val="11BE5EDC"/>
    <w:rsid w:val="11BF0E89"/>
    <w:rsid w:val="11BF336F"/>
    <w:rsid w:val="11BF51F3"/>
    <w:rsid w:val="11C049F1"/>
    <w:rsid w:val="11C15DEB"/>
    <w:rsid w:val="11C17641"/>
    <w:rsid w:val="11C37E00"/>
    <w:rsid w:val="11C4528B"/>
    <w:rsid w:val="11C45F44"/>
    <w:rsid w:val="11C54B88"/>
    <w:rsid w:val="11C57AB6"/>
    <w:rsid w:val="11C62282"/>
    <w:rsid w:val="11C7025C"/>
    <w:rsid w:val="11C94336"/>
    <w:rsid w:val="11CA5287"/>
    <w:rsid w:val="11CB1D14"/>
    <w:rsid w:val="11CB2733"/>
    <w:rsid w:val="11CB3AC2"/>
    <w:rsid w:val="11CC7E12"/>
    <w:rsid w:val="11CE3BDE"/>
    <w:rsid w:val="11CE4FC1"/>
    <w:rsid w:val="11CE6126"/>
    <w:rsid w:val="11CE69FB"/>
    <w:rsid w:val="11D00824"/>
    <w:rsid w:val="11D05892"/>
    <w:rsid w:val="11D063A9"/>
    <w:rsid w:val="11D120B8"/>
    <w:rsid w:val="11D158E3"/>
    <w:rsid w:val="11D244CD"/>
    <w:rsid w:val="11D40D5E"/>
    <w:rsid w:val="11D57688"/>
    <w:rsid w:val="11D64EB8"/>
    <w:rsid w:val="11D803A6"/>
    <w:rsid w:val="11D8301E"/>
    <w:rsid w:val="11DA2A58"/>
    <w:rsid w:val="11DC2455"/>
    <w:rsid w:val="11DC260A"/>
    <w:rsid w:val="11DC26C1"/>
    <w:rsid w:val="11DD0AA4"/>
    <w:rsid w:val="11DD21FB"/>
    <w:rsid w:val="11DE546D"/>
    <w:rsid w:val="11DF27C5"/>
    <w:rsid w:val="11E02202"/>
    <w:rsid w:val="11E03822"/>
    <w:rsid w:val="11E14EEE"/>
    <w:rsid w:val="11E46932"/>
    <w:rsid w:val="11E6407A"/>
    <w:rsid w:val="11E6513F"/>
    <w:rsid w:val="11EA104A"/>
    <w:rsid w:val="11EA3BD2"/>
    <w:rsid w:val="11EA7FA3"/>
    <w:rsid w:val="11EB0C09"/>
    <w:rsid w:val="11EC068E"/>
    <w:rsid w:val="11EC59AB"/>
    <w:rsid w:val="11EC5BA7"/>
    <w:rsid w:val="11ED7150"/>
    <w:rsid w:val="11EF15CF"/>
    <w:rsid w:val="11EF3F60"/>
    <w:rsid w:val="11F04B58"/>
    <w:rsid w:val="11F05913"/>
    <w:rsid w:val="11F076B8"/>
    <w:rsid w:val="11F1104F"/>
    <w:rsid w:val="11F272A1"/>
    <w:rsid w:val="11F43656"/>
    <w:rsid w:val="11F56D91"/>
    <w:rsid w:val="11F57951"/>
    <w:rsid w:val="11F57AA9"/>
    <w:rsid w:val="11F70F68"/>
    <w:rsid w:val="11F76665"/>
    <w:rsid w:val="11F80006"/>
    <w:rsid w:val="11FC011F"/>
    <w:rsid w:val="11FC0DFE"/>
    <w:rsid w:val="11FD5C45"/>
    <w:rsid w:val="11FE4A4F"/>
    <w:rsid w:val="12022042"/>
    <w:rsid w:val="1202500A"/>
    <w:rsid w:val="1203591A"/>
    <w:rsid w:val="120363E1"/>
    <w:rsid w:val="12036EAF"/>
    <w:rsid w:val="12040312"/>
    <w:rsid w:val="12041DE8"/>
    <w:rsid w:val="12042B30"/>
    <w:rsid w:val="12053DD9"/>
    <w:rsid w:val="120738D1"/>
    <w:rsid w:val="12080872"/>
    <w:rsid w:val="12083816"/>
    <w:rsid w:val="120945EA"/>
    <w:rsid w:val="120A75D5"/>
    <w:rsid w:val="120C016C"/>
    <w:rsid w:val="120C459D"/>
    <w:rsid w:val="120D6AA9"/>
    <w:rsid w:val="120E55B0"/>
    <w:rsid w:val="120F1308"/>
    <w:rsid w:val="120F5A11"/>
    <w:rsid w:val="1210041D"/>
    <w:rsid w:val="12107AB5"/>
    <w:rsid w:val="12121828"/>
    <w:rsid w:val="12121AB4"/>
    <w:rsid w:val="12131BB9"/>
    <w:rsid w:val="12137846"/>
    <w:rsid w:val="12137F71"/>
    <w:rsid w:val="12142A6E"/>
    <w:rsid w:val="121574C4"/>
    <w:rsid w:val="1216131C"/>
    <w:rsid w:val="12167421"/>
    <w:rsid w:val="12192F9D"/>
    <w:rsid w:val="121962C3"/>
    <w:rsid w:val="121A10DB"/>
    <w:rsid w:val="121B73C6"/>
    <w:rsid w:val="121C087D"/>
    <w:rsid w:val="121D3BF2"/>
    <w:rsid w:val="1222745A"/>
    <w:rsid w:val="1223332E"/>
    <w:rsid w:val="1225472D"/>
    <w:rsid w:val="12271B47"/>
    <w:rsid w:val="12273E8C"/>
    <w:rsid w:val="1228691C"/>
    <w:rsid w:val="122A12C0"/>
    <w:rsid w:val="122A360C"/>
    <w:rsid w:val="122A4C8C"/>
    <w:rsid w:val="122A5B7E"/>
    <w:rsid w:val="122B3238"/>
    <w:rsid w:val="122B4561"/>
    <w:rsid w:val="122C63A6"/>
    <w:rsid w:val="122E4051"/>
    <w:rsid w:val="12302753"/>
    <w:rsid w:val="123122E5"/>
    <w:rsid w:val="123244B1"/>
    <w:rsid w:val="123255C3"/>
    <w:rsid w:val="12331667"/>
    <w:rsid w:val="12335A41"/>
    <w:rsid w:val="12351579"/>
    <w:rsid w:val="12353631"/>
    <w:rsid w:val="12370F6D"/>
    <w:rsid w:val="12382E60"/>
    <w:rsid w:val="123855D1"/>
    <w:rsid w:val="123B1977"/>
    <w:rsid w:val="123B4863"/>
    <w:rsid w:val="123C7B3C"/>
    <w:rsid w:val="123E24F5"/>
    <w:rsid w:val="123E5365"/>
    <w:rsid w:val="12411FD6"/>
    <w:rsid w:val="12413D84"/>
    <w:rsid w:val="12415413"/>
    <w:rsid w:val="124249F7"/>
    <w:rsid w:val="124315DA"/>
    <w:rsid w:val="1243639D"/>
    <w:rsid w:val="12437AFC"/>
    <w:rsid w:val="124438CB"/>
    <w:rsid w:val="12461229"/>
    <w:rsid w:val="1246182B"/>
    <w:rsid w:val="12462B10"/>
    <w:rsid w:val="1247006D"/>
    <w:rsid w:val="12486EC1"/>
    <w:rsid w:val="124A2B80"/>
    <w:rsid w:val="124C3CBC"/>
    <w:rsid w:val="124C459C"/>
    <w:rsid w:val="124C4706"/>
    <w:rsid w:val="124D097B"/>
    <w:rsid w:val="124D44D7"/>
    <w:rsid w:val="124F46F3"/>
    <w:rsid w:val="1252395C"/>
    <w:rsid w:val="125308C6"/>
    <w:rsid w:val="12535170"/>
    <w:rsid w:val="1254215C"/>
    <w:rsid w:val="12553F89"/>
    <w:rsid w:val="12560DAC"/>
    <w:rsid w:val="12565AF9"/>
    <w:rsid w:val="12567DDC"/>
    <w:rsid w:val="12575356"/>
    <w:rsid w:val="12587198"/>
    <w:rsid w:val="12590B2D"/>
    <w:rsid w:val="1259182D"/>
    <w:rsid w:val="12597320"/>
    <w:rsid w:val="125B08FB"/>
    <w:rsid w:val="125D1CE3"/>
    <w:rsid w:val="125E784D"/>
    <w:rsid w:val="125F4F94"/>
    <w:rsid w:val="125F64EB"/>
    <w:rsid w:val="12605E9D"/>
    <w:rsid w:val="1260787A"/>
    <w:rsid w:val="12607B1A"/>
    <w:rsid w:val="126119D6"/>
    <w:rsid w:val="12623816"/>
    <w:rsid w:val="12625CD3"/>
    <w:rsid w:val="126364CD"/>
    <w:rsid w:val="12642733"/>
    <w:rsid w:val="12647DEA"/>
    <w:rsid w:val="12650FBB"/>
    <w:rsid w:val="12655172"/>
    <w:rsid w:val="126562F8"/>
    <w:rsid w:val="126604E0"/>
    <w:rsid w:val="12660FC8"/>
    <w:rsid w:val="1267202C"/>
    <w:rsid w:val="12680F0E"/>
    <w:rsid w:val="1268374F"/>
    <w:rsid w:val="126866EF"/>
    <w:rsid w:val="126943A9"/>
    <w:rsid w:val="12694CB6"/>
    <w:rsid w:val="126A2303"/>
    <w:rsid w:val="126C3F27"/>
    <w:rsid w:val="126F4BD2"/>
    <w:rsid w:val="1270692A"/>
    <w:rsid w:val="1273662A"/>
    <w:rsid w:val="127772FB"/>
    <w:rsid w:val="1278020D"/>
    <w:rsid w:val="127952CC"/>
    <w:rsid w:val="127A5769"/>
    <w:rsid w:val="127A591F"/>
    <w:rsid w:val="127E0235"/>
    <w:rsid w:val="127E723A"/>
    <w:rsid w:val="127F4A5D"/>
    <w:rsid w:val="127F5112"/>
    <w:rsid w:val="128110F1"/>
    <w:rsid w:val="128125DB"/>
    <w:rsid w:val="128143E8"/>
    <w:rsid w:val="12832FFB"/>
    <w:rsid w:val="12844C8E"/>
    <w:rsid w:val="12863B97"/>
    <w:rsid w:val="128679E9"/>
    <w:rsid w:val="12867BFB"/>
    <w:rsid w:val="1287306A"/>
    <w:rsid w:val="128748BB"/>
    <w:rsid w:val="12876184"/>
    <w:rsid w:val="1288618A"/>
    <w:rsid w:val="12887A89"/>
    <w:rsid w:val="128A53A3"/>
    <w:rsid w:val="128A6237"/>
    <w:rsid w:val="128A7E1B"/>
    <w:rsid w:val="128B4DFC"/>
    <w:rsid w:val="128C0637"/>
    <w:rsid w:val="128C1A52"/>
    <w:rsid w:val="128C1DA1"/>
    <w:rsid w:val="128C4DB6"/>
    <w:rsid w:val="128C7CC2"/>
    <w:rsid w:val="128D0D77"/>
    <w:rsid w:val="128D3618"/>
    <w:rsid w:val="128D4C5A"/>
    <w:rsid w:val="128D618E"/>
    <w:rsid w:val="128F714D"/>
    <w:rsid w:val="128F7D67"/>
    <w:rsid w:val="1290283A"/>
    <w:rsid w:val="1290609D"/>
    <w:rsid w:val="129173C0"/>
    <w:rsid w:val="12942106"/>
    <w:rsid w:val="12950A7E"/>
    <w:rsid w:val="12957CDF"/>
    <w:rsid w:val="129640D0"/>
    <w:rsid w:val="1296520C"/>
    <w:rsid w:val="12973ED8"/>
    <w:rsid w:val="1297776D"/>
    <w:rsid w:val="129810EB"/>
    <w:rsid w:val="12987EB5"/>
    <w:rsid w:val="1299771C"/>
    <w:rsid w:val="129B6A47"/>
    <w:rsid w:val="129C0FBA"/>
    <w:rsid w:val="129E51FA"/>
    <w:rsid w:val="129E71F5"/>
    <w:rsid w:val="12A106C1"/>
    <w:rsid w:val="12A14823"/>
    <w:rsid w:val="12A22F6F"/>
    <w:rsid w:val="12A32349"/>
    <w:rsid w:val="12A339AC"/>
    <w:rsid w:val="12A54EC2"/>
    <w:rsid w:val="12A54F01"/>
    <w:rsid w:val="12A55CF8"/>
    <w:rsid w:val="12A62947"/>
    <w:rsid w:val="12A64AE7"/>
    <w:rsid w:val="12A70155"/>
    <w:rsid w:val="12A7658F"/>
    <w:rsid w:val="12A83E03"/>
    <w:rsid w:val="12A8788E"/>
    <w:rsid w:val="12A96EF4"/>
    <w:rsid w:val="12AB4827"/>
    <w:rsid w:val="12AC39E6"/>
    <w:rsid w:val="12AD1C97"/>
    <w:rsid w:val="12AD443F"/>
    <w:rsid w:val="12AE135A"/>
    <w:rsid w:val="12AE5C77"/>
    <w:rsid w:val="12AF1FE7"/>
    <w:rsid w:val="12AF374C"/>
    <w:rsid w:val="12AF4457"/>
    <w:rsid w:val="12AF53DC"/>
    <w:rsid w:val="12B03EFF"/>
    <w:rsid w:val="12B05320"/>
    <w:rsid w:val="12B2294C"/>
    <w:rsid w:val="12B24C82"/>
    <w:rsid w:val="12B26899"/>
    <w:rsid w:val="12B27B8A"/>
    <w:rsid w:val="12B36144"/>
    <w:rsid w:val="12B47E12"/>
    <w:rsid w:val="12B55392"/>
    <w:rsid w:val="12B559CF"/>
    <w:rsid w:val="12B64DD7"/>
    <w:rsid w:val="12B7243C"/>
    <w:rsid w:val="12B72CF6"/>
    <w:rsid w:val="12B7776A"/>
    <w:rsid w:val="12B878BF"/>
    <w:rsid w:val="12BA0A7E"/>
    <w:rsid w:val="12BB05FA"/>
    <w:rsid w:val="12BB5BB9"/>
    <w:rsid w:val="12BF42DB"/>
    <w:rsid w:val="12C07B00"/>
    <w:rsid w:val="12C214B3"/>
    <w:rsid w:val="12C23AE6"/>
    <w:rsid w:val="12C30C3D"/>
    <w:rsid w:val="12C30F2B"/>
    <w:rsid w:val="12C329EB"/>
    <w:rsid w:val="12C43900"/>
    <w:rsid w:val="12C5331C"/>
    <w:rsid w:val="12C549B5"/>
    <w:rsid w:val="12C54F8C"/>
    <w:rsid w:val="12C56763"/>
    <w:rsid w:val="12C57FB2"/>
    <w:rsid w:val="12C61AC1"/>
    <w:rsid w:val="12C74E7A"/>
    <w:rsid w:val="12CB06CD"/>
    <w:rsid w:val="12CB18A0"/>
    <w:rsid w:val="12CB7F08"/>
    <w:rsid w:val="12CC7AF2"/>
    <w:rsid w:val="12CE7796"/>
    <w:rsid w:val="12CF4E78"/>
    <w:rsid w:val="12CF75E2"/>
    <w:rsid w:val="12D0209F"/>
    <w:rsid w:val="12D07A3D"/>
    <w:rsid w:val="12D2163B"/>
    <w:rsid w:val="12D37012"/>
    <w:rsid w:val="12D4734C"/>
    <w:rsid w:val="12D53398"/>
    <w:rsid w:val="12D549E8"/>
    <w:rsid w:val="12D6271E"/>
    <w:rsid w:val="12D90460"/>
    <w:rsid w:val="12D958B9"/>
    <w:rsid w:val="12DA00E7"/>
    <w:rsid w:val="12DA6AD7"/>
    <w:rsid w:val="12DD1FA8"/>
    <w:rsid w:val="12DD2895"/>
    <w:rsid w:val="12DE149D"/>
    <w:rsid w:val="12DF3188"/>
    <w:rsid w:val="12DF3BAE"/>
    <w:rsid w:val="12E27B3D"/>
    <w:rsid w:val="12E344C5"/>
    <w:rsid w:val="12E36D9D"/>
    <w:rsid w:val="12E419A5"/>
    <w:rsid w:val="12E43BEB"/>
    <w:rsid w:val="12E74E6B"/>
    <w:rsid w:val="12E86677"/>
    <w:rsid w:val="12E8698C"/>
    <w:rsid w:val="12E87ED2"/>
    <w:rsid w:val="12EA7F78"/>
    <w:rsid w:val="12EB2C3B"/>
    <w:rsid w:val="12EC1DC3"/>
    <w:rsid w:val="12ED0A11"/>
    <w:rsid w:val="12EE638F"/>
    <w:rsid w:val="12EE780E"/>
    <w:rsid w:val="12EF7D74"/>
    <w:rsid w:val="12F04B37"/>
    <w:rsid w:val="12F06D4C"/>
    <w:rsid w:val="12F076F0"/>
    <w:rsid w:val="12F10346"/>
    <w:rsid w:val="12F15C4D"/>
    <w:rsid w:val="12F31E6B"/>
    <w:rsid w:val="12F47048"/>
    <w:rsid w:val="12F52C87"/>
    <w:rsid w:val="12F60440"/>
    <w:rsid w:val="12F62DC0"/>
    <w:rsid w:val="12F757EE"/>
    <w:rsid w:val="12F8118C"/>
    <w:rsid w:val="12F9640D"/>
    <w:rsid w:val="12FA7F71"/>
    <w:rsid w:val="12FC2E1F"/>
    <w:rsid w:val="12FC5EFD"/>
    <w:rsid w:val="12FD60C7"/>
    <w:rsid w:val="12FE3A23"/>
    <w:rsid w:val="13031169"/>
    <w:rsid w:val="1304784E"/>
    <w:rsid w:val="13060298"/>
    <w:rsid w:val="130813BA"/>
    <w:rsid w:val="130A23C8"/>
    <w:rsid w:val="130B4889"/>
    <w:rsid w:val="130C25E4"/>
    <w:rsid w:val="130C44A2"/>
    <w:rsid w:val="130D399B"/>
    <w:rsid w:val="130F120A"/>
    <w:rsid w:val="130F2B6D"/>
    <w:rsid w:val="130F6871"/>
    <w:rsid w:val="131020CC"/>
    <w:rsid w:val="13112559"/>
    <w:rsid w:val="13117BFA"/>
    <w:rsid w:val="1312127D"/>
    <w:rsid w:val="131214CB"/>
    <w:rsid w:val="13152710"/>
    <w:rsid w:val="13155F1D"/>
    <w:rsid w:val="1315735E"/>
    <w:rsid w:val="13161B8D"/>
    <w:rsid w:val="131658ED"/>
    <w:rsid w:val="13166FBF"/>
    <w:rsid w:val="1317547E"/>
    <w:rsid w:val="13180961"/>
    <w:rsid w:val="13196AA8"/>
    <w:rsid w:val="131B6699"/>
    <w:rsid w:val="131C20FB"/>
    <w:rsid w:val="131C3185"/>
    <w:rsid w:val="131F565E"/>
    <w:rsid w:val="131F6A53"/>
    <w:rsid w:val="132004B7"/>
    <w:rsid w:val="13203DC9"/>
    <w:rsid w:val="132077BC"/>
    <w:rsid w:val="132316DC"/>
    <w:rsid w:val="132375A2"/>
    <w:rsid w:val="13237A4E"/>
    <w:rsid w:val="1327508A"/>
    <w:rsid w:val="13285633"/>
    <w:rsid w:val="132900D9"/>
    <w:rsid w:val="13294F44"/>
    <w:rsid w:val="132A5438"/>
    <w:rsid w:val="132A64A4"/>
    <w:rsid w:val="132C13BF"/>
    <w:rsid w:val="132D1291"/>
    <w:rsid w:val="132D60B6"/>
    <w:rsid w:val="132F28D0"/>
    <w:rsid w:val="13302CCD"/>
    <w:rsid w:val="13305FE2"/>
    <w:rsid w:val="133505F5"/>
    <w:rsid w:val="13367661"/>
    <w:rsid w:val="133744CC"/>
    <w:rsid w:val="13377864"/>
    <w:rsid w:val="133913A1"/>
    <w:rsid w:val="13394A5B"/>
    <w:rsid w:val="133A0449"/>
    <w:rsid w:val="133A1D27"/>
    <w:rsid w:val="133B3504"/>
    <w:rsid w:val="133B5E71"/>
    <w:rsid w:val="133E2DFD"/>
    <w:rsid w:val="133F0B0D"/>
    <w:rsid w:val="13404189"/>
    <w:rsid w:val="1344052D"/>
    <w:rsid w:val="13446D6A"/>
    <w:rsid w:val="13450579"/>
    <w:rsid w:val="13456506"/>
    <w:rsid w:val="134578B2"/>
    <w:rsid w:val="13465FE5"/>
    <w:rsid w:val="13472713"/>
    <w:rsid w:val="13480899"/>
    <w:rsid w:val="1349263C"/>
    <w:rsid w:val="13497394"/>
    <w:rsid w:val="134A3724"/>
    <w:rsid w:val="134B0934"/>
    <w:rsid w:val="134B0F80"/>
    <w:rsid w:val="134B406C"/>
    <w:rsid w:val="134C0C32"/>
    <w:rsid w:val="134C6EAE"/>
    <w:rsid w:val="134D395D"/>
    <w:rsid w:val="134F568F"/>
    <w:rsid w:val="13516181"/>
    <w:rsid w:val="1354060D"/>
    <w:rsid w:val="13540978"/>
    <w:rsid w:val="13557D81"/>
    <w:rsid w:val="13582123"/>
    <w:rsid w:val="1358575C"/>
    <w:rsid w:val="13586C56"/>
    <w:rsid w:val="135917B3"/>
    <w:rsid w:val="13593913"/>
    <w:rsid w:val="13593F34"/>
    <w:rsid w:val="135A1D9E"/>
    <w:rsid w:val="135A334F"/>
    <w:rsid w:val="135A557B"/>
    <w:rsid w:val="135A59EC"/>
    <w:rsid w:val="135B70C7"/>
    <w:rsid w:val="135E451A"/>
    <w:rsid w:val="135F00F2"/>
    <w:rsid w:val="1360023A"/>
    <w:rsid w:val="13604055"/>
    <w:rsid w:val="13604825"/>
    <w:rsid w:val="13620456"/>
    <w:rsid w:val="13631AD8"/>
    <w:rsid w:val="13635F53"/>
    <w:rsid w:val="13636C3B"/>
    <w:rsid w:val="136659C3"/>
    <w:rsid w:val="1366603A"/>
    <w:rsid w:val="136754D8"/>
    <w:rsid w:val="13685534"/>
    <w:rsid w:val="136A013D"/>
    <w:rsid w:val="136A57AA"/>
    <w:rsid w:val="136F1E65"/>
    <w:rsid w:val="13703313"/>
    <w:rsid w:val="137273E8"/>
    <w:rsid w:val="13730B3F"/>
    <w:rsid w:val="13733397"/>
    <w:rsid w:val="13734411"/>
    <w:rsid w:val="13757676"/>
    <w:rsid w:val="13772471"/>
    <w:rsid w:val="13785584"/>
    <w:rsid w:val="137A40CB"/>
    <w:rsid w:val="137C1E01"/>
    <w:rsid w:val="137D0DEC"/>
    <w:rsid w:val="137E3AE7"/>
    <w:rsid w:val="137E60ED"/>
    <w:rsid w:val="137E6374"/>
    <w:rsid w:val="137E7A43"/>
    <w:rsid w:val="13814B1A"/>
    <w:rsid w:val="13817C8D"/>
    <w:rsid w:val="1382682A"/>
    <w:rsid w:val="13827854"/>
    <w:rsid w:val="138324D3"/>
    <w:rsid w:val="13855EBC"/>
    <w:rsid w:val="138819DA"/>
    <w:rsid w:val="13881A62"/>
    <w:rsid w:val="138846FD"/>
    <w:rsid w:val="13894D79"/>
    <w:rsid w:val="138A4754"/>
    <w:rsid w:val="138B65C8"/>
    <w:rsid w:val="138C7F47"/>
    <w:rsid w:val="138D4967"/>
    <w:rsid w:val="138E401E"/>
    <w:rsid w:val="138E4DA7"/>
    <w:rsid w:val="138E5706"/>
    <w:rsid w:val="13902E44"/>
    <w:rsid w:val="13911DE7"/>
    <w:rsid w:val="1393035F"/>
    <w:rsid w:val="13936874"/>
    <w:rsid w:val="13941B30"/>
    <w:rsid w:val="13942986"/>
    <w:rsid w:val="139441F0"/>
    <w:rsid w:val="13951AF7"/>
    <w:rsid w:val="13953D49"/>
    <w:rsid w:val="13963BF4"/>
    <w:rsid w:val="13975A0A"/>
    <w:rsid w:val="139816F0"/>
    <w:rsid w:val="13985790"/>
    <w:rsid w:val="139A7BF0"/>
    <w:rsid w:val="139D2A1A"/>
    <w:rsid w:val="139E260E"/>
    <w:rsid w:val="139E3205"/>
    <w:rsid w:val="139F22A2"/>
    <w:rsid w:val="139F4D6C"/>
    <w:rsid w:val="13A00D4C"/>
    <w:rsid w:val="13A04ADA"/>
    <w:rsid w:val="13A1291C"/>
    <w:rsid w:val="13A154CE"/>
    <w:rsid w:val="13A2387F"/>
    <w:rsid w:val="13A32048"/>
    <w:rsid w:val="13A3743D"/>
    <w:rsid w:val="13A42D8D"/>
    <w:rsid w:val="13A55415"/>
    <w:rsid w:val="13A67A1D"/>
    <w:rsid w:val="13A876F2"/>
    <w:rsid w:val="13A9151A"/>
    <w:rsid w:val="13AA3D12"/>
    <w:rsid w:val="13AD1660"/>
    <w:rsid w:val="13AD711E"/>
    <w:rsid w:val="13B00C3C"/>
    <w:rsid w:val="13B01D99"/>
    <w:rsid w:val="13B032F7"/>
    <w:rsid w:val="13B07F3C"/>
    <w:rsid w:val="13B11191"/>
    <w:rsid w:val="13B255D2"/>
    <w:rsid w:val="13B3466C"/>
    <w:rsid w:val="13B3480E"/>
    <w:rsid w:val="13B35BD8"/>
    <w:rsid w:val="13B448C6"/>
    <w:rsid w:val="13B44BE1"/>
    <w:rsid w:val="13B45149"/>
    <w:rsid w:val="13B640F8"/>
    <w:rsid w:val="13B642FE"/>
    <w:rsid w:val="13B749E3"/>
    <w:rsid w:val="13B862C8"/>
    <w:rsid w:val="13B90504"/>
    <w:rsid w:val="13B92145"/>
    <w:rsid w:val="13BA0DB6"/>
    <w:rsid w:val="13BC78BB"/>
    <w:rsid w:val="13BD38DE"/>
    <w:rsid w:val="13BE423C"/>
    <w:rsid w:val="13BE5886"/>
    <w:rsid w:val="13BF2617"/>
    <w:rsid w:val="13BF7B11"/>
    <w:rsid w:val="13C00FF7"/>
    <w:rsid w:val="13C44C6D"/>
    <w:rsid w:val="13C51B57"/>
    <w:rsid w:val="13C60F46"/>
    <w:rsid w:val="13C63F15"/>
    <w:rsid w:val="13C71511"/>
    <w:rsid w:val="13C75A15"/>
    <w:rsid w:val="13C91133"/>
    <w:rsid w:val="13C957ED"/>
    <w:rsid w:val="13CC3B21"/>
    <w:rsid w:val="13CD05B1"/>
    <w:rsid w:val="13CD0C44"/>
    <w:rsid w:val="13CE5017"/>
    <w:rsid w:val="13CE67F5"/>
    <w:rsid w:val="13D04D1B"/>
    <w:rsid w:val="13D053C0"/>
    <w:rsid w:val="13D11EE3"/>
    <w:rsid w:val="13D45758"/>
    <w:rsid w:val="13D46799"/>
    <w:rsid w:val="13D470FC"/>
    <w:rsid w:val="13D568E6"/>
    <w:rsid w:val="13D61A1C"/>
    <w:rsid w:val="13D773BF"/>
    <w:rsid w:val="13D810BE"/>
    <w:rsid w:val="13D9346A"/>
    <w:rsid w:val="13DB0C39"/>
    <w:rsid w:val="13DB5FC6"/>
    <w:rsid w:val="13DF413D"/>
    <w:rsid w:val="13DF5603"/>
    <w:rsid w:val="13E00C97"/>
    <w:rsid w:val="13E156B5"/>
    <w:rsid w:val="13E21289"/>
    <w:rsid w:val="13E23345"/>
    <w:rsid w:val="13E34020"/>
    <w:rsid w:val="13E43605"/>
    <w:rsid w:val="13E44DAF"/>
    <w:rsid w:val="13E46942"/>
    <w:rsid w:val="13E50F0A"/>
    <w:rsid w:val="13E56991"/>
    <w:rsid w:val="13E56C70"/>
    <w:rsid w:val="13E612BB"/>
    <w:rsid w:val="13E618E5"/>
    <w:rsid w:val="13E703F9"/>
    <w:rsid w:val="13E75C47"/>
    <w:rsid w:val="13E83D2A"/>
    <w:rsid w:val="13E87003"/>
    <w:rsid w:val="13EA360C"/>
    <w:rsid w:val="13EB3EF3"/>
    <w:rsid w:val="13EB57DC"/>
    <w:rsid w:val="13EC1865"/>
    <w:rsid w:val="13EC20ED"/>
    <w:rsid w:val="13EC2AE4"/>
    <w:rsid w:val="13EC4DE8"/>
    <w:rsid w:val="13EC5638"/>
    <w:rsid w:val="13ED7859"/>
    <w:rsid w:val="13EE1299"/>
    <w:rsid w:val="13EE3F05"/>
    <w:rsid w:val="13EE6B55"/>
    <w:rsid w:val="13EF0E8E"/>
    <w:rsid w:val="13EF6435"/>
    <w:rsid w:val="13EF7360"/>
    <w:rsid w:val="13EF7DF0"/>
    <w:rsid w:val="13F0605F"/>
    <w:rsid w:val="13F11368"/>
    <w:rsid w:val="13F11E86"/>
    <w:rsid w:val="13F310AE"/>
    <w:rsid w:val="13F33ABF"/>
    <w:rsid w:val="13F37300"/>
    <w:rsid w:val="13F42654"/>
    <w:rsid w:val="13F5216A"/>
    <w:rsid w:val="13F57B76"/>
    <w:rsid w:val="13F57CF1"/>
    <w:rsid w:val="13F57F24"/>
    <w:rsid w:val="13F632D9"/>
    <w:rsid w:val="13F74515"/>
    <w:rsid w:val="13F84196"/>
    <w:rsid w:val="13FA068E"/>
    <w:rsid w:val="13FA1CE9"/>
    <w:rsid w:val="13FA69B3"/>
    <w:rsid w:val="13FB0C28"/>
    <w:rsid w:val="13FD017F"/>
    <w:rsid w:val="13FD10D2"/>
    <w:rsid w:val="13FF566B"/>
    <w:rsid w:val="14004619"/>
    <w:rsid w:val="14006DF9"/>
    <w:rsid w:val="14015831"/>
    <w:rsid w:val="14017A14"/>
    <w:rsid w:val="14023294"/>
    <w:rsid w:val="1402701A"/>
    <w:rsid w:val="1404178F"/>
    <w:rsid w:val="14060DDD"/>
    <w:rsid w:val="1406495E"/>
    <w:rsid w:val="14064EEE"/>
    <w:rsid w:val="1407341B"/>
    <w:rsid w:val="14074B59"/>
    <w:rsid w:val="14080104"/>
    <w:rsid w:val="14090DDA"/>
    <w:rsid w:val="140A3D21"/>
    <w:rsid w:val="140A5882"/>
    <w:rsid w:val="140A5EFC"/>
    <w:rsid w:val="140A6ABA"/>
    <w:rsid w:val="140C322B"/>
    <w:rsid w:val="140E376D"/>
    <w:rsid w:val="140E5FFB"/>
    <w:rsid w:val="140F341B"/>
    <w:rsid w:val="14100D9C"/>
    <w:rsid w:val="14105BC8"/>
    <w:rsid w:val="14122A71"/>
    <w:rsid w:val="141334FE"/>
    <w:rsid w:val="14144984"/>
    <w:rsid w:val="14157FAC"/>
    <w:rsid w:val="1417538B"/>
    <w:rsid w:val="14180BB8"/>
    <w:rsid w:val="141A0205"/>
    <w:rsid w:val="141A5F76"/>
    <w:rsid w:val="141A72A6"/>
    <w:rsid w:val="141B3086"/>
    <w:rsid w:val="141C336F"/>
    <w:rsid w:val="141D16F7"/>
    <w:rsid w:val="141D5B53"/>
    <w:rsid w:val="141F7BE0"/>
    <w:rsid w:val="142007B3"/>
    <w:rsid w:val="14200B1E"/>
    <w:rsid w:val="14233AE2"/>
    <w:rsid w:val="14233D84"/>
    <w:rsid w:val="14236387"/>
    <w:rsid w:val="14237BE5"/>
    <w:rsid w:val="142474B9"/>
    <w:rsid w:val="142517B4"/>
    <w:rsid w:val="142524FE"/>
    <w:rsid w:val="142935F1"/>
    <w:rsid w:val="14297A5A"/>
    <w:rsid w:val="142A2867"/>
    <w:rsid w:val="142B0848"/>
    <w:rsid w:val="142C45C0"/>
    <w:rsid w:val="142D0DC6"/>
    <w:rsid w:val="142E3666"/>
    <w:rsid w:val="142F1196"/>
    <w:rsid w:val="14301E78"/>
    <w:rsid w:val="14302302"/>
    <w:rsid w:val="14303A76"/>
    <w:rsid w:val="14310FC1"/>
    <w:rsid w:val="14321986"/>
    <w:rsid w:val="143225DA"/>
    <w:rsid w:val="14333BA0"/>
    <w:rsid w:val="1434073B"/>
    <w:rsid w:val="1435288B"/>
    <w:rsid w:val="1436757C"/>
    <w:rsid w:val="14375506"/>
    <w:rsid w:val="14376624"/>
    <w:rsid w:val="14382F65"/>
    <w:rsid w:val="143951F9"/>
    <w:rsid w:val="143B3A67"/>
    <w:rsid w:val="143C2EFA"/>
    <w:rsid w:val="143D3F91"/>
    <w:rsid w:val="143F2545"/>
    <w:rsid w:val="143F483D"/>
    <w:rsid w:val="14407C23"/>
    <w:rsid w:val="14411DA6"/>
    <w:rsid w:val="1442132A"/>
    <w:rsid w:val="14431F18"/>
    <w:rsid w:val="14447B5C"/>
    <w:rsid w:val="14477FE7"/>
    <w:rsid w:val="144808AD"/>
    <w:rsid w:val="14482A57"/>
    <w:rsid w:val="14493277"/>
    <w:rsid w:val="144A2F48"/>
    <w:rsid w:val="144A4DD8"/>
    <w:rsid w:val="144A7850"/>
    <w:rsid w:val="144B02B5"/>
    <w:rsid w:val="144B6992"/>
    <w:rsid w:val="144C3F8A"/>
    <w:rsid w:val="144D4292"/>
    <w:rsid w:val="144D5ECF"/>
    <w:rsid w:val="144E399D"/>
    <w:rsid w:val="14506E1D"/>
    <w:rsid w:val="14517DDA"/>
    <w:rsid w:val="14553B17"/>
    <w:rsid w:val="145757D1"/>
    <w:rsid w:val="145770DD"/>
    <w:rsid w:val="14592A92"/>
    <w:rsid w:val="14592C48"/>
    <w:rsid w:val="145A2EDB"/>
    <w:rsid w:val="145C0A31"/>
    <w:rsid w:val="145E2071"/>
    <w:rsid w:val="145E56A4"/>
    <w:rsid w:val="145F4F59"/>
    <w:rsid w:val="146007B5"/>
    <w:rsid w:val="14601A0D"/>
    <w:rsid w:val="14615630"/>
    <w:rsid w:val="14624D7D"/>
    <w:rsid w:val="14627FE2"/>
    <w:rsid w:val="1463484F"/>
    <w:rsid w:val="146354FD"/>
    <w:rsid w:val="14641516"/>
    <w:rsid w:val="14641C7C"/>
    <w:rsid w:val="14644586"/>
    <w:rsid w:val="146462F6"/>
    <w:rsid w:val="14647DD5"/>
    <w:rsid w:val="146708FC"/>
    <w:rsid w:val="146742F7"/>
    <w:rsid w:val="14677E97"/>
    <w:rsid w:val="1468259F"/>
    <w:rsid w:val="146834FE"/>
    <w:rsid w:val="14684047"/>
    <w:rsid w:val="14685FEB"/>
    <w:rsid w:val="146B0D3B"/>
    <w:rsid w:val="146D4B03"/>
    <w:rsid w:val="146E4BD8"/>
    <w:rsid w:val="146F05BA"/>
    <w:rsid w:val="146F505A"/>
    <w:rsid w:val="146F7C0E"/>
    <w:rsid w:val="14714216"/>
    <w:rsid w:val="14726290"/>
    <w:rsid w:val="147368B8"/>
    <w:rsid w:val="1474379C"/>
    <w:rsid w:val="14744FF2"/>
    <w:rsid w:val="147478CA"/>
    <w:rsid w:val="14753710"/>
    <w:rsid w:val="14760003"/>
    <w:rsid w:val="147616CB"/>
    <w:rsid w:val="147618A1"/>
    <w:rsid w:val="14773A8D"/>
    <w:rsid w:val="14774DBB"/>
    <w:rsid w:val="14787094"/>
    <w:rsid w:val="147A3E07"/>
    <w:rsid w:val="147A532B"/>
    <w:rsid w:val="147C10A3"/>
    <w:rsid w:val="147C3400"/>
    <w:rsid w:val="147D0CCA"/>
    <w:rsid w:val="147F4F6F"/>
    <w:rsid w:val="147F6DE6"/>
    <w:rsid w:val="14812C6E"/>
    <w:rsid w:val="148137BC"/>
    <w:rsid w:val="148217B1"/>
    <w:rsid w:val="148218D0"/>
    <w:rsid w:val="1484416A"/>
    <w:rsid w:val="148476E6"/>
    <w:rsid w:val="14855814"/>
    <w:rsid w:val="1486120C"/>
    <w:rsid w:val="14863CD0"/>
    <w:rsid w:val="14885C9A"/>
    <w:rsid w:val="148A24DD"/>
    <w:rsid w:val="148E1ADD"/>
    <w:rsid w:val="148E215F"/>
    <w:rsid w:val="148F697B"/>
    <w:rsid w:val="149023DC"/>
    <w:rsid w:val="14904B4F"/>
    <w:rsid w:val="1490549F"/>
    <w:rsid w:val="14906F3F"/>
    <w:rsid w:val="149172AB"/>
    <w:rsid w:val="14917938"/>
    <w:rsid w:val="149213D7"/>
    <w:rsid w:val="14922675"/>
    <w:rsid w:val="1492724F"/>
    <w:rsid w:val="14930AA5"/>
    <w:rsid w:val="149411FE"/>
    <w:rsid w:val="1494463F"/>
    <w:rsid w:val="14954054"/>
    <w:rsid w:val="14961874"/>
    <w:rsid w:val="149713B8"/>
    <w:rsid w:val="14974078"/>
    <w:rsid w:val="149817CE"/>
    <w:rsid w:val="1498215E"/>
    <w:rsid w:val="14991ABD"/>
    <w:rsid w:val="14991C55"/>
    <w:rsid w:val="149A0B1B"/>
    <w:rsid w:val="149A59CD"/>
    <w:rsid w:val="149C26A6"/>
    <w:rsid w:val="149C34F4"/>
    <w:rsid w:val="149D2C4F"/>
    <w:rsid w:val="149D3294"/>
    <w:rsid w:val="149E388B"/>
    <w:rsid w:val="149F2027"/>
    <w:rsid w:val="149F2C40"/>
    <w:rsid w:val="14A03A8E"/>
    <w:rsid w:val="14A07923"/>
    <w:rsid w:val="14A12BD5"/>
    <w:rsid w:val="14A171E4"/>
    <w:rsid w:val="14A237DC"/>
    <w:rsid w:val="14A30806"/>
    <w:rsid w:val="14A55155"/>
    <w:rsid w:val="14A80F48"/>
    <w:rsid w:val="14AB6B9F"/>
    <w:rsid w:val="14AB7BDB"/>
    <w:rsid w:val="14AD12EC"/>
    <w:rsid w:val="14AE053D"/>
    <w:rsid w:val="14B019AF"/>
    <w:rsid w:val="14B024B6"/>
    <w:rsid w:val="14B027E8"/>
    <w:rsid w:val="14B16888"/>
    <w:rsid w:val="14B369E4"/>
    <w:rsid w:val="14B4083D"/>
    <w:rsid w:val="14B5408A"/>
    <w:rsid w:val="14B56188"/>
    <w:rsid w:val="14B720DC"/>
    <w:rsid w:val="14B7224E"/>
    <w:rsid w:val="14B92012"/>
    <w:rsid w:val="14B95C96"/>
    <w:rsid w:val="14BA5353"/>
    <w:rsid w:val="14BB5F83"/>
    <w:rsid w:val="14BC3891"/>
    <w:rsid w:val="14BC3B96"/>
    <w:rsid w:val="14BE0962"/>
    <w:rsid w:val="14BE3AB8"/>
    <w:rsid w:val="14BE4314"/>
    <w:rsid w:val="14BF164A"/>
    <w:rsid w:val="14BF2334"/>
    <w:rsid w:val="14C11897"/>
    <w:rsid w:val="14C12F5A"/>
    <w:rsid w:val="14C238EF"/>
    <w:rsid w:val="14C245F9"/>
    <w:rsid w:val="14C30948"/>
    <w:rsid w:val="14C440AC"/>
    <w:rsid w:val="14C45F2E"/>
    <w:rsid w:val="14C478CD"/>
    <w:rsid w:val="14C663E1"/>
    <w:rsid w:val="14C87095"/>
    <w:rsid w:val="14C8795A"/>
    <w:rsid w:val="14C97DF5"/>
    <w:rsid w:val="14CA247E"/>
    <w:rsid w:val="14CA2F02"/>
    <w:rsid w:val="14CC2FE4"/>
    <w:rsid w:val="14CC4B3C"/>
    <w:rsid w:val="14CE09E1"/>
    <w:rsid w:val="14CE3DFF"/>
    <w:rsid w:val="14CF38C9"/>
    <w:rsid w:val="14D00800"/>
    <w:rsid w:val="14D01082"/>
    <w:rsid w:val="14D83448"/>
    <w:rsid w:val="14D862E4"/>
    <w:rsid w:val="14D869A1"/>
    <w:rsid w:val="14D92A17"/>
    <w:rsid w:val="14DA4B86"/>
    <w:rsid w:val="14DB47EB"/>
    <w:rsid w:val="14DB5C04"/>
    <w:rsid w:val="14DC4520"/>
    <w:rsid w:val="14DC7D94"/>
    <w:rsid w:val="14DF1632"/>
    <w:rsid w:val="14DF7455"/>
    <w:rsid w:val="14E01582"/>
    <w:rsid w:val="14E3763A"/>
    <w:rsid w:val="14E44D48"/>
    <w:rsid w:val="14E54E9B"/>
    <w:rsid w:val="14E60DB7"/>
    <w:rsid w:val="14E83C4D"/>
    <w:rsid w:val="14E90373"/>
    <w:rsid w:val="14E92BF6"/>
    <w:rsid w:val="14EB7FD7"/>
    <w:rsid w:val="14ED7F17"/>
    <w:rsid w:val="14EE5A89"/>
    <w:rsid w:val="14EF1707"/>
    <w:rsid w:val="14EF46DF"/>
    <w:rsid w:val="14EF780E"/>
    <w:rsid w:val="14F0383F"/>
    <w:rsid w:val="14F10A6A"/>
    <w:rsid w:val="14F164C0"/>
    <w:rsid w:val="14F24F57"/>
    <w:rsid w:val="14F2535D"/>
    <w:rsid w:val="14F41582"/>
    <w:rsid w:val="14F45FA6"/>
    <w:rsid w:val="14F5049C"/>
    <w:rsid w:val="14F730EB"/>
    <w:rsid w:val="14F76ED4"/>
    <w:rsid w:val="14F838F1"/>
    <w:rsid w:val="14FC3194"/>
    <w:rsid w:val="14FE07B5"/>
    <w:rsid w:val="14FF4297"/>
    <w:rsid w:val="15000BA8"/>
    <w:rsid w:val="15001598"/>
    <w:rsid w:val="15005629"/>
    <w:rsid w:val="15011C23"/>
    <w:rsid w:val="15032DD4"/>
    <w:rsid w:val="15033573"/>
    <w:rsid w:val="15041CE5"/>
    <w:rsid w:val="15054DD7"/>
    <w:rsid w:val="15065976"/>
    <w:rsid w:val="15070B17"/>
    <w:rsid w:val="15082937"/>
    <w:rsid w:val="15097C18"/>
    <w:rsid w:val="150A49B0"/>
    <w:rsid w:val="150C28CA"/>
    <w:rsid w:val="150D619F"/>
    <w:rsid w:val="150D6D46"/>
    <w:rsid w:val="150F3E36"/>
    <w:rsid w:val="15127C5A"/>
    <w:rsid w:val="15140930"/>
    <w:rsid w:val="15143DC3"/>
    <w:rsid w:val="1516045E"/>
    <w:rsid w:val="151701BA"/>
    <w:rsid w:val="15180A24"/>
    <w:rsid w:val="151A1FC1"/>
    <w:rsid w:val="151A266A"/>
    <w:rsid w:val="151A70C1"/>
    <w:rsid w:val="151B3655"/>
    <w:rsid w:val="151C7F48"/>
    <w:rsid w:val="151E6A84"/>
    <w:rsid w:val="15205AC9"/>
    <w:rsid w:val="15205DC6"/>
    <w:rsid w:val="15207D7D"/>
    <w:rsid w:val="15223BD0"/>
    <w:rsid w:val="15225CC8"/>
    <w:rsid w:val="1523044B"/>
    <w:rsid w:val="1523709A"/>
    <w:rsid w:val="15261B20"/>
    <w:rsid w:val="152B3223"/>
    <w:rsid w:val="152D0CEE"/>
    <w:rsid w:val="152D239E"/>
    <w:rsid w:val="152F028D"/>
    <w:rsid w:val="15311781"/>
    <w:rsid w:val="1531666E"/>
    <w:rsid w:val="15322192"/>
    <w:rsid w:val="153320AA"/>
    <w:rsid w:val="153740D6"/>
    <w:rsid w:val="15392B59"/>
    <w:rsid w:val="15393438"/>
    <w:rsid w:val="153A4553"/>
    <w:rsid w:val="153C7408"/>
    <w:rsid w:val="153D097E"/>
    <w:rsid w:val="153E50D4"/>
    <w:rsid w:val="153F1329"/>
    <w:rsid w:val="153F6B7A"/>
    <w:rsid w:val="154020D1"/>
    <w:rsid w:val="154047C7"/>
    <w:rsid w:val="1542409B"/>
    <w:rsid w:val="15431BC1"/>
    <w:rsid w:val="15434911"/>
    <w:rsid w:val="154521C7"/>
    <w:rsid w:val="1546693A"/>
    <w:rsid w:val="15466EC7"/>
    <w:rsid w:val="15467D37"/>
    <w:rsid w:val="15484F82"/>
    <w:rsid w:val="154858E4"/>
    <w:rsid w:val="15486DEF"/>
    <w:rsid w:val="154871D8"/>
    <w:rsid w:val="15492177"/>
    <w:rsid w:val="15493048"/>
    <w:rsid w:val="154A18A9"/>
    <w:rsid w:val="154C3951"/>
    <w:rsid w:val="154C6CC8"/>
    <w:rsid w:val="154F0DEF"/>
    <w:rsid w:val="155004AB"/>
    <w:rsid w:val="15502B4A"/>
    <w:rsid w:val="155142DE"/>
    <w:rsid w:val="1551776E"/>
    <w:rsid w:val="15520D96"/>
    <w:rsid w:val="15524C0F"/>
    <w:rsid w:val="155273F2"/>
    <w:rsid w:val="15537E34"/>
    <w:rsid w:val="15547E2E"/>
    <w:rsid w:val="1555092A"/>
    <w:rsid w:val="15552D48"/>
    <w:rsid w:val="155657DC"/>
    <w:rsid w:val="1557566D"/>
    <w:rsid w:val="15595B46"/>
    <w:rsid w:val="155B7443"/>
    <w:rsid w:val="155D2D7A"/>
    <w:rsid w:val="155E7D1F"/>
    <w:rsid w:val="15602773"/>
    <w:rsid w:val="15604521"/>
    <w:rsid w:val="15606603"/>
    <w:rsid w:val="15613F2A"/>
    <w:rsid w:val="156344D1"/>
    <w:rsid w:val="15657D89"/>
    <w:rsid w:val="15664C75"/>
    <w:rsid w:val="15666E64"/>
    <w:rsid w:val="156758B0"/>
    <w:rsid w:val="156770D4"/>
    <w:rsid w:val="156848C7"/>
    <w:rsid w:val="1569304A"/>
    <w:rsid w:val="156E04EB"/>
    <w:rsid w:val="156E1B48"/>
    <w:rsid w:val="156E7814"/>
    <w:rsid w:val="156F4574"/>
    <w:rsid w:val="157048CD"/>
    <w:rsid w:val="15715FBA"/>
    <w:rsid w:val="157306F8"/>
    <w:rsid w:val="15732CEC"/>
    <w:rsid w:val="157437E6"/>
    <w:rsid w:val="15745F0B"/>
    <w:rsid w:val="157533D5"/>
    <w:rsid w:val="157848D3"/>
    <w:rsid w:val="15785F83"/>
    <w:rsid w:val="1578635F"/>
    <w:rsid w:val="1578669D"/>
    <w:rsid w:val="157A3AFE"/>
    <w:rsid w:val="157B4AA9"/>
    <w:rsid w:val="157B5326"/>
    <w:rsid w:val="157B5510"/>
    <w:rsid w:val="157C224F"/>
    <w:rsid w:val="157C3D99"/>
    <w:rsid w:val="157C6AC3"/>
    <w:rsid w:val="157E194A"/>
    <w:rsid w:val="157E55CA"/>
    <w:rsid w:val="15810581"/>
    <w:rsid w:val="158247E6"/>
    <w:rsid w:val="15830AD3"/>
    <w:rsid w:val="1584492D"/>
    <w:rsid w:val="1585042C"/>
    <w:rsid w:val="15855038"/>
    <w:rsid w:val="1585667E"/>
    <w:rsid w:val="158700A6"/>
    <w:rsid w:val="1587361F"/>
    <w:rsid w:val="15875C62"/>
    <w:rsid w:val="1588503E"/>
    <w:rsid w:val="15891157"/>
    <w:rsid w:val="158D151C"/>
    <w:rsid w:val="158D6A2F"/>
    <w:rsid w:val="158E7ED7"/>
    <w:rsid w:val="15911C69"/>
    <w:rsid w:val="15920E51"/>
    <w:rsid w:val="159266A5"/>
    <w:rsid w:val="159301C3"/>
    <w:rsid w:val="15945CB1"/>
    <w:rsid w:val="159468C1"/>
    <w:rsid w:val="15951063"/>
    <w:rsid w:val="15954B54"/>
    <w:rsid w:val="15956850"/>
    <w:rsid w:val="15962639"/>
    <w:rsid w:val="15974245"/>
    <w:rsid w:val="15977DC9"/>
    <w:rsid w:val="15977F8D"/>
    <w:rsid w:val="15995C85"/>
    <w:rsid w:val="159B63F3"/>
    <w:rsid w:val="159C20FF"/>
    <w:rsid w:val="159C7074"/>
    <w:rsid w:val="159D5775"/>
    <w:rsid w:val="159E5571"/>
    <w:rsid w:val="159E63D7"/>
    <w:rsid w:val="159F07E8"/>
    <w:rsid w:val="159F69CE"/>
    <w:rsid w:val="15A0143E"/>
    <w:rsid w:val="15A44D56"/>
    <w:rsid w:val="15A47A80"/>
    <w:rsid w:val="15A542C3"/>
    <w:rsid w:val="15A62EDD"/>
    <w:rsid w:val="15A70ED6"/>
    <w:rsid w:val="15A734AC"/>
    <w:rsid w:val="15A84292"/>
    <w:rsid w:val="15A85EC8"/>
    <w:rsid w:val="15A8649A"/>
    <w:rsid w:val="15A8661F"/>
    <w:rsid w:val="15A91C0C"/>
    <w:rsid w:val="15AC7F73"/>
    <w:rsid w:val="15AD04C1"/>
    <w:rsid w:val="15AF4EFC"/>
    <w:rsid w:val="15B05C72"/>
    <w:rsid w:val="15B11EE6"/>
    <w:rsid w:val="15B14D7D"/>
    <w:rsid w:val="15B37B00"/>
    <w:rsid w:val="15B458E6"/>
    <w:rsid w:val="15B50DC4"/>
    <w:rsid w:val="15B64133"/>
    <w:rsid w:val="15B66837"/>
    <w:rsid w:val="15B773A6"/>
    <w:rsid w:val="15B914BE"/>
    <w:rsid w:val="15B946B5"/>
    <w:rsid w:val="15B97C5B"/>
    <w:rsid w:val="15BC400E"/>
    <w:rsid w:val="15BD7BC5"/>
    <w:rsid w:val="15BE5A18"/>
    <w:rsid w:val="15BF6630"/>
    <w:rsid w:val="15C0628C"/>
    <w:rsid w:val="15C07747"/>
    <w:rsid w:val="15C2429A"/>
    <w:rsid w:val="15C260DC"/>
    <w:rsid w:val="15C26F8A"/>
    <w:rsid w:val="15C42D58"/>
    <w:rsid w:val="15C567B4"/>
    <w:rsid w:val="15C7002B"/>
    <w:rsid w:val="15C7159B"/>
    <w:rsid w:val="15C85879"/>
    <w:rsid w:val="15CA5E3E"/>
    <w:rsid w:val="15CB291C"/>
    <w:rsid w:val="15CB3430"/>
    <w:rsid w:val="15CB6262"/>
    <w:rsid w:val="15CC70C4"/>
    <w:rsid w:val="15CD4AE4"/>
    <w:rsid w:val="15CF50CB"/>
    <w:rsid w:val="15D00040"/>
    <w:rsid w:val="15D03AA4"/>
    <w:rsid w:val="15D078F9"/>
    <w:rsid w:val="15D2480C"/>
    <w:rsid w:val="15D26CCB"/>
    <w:rsid w:val="15D372A6"/>
    <w:rsid w:val="15D4540B"/>
    <w:rsid w:val="15D47582"/>
    <w:rsid w:val="15D5110C"/>
    <w:rsid w:val="15D55456"/>
    <w:rsid w:val="15D649DC"/>
    <w:rsid w:val="15D7259C"/>
    <w:rsid w:val="15D72771"/>
    <w:rsid w:val="15D84EF3"/>
    <w:rsid w:val="15D92ECC"/>
    <w:rsid w:val="15DA4F00"/>
    <w:rsid w:val="15DA716F"/>
    <w:rsid w:val="15DB4BAD"/>
    <w:rsid w:val="15DC14FE"/>
    <w:rsid w:val="15DD55EB"/>
    <w:rsid w:val="15DE2DFC"/>
    <w:rsid w:val="15DE349E"/>
    <w:rsid w:val="15DF13CE"/>
    <w:rsid w:val="15DF5D8E"/>
    <w:rsid w:val="15E0188B"/>
    <w:rsid w:val="15E1607E"/>
    <w:rsid w:val="15E2096C"/>
    <w:rsid w:val="15E20E8C"/>
    <w:rsid w:val="15E21718"/>
    <w:rsid w:val="15E30196"/>
    <w:rsid w:val="15E456A3"/>
    <w:rsid w:val="15E62D4F"/>
    <w:rsid w:val="15E73158"/>
    <w:rsid w:val="15E833A7"/>
    <w:rsid w:val="15E90D3D"/>
    <w:rsid w:val="15E96835"/>
    <w:rsid w:val="15EB0937"/>
    <w:rsid w:val="15ED0C57"/>
    <w:rsid w:val="15EF0127"/>
    <w:rsid w:val="15EF2BDB"/>
    <w:rsid w:val="15F01D49"/>
    <w:rsid w:val="15F22F87"/>
    <w:rsid w:val="15F31874"/>
    <w:rsid w:val="15F36738"/>
    <w:rsid w:val="15F368CE"/>
    <w:rsid w:val="15F62A39"/>
    <w:rsid w:val="15F82B3A"/>
    <w:rsid w:val="15FA4976"/>
    <w:rsid w:val="15FA7DD9"/>
    <w:rsid w:val="15FD10AF"/>
    <w:rsid w:val="15FE5FB5"/>
    <w:rsid w:val="16004EE4"/>
    <w:rsid w:val="16005D04"/>
    <w:rsid w:val="16007BEB"/>
    <w:rsid w:val="160139D9"/>
    <w:rsid w:val="16031CFE"/>
    <w:rsid w:val="1603494C"/>
    <w:rsid w:val="160523D7"/>
    <w:rsid w:val="16055DD0"/>
    <w:rsid w:val="160606A8"/>
    <w:rsid w:val="16074650"/>
    <w:rsid w:val="16085872"/>
    <w:rsid w:val="1609746E"/>
    <w:rsid w:val="160A0270"/>
    <w:rsid w:val="160A411A"/>
    <w:rsid w:val="160A5798"/>
    <w:rsid w:val="160B5ABA"/>
    <w:rsid w:val="160C6494"/>
    <w:rsid w:val="160E7877"/>
    <w:rsid w:val="160E7A0D"/>
    <w:rsid w:val="160F3B36"/>
    <w:rsid w:val="160F750C"/>
    <w:rsid w:val="16105D1D"/>
    <w:rsid w:val="16105EB6"/>
    <w:rsid w:val="16120C59"/>
    <w:rsid w:val="16125494"/>
    <w:rsid w:val="161377E5"/>
    <w:rsid w:val="16177C04"/>
    <w:rsid w:val="16186C75"/>
    <w:rsid w:val="161A6DC6"/>
    <w:rsid w:val="161B0A32"/>
    <w:rsid w:val="161B2052"/>
    <w:rsid w:val="161B48EC"/>
    <w:rsid w:val="161B5AA6"/>
    <w:rsid w:val="161D5E1D"/>
    <w:rsid w:val="161F1B06"/>
    <w:rsid w:val="161F262E"/>
    <w:rsid w:val="16225C7A"/>
    <w:rsid w:val="16227164"/>
    <w:rsid w:val="162345C8"/>
    <w:rsid w:val="16244794"/>
    <w:rsid w:val="16254B12"/>
    <w:rsid w:val="16261A07"/>
    <w:rsid w:val="162639BD"/>
    <w:rsid w:val="1626658A"/>
    <w:rsid w:val="1628234C"/>
    <w:rsid w:val="16291BE9"/>
    <w:rsid w:val="16295094"/>
    <w:rsid w:val="162A5428"/>
    <w:rsid w:val="162B49E7"/>
    <w:rsid w:val="162B4D52"/>
    <w:rsid w:val="162C001A"/>
    <w:rsid w:val="162C2EA2"/>
    <w:rsid w:val="162C5A71"/>
    <w:rsid w:val="162C692E"/>
    <w:rsid w:val="162D3F12"/>
    <w:rsid w:val="162F6242"/>
    <w:rsid w:val="163207FB"/>
    <w:rsid w:val="163360DA"/>
    <w:rsid w:val="16360BC6"/>
    <w:rsid w:val="1636626F"/>
    <w:rsid w:val="1639332D"/>
    <w:rsid w:val="16393363"/>
    <w:rsid w:val="163A2FC4"/>
    <w:rsid w:val="163A7FE7"/>
    <w:rsid w:val="163B0AEA"/>
    <w:rsid w:val="163B5EF6"/>
    <w:rsid w:val="163B64BE"/>
    <w:rsid w:val="163C3060"/>
    <w:rsid w:val="163E51B2"/>
    <w:rsid w:val="16404BF0"/>
    <w:rsid w:val="16421535"/>
    <w:rsid w:val="16425C19"/>
    <w:rsid w:val="16426A1B"/>
    <w:rsid w:val="16446EAC"/>
    <w:rsid w:val="1645407B"/>
    <w:rsid w:val="16476D88"/>
    <w:rsid w:val="16481105"/>
    <w:rsid w:val="16481480"/>
    <w:rsid w:val="16484336"/>
    <w:rsid w:val="16493207"/>
    <w:rsid w:val="164B3423"/>
    <w:rsid w:val="164D719B"/>
    <w:rsid w:val="164E1693"/>
    <w:rsid w:val="164F1D9E"/>
    <w:rsid w:val="164F4595"/>
    <w:rsid w:val="16502252"/>
    <w:rsid w:val="165135EF"/>
    <w:rsid w:val="16522B9A"/>
    <w:rsid w:val="16526656"/>
    <w:rsid w:val="16527EE1"/>
    <w:rsid w:val="16532B1E"/>
    <w:rsid w:val="16564A20"/>
    <w:rsid w:val="16574099"/>
    <w:rsid w:val="165754AD"/>
    <w:rsid w:val="16590379"/>
    <w:rsid w:val="165C0979"/>
    <w:rsid w:val="165D6733"/>
    <w:rsid w:val="165D6CB3"/>
    <w:rsid w:val="165D746F"/>
    <w:rsid w:val="165E3157"/>
    <w:rsid w:val="165F5F12"/>
    <w:rsid w:val="165F5FA7"/>
    <w:rsid w:val="16610599"/>
    <w:rsid w:val="16610903"/>
    <w:rsid w:val="16633A92"/>
    <w:rsid w:val="16656F67"/>
    <w:rsid w:val="16663DB9"/>
    <w:rsid w:val="16695B72"/>
    <w:rsid w:val="166A08AC"/>
    <w:rsid w:val="166A4BFE"/>
    <w:rsid w:val="166C1E9D"/>
    <w:rsid w:val="166D01F0"/>
    <w:rsid w:val="166F74AF"/>
    <w:rsid w:val="16704C74"/>
    <w:rsid w:val="16715B07"/>
    <w:rsid w:val="16751FB2"/>
    <w:rsid w:val="167748C5"/>
    <w:rsid w:val="16787FED"/>
    <w:rsid w:val="167A736F"/>
    <w:rsid w:val="167B220F"/>
    <w:rsid w:val="167B7447"/>
    <w:rsid w:val="167F7F71"/>
    <w:rsid w:val="16814DE0"/>
    <w:rsid w:val="16815A84"/>
    <w:rsid w:val="16825310"/>
    <w:rsid w:val="16831D55"/>
    <w:rsid w:val="16842A4B"/>
    <w:rsid w:val="16843CE3"/>
    <w:rsid w:val="168459D5"/>
    <w:rsid w:val="16854F24"/>
    <w:rsid w:val="16857CEF"/>
    <w:rsid w:val="168626AD"/>
    <w:rsid w:val="16883251"/>
    <w:rsid w:val="16895CFA"/>
    <w:rsid w:val="168A56C6"/>
    <w:rsid w:val="168C67B8"/>
    <w:rsid w:val="168C67E3"/>
    <w:rsid w:val="168D6569"/>
    <w:rsid w:val="168E788F"/>
    <w:rsid w:val="168F78E4"/>
    <w:rsid w:val="16900AB3"/>
    <w:rsid w:val="16914FDA"/>
    <w:rsid w:val="16932F60"/>
    <w:rsid w:val="16946695"/>
    <w:rsid w:val="16963EA3"/>
    <w:rsid w:val="16970697"/>
    <w:rsid w:val="1698541C"/>
    <w:rsid w:val="16985E5F"/>
    <w:rsid w:val="1699418F"/>
    <w:rsid w:val="169A30AB"/>
    <w:rsid w:val="169A4C5B"/>
    <w:rsid w:val="169B736F"/>
    <w:rsid w:val="169F376F"/>
    <w:rsid w:val="169F388D"/>
    <w:rsid w:val="169F404B"/>
    <w:rsid w:val="16A21CB9"/>
    <w:rsid w:val="16A544CC"/>
    <w:rsid w:val="16A6121C"/>
    <w:rsid w:val="16A62408"/>
    <w:rsid w:val="16A70127"/>
    <w:rsid w:val="16A768E1"/>
    <w:rsid w:val="16A824BF"/>
    <w:rsid w:val="16A9014A"/>
    <w:rsid w:val="16A95FFC"/>
    <w:rsid w:val="16A9748A"/>
    <w:rsid w:val="16AA75A0"/>
    <w:rsid w:val="16AB55DA"/>
    <w:rsid w:val="16AC2D8D"/>
    <w:rsid w:val="16AD43D6"/>
    <w:rsid w:val="16AF3EC4"/>
    <w:rsid w:val="16AF6D34"/>
    <w:rsid w:val="16B0768E"/>
    <w:rsid w:val="16B140CD"/>
    <w:rsid w:val="16B1514E"/>
    <w:rsid w:val="16B20605"/>
    <w:rsid w:val="16B43C10"/>
    <w:rsid w:val="16B50FD5"/>
    <w:rsid w:val="16B54D41"/>
    <w:rsid w:val="16B70AB9"/>
    <w:rsid w:val="16B74A1D"/>
    <w:rsid w:val="16B75D61"/>
    <w:rsid w:val="16BB16D7"/>
    <w:rsid w:val="16BC0089"/>
    <w:rsid w:val="16BC2ED2"/>
    <w:rsid w:val="16BE3BF5"/>
    <w:rsid w:val="16BF34C9"/>
    <w:rsid w:val="16C1371A"/>
    <w:rsid w:val="16C46DFA"/>
    <w:rsid w:val="16C50647"/>
    <w:rsid w:val="16C520D5"/>
    <w:rsid w:val="16C663A8"/>
    <w:rsid w:val="16C72F79"/>
    <w:rsid w:val="16C94348"/>
    <w:rsid w:val="16CB00C0"/>
    <w:rsid w:val="16CB650D"/>
    <w:rsid w:val="16CD552F"/>
    <w:rsid w:val="16CE38A9"/>
    <w:rsid w:val="16CF479C"/>
    <w:rsid w:val="16D161DC"/>
    <w:rsid w:val="16D17208"/>
    <w:rsid w:val="16D2125F"/>
    <w:rsid w:val="16D45E61"/>
    <w:rsid w:val="16D476BF"/>
    <w:rsid w:val="16D64131"/>
    <w:rsid w:val="16D8458B"/>
    <w:rsid w:val="16D86278"/>
    <w:rsid w:val="16D9034E"/>
    <w:rsid w:val="16D90A2F"/>
    <w:rsid w:val="16DA5D65"/>
    <w:rsid w:val="16DA7021"/>
    <w:rsid w:val="16DB4AD2"/>
    <w:rsid w:val="16DC077E"/>
    <w:rsid w:val="16DC0BD1"/>
    <w:rsid w:val="16DC4732"/>
    <w:rsid w:val="16DD0041"/>
    <w:rsid w:val="16DD7A28"/>
    <w:rsid w:val="16DE1BA1"/>
    <w:rsid w:val="16DE32C6"/>
    <w:rsid w:val="16DE5A08"/>
    <w:rsid w:val="16DE78AD"/>
    <w:rsid w:val="16DF192C"/>
    <w:rsid w:val="16E25A95"/>
    <w:rsid w:val="16E3285D"/>
    <w:rsid w:val="16E50775"/>
    <w:rsid w:val="16E6046C"/>
    <w:rsid w:val="16E659F1"/>
    <w:rsid w:val="16E66022"/>
    <w:rsid w:val="16E92565"/>
    <w:rsid w:val="16E92B5A"/>
    <w:rsid w:val="16E932DB"/>
    <w:rsid w:val="16E963CC"/>
    <w:rsid w:val="16EA0D76"/>
    <w:rsid w:val="16EA4094"/>
    <w:rsid w:val="16EB0890"/>
    <w:rsid w:val="16EB25B6"/>
    <w:rsid w:val="16ED2569"/>
    <w:rsid w:val="16ED377F"/>
    <w:rsid w:val="16F02749"/>
    <w:rsid w:val="16F223DD"/>
    <w:rsid w:val="16F23A7E"/>
    <w:rsid w:val="16F33791"/>
    <w:rsid w:val="16F44039"/>
    <w:rsid w:val="16F47617"/>
    <w:rsid w:val="16F615E1"/>
    <w:rsid w:val="16F77107"/>
    <w:rsid w:val="16F921A6"/>
    <w:rsid w:val="16F944A3"/>
    <w:rsid w:val="16FA033C"/>
    <w:rsid w:val="16FA5342"/>
    <w:rsid w:val="16FC471D"/>
    <w:rsid w:val="16FC64D7"/>
    <w:rsid w:val="16FD6BC5"/>
    <w:rsid w:val="16FD7459"/>
    <w:rsid w:val="16FE0496"/>
    <w:rsid w:val="16FE3270"/>
    <w:rsid w:val="1700420E"/>
    <w:rsid w:val="17011F4B"/>
    <w:rsid w:val="170340F2"/>
    <w:rsid w:val="1704114A"/>
    <w:rsid w:val="170519EB"/>
    <w:rsid w:val="17052715"/>
    <w:rsid w:val="17095937"/>
    <w:rsid w:val="170A1D6F"/>
    <w:rsid w:val="170A340B"/>
    <w:rsid w:val="170A61F3"/>
    <w:rsid w:val="170C3081"/>
    <w:rsid w:val="170D06D9"/>
    <w:rsid w:val="170D11CC"/>
    <w:rsid w:val="171202BA"/>
    <w:rsid w:val="17126268"/>
    <w:rsid w:val="1713221D"/>
    <w:rsid w:val="171351AA"/>
    <w:rsid w:val="1713788E"/>
    <w:rsid w:val="17137D4A"/>
    <w:rsid w:val="17137ED5"/>
    <w:rsid w:val="171412BA"/>
    <w:rsid w:val="171639BF"/>
    <w:rsid w:val="17173305"/>
    <w:rsid w:val="17182C2F"/>
    <w:rsid w:val="171867DC"/>
    <w:rsid w:val="17195B84"/>
    <w:rsid w:val="1719707D"/>
    <w:rsid w:val="171A4B88"/>
    <w:rsid w:val="171C3AAE"/>
    <w:rsid w:val="171C60F0"/>
    <w:rsid w:val="171D0D4D"/>
    <w:rsid w:val="171F71A2"/>
    <w:rsid w:val="17210AD6"/>
    <w:rsid w:val="172137CC"/>
    <w:rsid w:val="17214184"/>
    <w:rsid w:val="17221588"/>
    <w:rsid w:val="172318A2"/>
    <w:rsid w:val="1723661F"/>
    <w:rsid w:val="17240813"/>
    <w:rsid w:val="17255A08"/>
    <w:rsid w:val="17261392"/>
    <w:rsid w:val="17285722"/>
    <w:rsid w:val="172A3B3C"/>
    <w:rsid w:val="172B0434"/>
    <w:rsid w:val="172B5518"/>
    <w:rsid w:val="172B580F"/>
    <w:rsid w:val="172D4E27"/>
    <w:rsid w:val="172D6512"/>
    <w:rsid w:val="172E6DA9"/>
    <w:rsid w:val="172F1FBA"/>
    <w:rsid w:val="172F2BDB"/>
    <w:rsid w:val="172F3F0E"/>
    <w:rsid w:val="172F60F1"/>
    <w:rsid w:val="173019CB"/>
    <w:rsid w:val="17302B3D"/>
    <w:rsid w:val="173051DB"/>
    <w:rsid w:val="17305F77"/>
    <w:rsid w:val="1732567D"/>
    <w:rsid w:val="17354F28"/>
    <w:rsid w:val="17361246"/>
    <w:rsid w:val="1736143B"/>
    <w:rsid w:val="173739A8"/>
    <w:rsid w:val="1739327C"/>
    <w:rsid w:val="173A4A9B"/>
    <w:rsid w:val="173B43A3"/>
    <w:rsid w:val="173B5D3F"/>
    <w:rsid w:val="173F0F72"/>
    <w:rsid w:val="1740460A"/>
    <w:rsid w:val="17405EEC"/>
    <w:rsid w:val="174100BC"/>
    <w:rsid w:val="17411885"/>
    <w:rsid w:val="17435EA8"/>
    <w:rsid w:val="17483C7D"/>
    <w:rsid w:val="17494ECE"/>
    <w:rsid w:val="174B0D9F"/>
    <w:rsid w:val="174B4A7A"/>
    <w:rsid w:val="174D03BB"/>
    <w:rsid w:val="174F05A1"/>
    <w:rsid w:val="174F484D"/>
    <w:rsid w:val="1750389F"/>
    <w:rsid w:val="175135C1"/>
    <w:rsid w:val="17516817"/>
    <w:rsid w:val="17532F49"/>
    <w:rsid w:val="17533C12"/>
    <w:rsid w:val="17535AB6"/>
    <w:rsid w:val="17546DA0"/>
    <w:rsid w:val="175579C2"/>
    <w:rsid w:val="1757493A"/>
    <w:rsid w:val="17590B5C"/>
    <w:rsid w:val="175977D3"/>
    <w:rsid w:val="175B6856"/>
    <w:rsid w:val="175C434E"/>
    <w:rsid w:val="175F39F7"/>
    <w:rsid w:val="176302F9"/>
    <w:rsid w:val="17645BD7"/>
    <w:rsid w:val="176756C6"/>
    <w:rsid w:val="1768600A"/>
    <w:rsid w:val="1769029E"/>
    <w:rsid w:val="17693784"/>
    <w:rsid w:val="17696EA4"/>
    <w:rsid w:val="176A5AA9"/>
    <w:rsid w:val="176A79A2"/>
    <w:rsid w:val="176E14B6"/>
    <w:rsid w:val="176F3141"/>
    <w:rsid w:val="17702548"/>
    <w:rsid w:val="177045AC"/>
    <w:rsid w:val="17715E39"/>
    <w:rsid w:val="17716EB9"/>
    <w:rsid w:val="177202FA"/>
    <w:rsid w:val="17722CA6"/>
    <w:rsid w:val="17732C32"/>
    <w:rsid w:val="17740758"/>
    <w:rsid w:val="17753B1C"/>
    <w:rsid w:val="1776627E"/>
    <w:rsid w:val="17773DA4"/>
    <w:rsid w:val="177A3491"/>
    <w:rsid w:val="177B2B29"/>
    <w:rsid w:val="177B7D38"/>
    <w:rsid w:val="177E5986"/>
    <w:rsid w:val="178105AA"/>
    <w:rsid w:val="17821613"/>
    <w:rsid w:val="17824C23"/>
    <w:rsid w:val="178254BA"/>
    <w:rsid w:val="17830B10"/>
    <w:rsid w:val="17836AE0"/>
    <w:rsid w:val="17836AF2"/>
    <w:rsid w:val="178467A4"/>
    <w:rsid w:val="17851930"/>
    <w:rsid w:val="178612C1"/>
    <w:rsid w:val="17881E1E"/>
    <w:rsid w:val="178A3AD7"/>
    <w:rsid w:val="178F1CE7"/>
    <w:rsid w:val="178F5592"/>
    <w:rsid w:val="178F57E7"/>
    <w:rsid w:val="1791619B"/>
    <w:rsid w:val="17916637"/>
    <w:rsid w:val="179356B0"/>
    <w:rsid w:val="179449DD"/>
    <w:rsid w:val="179510ED"/>
    <w:rsid w:val="1795227F"/>
    <w:rsid w:val="17956BF6"/>
    <w:rsid w:val="179633C2"/>
    <w:rsid w:val="179672AA"/>
    <w:rsid w:val="17967C22"/>
    <w:rsid w:val="17974BCD"/>
    <w:rsid w:val="17982458"/>
    <w:rsid w:val="1798507A"/>
    <w:rsid w:val="179928AA"/>
    <w:rsid w:val="179B2A67"/>
    <w:rsid w:val="179B3E23"/>
    <w:rsid w:val="179B3F36"/>
    <w:rsid w:val="179D6684"/>
    <w:rsid w:val="179E1A26"/>
    <w:rsid w:val="17A04DF8"/>
    <w:rsid w:val="17A0554F"/>
    <w:rsid w:val="17A06B17"/>
    <w:rsid w:val="17A10052"/>
    <w:rsid w:val="17A13BDF"/>
    <w:rsid w:val="17A202F8"/>
    <w:rsid w:val="17A20DEB"/>
    <w:rsid w:val="17A315CA"/>
    <w:rsid w:val="17A52B43"/>
    <w:rsid w:val="17A55571"/>
    <w:rsid w:val="17A653B9"/>
    <w:rsid w:val="17A8468F"/>
    <w:rsid w:val="17A86B7E"/>
    <w:rsid w:val="17AA0D42"/>
    <w:rsid w:val="17AA1236"/>
    <w:rsid w:val="17AA4A46"/>
    <w:rsid w:val="17AA503D"/>
    <w:rsid w:val="17AA6EC0"/>
    <w:rsid w:val="17AB398E"/>
    <w:rsid w:val="17AC1925"/>
    <w:rsid w:val="17AD069C"/>
    <w:rsid w:val="17AE3ED5"/>
    <w:rsid w:val="17AE5249"/>
    <w:rsid w:val="17B1375A"/>
    <w:rsid w:val="17B4010F"/>
    <w:rsid w:val="17B4186E"/>
    <w:rsid w:val="17B603AC"/>
    <w:rsid w:val="17B62FCE"/>
    <w:rsid w:val="17B710C8"/>
    <w:rsid w:val="17B7300C"/>
    <w:rsid w:val="17B76014"/>
    <w:rsid w:val="17B90572"/>
    <w:rsid w:val="17B9260F"/>
    <w:rsid w:val="17B9416E"/>
    <w:rsid w:val="17BA1532"/>
    <w:rsid w:val="17BA1A86"/>
    <w:rsid w:val="17BB3400"/>
    <w:rsid w:val="17BC65E9"/>
    <w:rsid w:val="17BD3EAD"/>
    <w:rsid w:val="17BD5C5B"/>
    <w:rsid w:val="17BD5E1A"/>
    <w:rsid w:val="17BE163A"/>
    <w:rsid w:val="17C0574B"/>
    <w:rsid w:val="17C15251"/>
    <w:rsid w:val="17C4413B"/>
    <w:rsid w:val="17C47B21"/>
    <w:rsid w:val="17C5175C"/>
    <w:rsid w:val="17C52C27"/>
    <w:rsid w:val="17C81910"/>
    <w:rsid w:val="17CA3EB4"/>
    <w:rsid w:val="17CA481C"/>
    <w:rsid w:val="17CB4F24"/>
    <w:rsid w:val="17CC10E5"/>
    <w:rsid w:val="17CC688B"/>
    <w:rsid w:val="17CE0C40"/>
    <w:rsid w:val="17CE1006"/>
    <w:rsid w:val="17CE4666"/>
    <w:rsid w:val="17CF257F"/>
    <w:rsid w:val="17D076C7"/>
    <w:rsid w:val="17D17068"/>
    <w:rsid w:val="17D1787A"/>
    <w:rsid w:val="17D24B58"/>
    <w:rsid w:val="17D348ED"/>
    <w:rsid w:val="17D55FD6"/>
    <w:rsid w:val="17D57C53"/>
    <w:rsid w:val="17D61BCB"/>
    <w:rsid w:val="17D64EF8"/>
    <w:rsid w:val="17D650DE"/>
    <w:rsid w:val="17D6560B"/>
    <w:rsid w:val="17D705CB"/>
    <w:rsid w:val="17D75109"/>
    <w:rsid w:val="17D80CE7"/>
    <w:rsid w:val="17DB2585"/>
    <w:rsid w:val="17DB3778"/>
    <w:rsid w:val="17DC3891"/>
    <w:rsid w:val="17DD161F"/>
    <w:rsid w:val="17DD3018"/>
    <w:rsid w:val="17DE0163"/>
    <w:rsid w:val="17DE1748"/>
    <w:rsid w:val="17DE3219"/>
    <w:rsid w:val="17DF2075"/>
    <w:rsid w:val="17E37F22"/>
    <w:rsid w:val="17E420CC"/>
    <w:rsid w:val="17E7179C"/>
    <w:rsid w:val="17E93E81"/>
    <w:rsid w:val="17EB06A7"/>
    <w:rsid w:val="17EB1AD2"/>
    <w:rsid w:val="17EB5696"/>
    <w:rsid w:val="17EB6C6C"/>
    <w:rsid w:val="17EE4066"/>
    <w:rsid w:val="17EE5EAB"/>
    <w:rsid w:val="17F00513"/>
    <w:rsid w:val="17F027BA"/>
    <w:rsid w:val="17F2118F"/>
    <w:rsid w:val="17F3167D"/>
    <w:rsid w:val="17F32AC8"/>
    <w:rsid w:val="17F51899"/>
    <w:rsid w:val="17F6326D"/>
    <w:rsid w:val="17F652D5"/>
    <w:rsid w:val="17F6756B"/>
    <w:rsid w:val="17F866AD"/>
    <w:rsid w:val="17F87BAE"/>
    <w:rsid w:val="17F91738"/>
    <w:rsid w:val="17F96D1B"/>
    <w:rsid w:val="17FA2682"/>
    <w:rsid w:val="17FA3B73"/>
    <w:rsid w:val="17FA6EAF"/>
    <w:rsid w:val="17FE317C"/>
    <w:rsid w:val="18020205"/>
    <w:rsid w:val="18027B12"/>
    <w:rsid w:val="180419EE"/>
    <w:rsid w:val="18047D2E"/>
    <w:rsid w:val="18054537"/>
    <w:rsid w:val="180756DA"/>
    <w:rsid w:val="180814F1"/>
    <w:rsid w:val="180A58E4"/>
    <w:rsid w:val="180B1483"/>
    <w:rsid w:val="180B77E6"/>
    <w:rsid w:val="180D34BE"/>
    <w:rsid w:val="180D6852"/>
    <w:rsid w:val="180D7837"/>
    <w:rsid w:val="180E3686"/>
    <w:rsid w:val="180F664E"/>
    <w:rsid w:val="1811244B"/>
    <w:rsid w:val="181124EE"/>
    <w:rsid w:val="18117D55"/>
    <w:rsid w:val="18124BB5"/>
    <w:rsid w:val="18131925"/>
    <w:rsid w:val="1813409B"/>
    <w:rsid w:val="18136324"/>
    <w:rsid w:val="18137F71"/>
    <w:rsid w:val="181451A4"/>
    <w:rsid w:val="18160704"/>
    <w:rsid w:val="1817349B"/>
    <w:rsid w:val="181808BC"/>
    <w:rsid w:val="1819142E"/>
    <w:rsid w:val="181952D8"/>
    <w:rsid w:val="181A120D"/>
    <w:rsid w:val="181B2107"/>
    <w:rsid w:val="181B3DC5"/>
    <w:rsid w:val="181C1189"/>
    <w:rsid w:val="181D0DEF"/>
    <w:rsid w:val="181E0E48"/>
    <w:rsid w:val="18214C83"/>
    <w:rsid w:val="18216ACF"/>
    <w:rsid w:val="182211B5"/>
    <w:rsid w:val="182265FB"/>
    <w:rsid w:val="18251831"/>
    <w:rsid w:val="18260977"/>
    <w:rsid w:val="18275F54"/>
    <w:rsid w:val="18285BB1"/>
    <w:rsid w:val="18297794"/>
    <w:rsid w:val="182A217C"/>
    <w:rsid w:val="182A7837"/>
    <w:rsid w:val="182B1D93"/>
    <w:rsid w:val="182B52BA"/>
    <w:rsid w:val="182E4816"/>
    <w:rsid w:val="183028D1"/>
    <w:rsid w:val="18310E9B"/>
    <w:rsid w:val="18316649"/>
    <w:rsid w:val="18326475"/>
    <w:rsid w:val="18326969"/>
    <w:rsid w:val="18334745"/>
    <w:rsid w:val="18341985"/>
    <w:rsid w:val="18352D15"/>
    <w:rsid w:val="18354985"/>
    <w:rsid w:val="18355136"/>
    <w:rsid w:val="18356460"/>
    <w:rsid w:val="18363C5F"/>
    <w:rsid w:val="1837055A"/>
    <w:rsid w:val="18372B11"/>
    <w:rsid w:val="183845C3"/>
    <w:rsid w:val="183879D7"/>
    <w:rsid w:val="18391D7A"/>
    <w:rsid w:val="183C3498"/>
    <w:rsid w:val="183D0B4A"/>
    <w:rsid w:val="183D2675"/>
    <w:rsid w:val="183D3B89"/>
    <w:rsid w:val="183D5943"/>
    <w:rsid w:val="183E36C8"/>
    <w:rsid w:val="184119FE"/>
    <w:rsid w:val="18422604"/>
    <w:rsid w:val="184422AC"/>
    <w:rsid w:val="18446F75"/>
    <w:rsid w:val="18452495"/>
    <w:rsid w:val="184527B0"/>
    <w:rsid w:val="18460AE6"/>
    <w:rsid w:val="18461C09"/>
    <w:rsid w:val="18482B9D"/>
    <w:rsid w:val="184858D8"/>
    <w:rsid w:val="18495CFA"/>
    <w:rsid w:val="184A42DA"/>
    <w:rsid w:val="184B4CB4"/>
    <w:rsid w:val="184C3F50"/>
    <w:rsid w:val="184D2239"/>
    <w:rsid w:val="184E680B"/>
    <w:rsid w:val="184F525B"/>
    <w:rsid w:val="1853327D"/>
    <w:rsid w:val="18545193"/>
    <w:rsid w:val="1855388D"/>
    <w:rsid w:val="185540E5"/>
    <w:rsid w:val="18565113"/>
    <w:rsid w:val="18566580"/>
    <w:rsid w:val="18572B3F"/>
    <w:rsid w:val="185760AF"/>
    <w:rsid w:val="18585984"/>
    <w:rsid w:val="18586B29"/>
    <w:rsid w:val="1858727D"/>
    <w:rsid w:val="18591D0D"/>
    <w:rsid w:val="185936A3"/>
    <w:rsid w:val="185A0968"/>
    <w:rsid w:val="185A16FC"/>
    <w:rsid w:val="185B4374"/>
    <w:rsid w:val="185D0D41"/>
    <w:rsid w:val="185D1C5F"/>
    <w:rsid w:val="185D49B8"/>
    <w:rsid w:val="185E6B47"/>
    <w:rsid w:val="185E75E5"/>
    <w:rsid w:val="185F2FF1"/>
    <w:rsid w:val="186155FB"/>
    <w:rsid w:val="18616F2E"/>
    <w:rsid w:val="18620800"/>
    <w:rsid w:val="186231D4"/>
    <w:rsid w:val="18636F2F"/>
    <w:rsid w:val="18637686"/>
    <w:rsid w:val="18663073"/>
    <w:rsid w:val="1867217A"/>
    <w:rsid w:val="186B1290"/>
    <w:rsid w:val="186B31A0"/>
    <w:rsid w:val="186C16FD"/>
    <w:rsid w:val="186D58F7"/>
    <w:rsid w:val="186D79ED"/>
    <w:rsid w:val="186F416E"/>
    <w:rsid w:val="186F63B5"/>
    <w:rsid w:val="18702CCD"/>
    <w:rsid w:val="18702E37"/>
    <w:rsid w:val="1871615D"/>
    <w:rsid w:val="187327BD"/>
    <w:rsid w:val="1873658B"/>
    <w:rsid w:val="18743D16"/>
    <w:rsid w:val="18770F9F"/>
    <w:rsid w:val="1878315C"/>
    <w:rsid w:val="18790655"/>
    <w:rsid w:val="187B05DB"/>
    <w:rsid w:val="187B4184"/>
    <w:rsid w:val="187B6DBF"/>
    <w:rsid w:val="187F2A1E"/>
    <w:rsid w:val="187F73B4"/>
    <w:rsid w:val="18807278"/>
    <w:rsid w:val="188104BD"/>
    <w:rsid w:val="18811059"/>
    <w:rsid w:val="188350F6"/>
    <w:rsid w:val="18842A0F"/>
    <w:rsid w:val="18842A7A"/>
    <w:rsid w:val="18842B80"/>
    <w:rsid w:val="18846228"/>
    <w:rsid w:val="18855ADD"/>
    <w:rsid w:val="188861E0"/>
    <w:rsid w:val="18886814"/>
    <w:rsid w:val="188A5EBB"/>
    <w:rsid w:val="188B108C"/>
    <w:rsid w:val="188D2F65"/>
    <w:rsid w:val="188D74FB"/>
    <w:rsid w:val="188E588F"/>
    <w:rsid w:val="188F55AE"/>
    <w:rsid w:val="188F5919"/>
    <w:rsid w:val="1890413B"/>
    <w:rsid w:val="18925671"/>
    <w:rsid w:val="189362B8"/>
    <w:rsid w:val="18952734"/>
    <w:rsid w:val="18953CB7"/>
    <w:rsid w:val="18987461"/>
    <w:rsid w:val="18993825"/>
    <w:rsid w:val="189A2794"/>
    <w:rsid w:val="189A5B0C"/>
    <w:rsid w:val="189A6992"/>
    <w:rsid w:val="189D14B9"/>
    <w:rsid w:val="189E7B50"/>
    <w:rsid w:val="18A230A3"/>
    <w:rsid w:val="18A256A4"/>
    <w:rsid w:val="18A26D85"/>
    <w:rsid w:val="18A44ED7"/>
    <w:rsid w:val="18A6291F"/>
    <w:rsid w:val="18A63803"/>
    <w:rsid w:val="18A84204"/>
    <w:rsid w:val="18A92ED1"/>
    <w:rsid w:val="18A959CE"/>
    <w:rsid w:val="18AA3767"/>
    <w:rsid w:val="18AB057D"/>
    <w:rsid w:val="18AC1581"/>
    <w:rsid w:val="18AC4584"/>
    <w:rsid w:val="18AD0D7A"/>
    <w:rsid w:val="18AE37F5"/>
    <w:rsid w:val="18AF232E"/>
    <w:rsid w:val="18B0756E"/>
    <w:rsid w:val="18B21377"/>
    <w:rsid w:val="18B232E6"/>
    <w:rsid w:val="18B322AE"/>
    <w:rsid w:val="18B368DA"/>
    <w:rsid w:val="18B40983"/>
    <w:rsid w:val="18B43089"/>
    <w:rsid w:val="18B47C0B"/>
    <w:rsid w:val="18B50DE3"/>
    <w:rsid w:val="18B71157"/>
    <w:rsid w:val="18B715EA"/>
    <w:rsid w:val="18B74DA0"/>
    <w:rsid w:val="18B772D5"/>
    <w:rsid w:val="18B80D98"/>
    <w:rsid w:val="18B83CF9"/>
    <w:rsid w:val="18B85986"/>
    <w:rsid w:val="18B8771B"/>
    <w:rsid w:val="18B90B18"/>
    <w:rsid w:val="18BA1C85"/>
    <w:rsid w:val="18BA4EFB"/>
    <w:rsid w:val="18BB5FB9"/>
    <w:rsid w:val="18BC1423"/>
    <w:rsid w:val="18BC4164"/>
    <w:rsid w:val="18BF08FE"/>
    <w:rsid w:val="18C03380"/>
    <w:rsid w:val="18C03CE2"/>
    <w:rsid w:val="18C03FD4"/>
    <w:rsid w:val="18C361D1"/>
    <w:rsid w:val="18C45AFF"/>
    <w:rsid w:val="18C5449F"/>
    <w:rsid w:val="18C626E1"/>
    <w:rsid w:val="18C64903"/>
    <w:rsid w:val="18C75E96"/>
    <w:rsid w:val="18CB43A7"/>
    <w:rsid w:val="18CB7F1E"/>
    <w:rsid w:val="18CD08A1"/>
    <w:rsid w:val="18CD28AD"/>
    <w:rsid w:val="18CD2965"/>
    <w:rsid w:val="18CD45C3"/>
    <w:rsid w:val="18D019BE"/>
    <w:rsid w:val="18D064BF"/>
    <w:rsid w:val="18D10396"/>
    <w:rsid w:val="18D3325C"/>
    <w:rsid w:val="18D45952"/>
    <w:rsid w:val="18D540E4"/>
    <w:rsid w:val="18D56FD4"/>
    <w:rsid w:val="18D6258B"/>
    <w:rsid w:val="18D70F9E"/>
    <w:rsid w:val="18D771F0"/>
    <w:rsid w:val="18D97CCB"/>
    <w:rsid w:val="18DA2641"/>
    <w:rsid w:val="18DA5871"/>
    <w:rsid w:val="18DC2847"/>
    <w:rsid w:val="18DD0845"/>
    <w:rsid w:val="18DD19B3"/>
    <w:rsid w:val="18DD4691"/>
    <w:rsid w:val="18DD4C44"/>
    <w:rsid w:val="18DE13E4"/>
    <w:rsid w:val="18DF1DBE"/>
    <w:rsid w:val="18DF2F55"/>
    <w:rsid w:val="18DF7E53"/>
    <w:rsid w:val="18E12BD3"/>
    <w:rsid w:val="18E23892"/>
    <w:rsid w:val="18E35B95"/>
    <w:rsid w:val="18E41F16"/>
    <w:rsid w:val="18E436BB"/>
    <w:rsid w:val="18E45B15"/>
    <w:rsid w:val="18E57DF3"/>
    <w:rsid w:val="18E64881"/>
    <w:rsid w:val="18E72462"/>
    <w:rsid w:val="18E8299A"/>
    <w:rsid w:val="18E86D07"/>
    <w:rsid w:val="18E90AB2"/>
    <w:rsid w:val="18EA317E"/>
    <w:rsid w:val="18EB29CF"/>
    <w:rsid w:val="18EB3160"/>
    <w:rsid w:val="18EB5447"/>
    <w:rsid w:val="18EB5F22"/>
    <w:rsid w:val="18EB6B88"/>
    <w:rsid w:val="18EC7705"/>
    <w:rsid w:val="18ED2570"/>
    <w:rsid w:val="18EE61AA"/>
    <w:rsid w:val="18EF45F9"/>
    <w:rsid w:val="18F115D9"/>
    <w:rsid w:val="18F328F2"/>
    <w:rsid w:val="18F5243C"/>
    <w:rsid w:val="18F5280B"/>
    <w:rsid w:val="18F54A7A"/>
    <w:rsid w:val="18F64569"/>
    <w:rsid w:val="18F64A8A"/>
    <w:rsid w:val="18F733EE"/>
    <w:rsid w:val="18F7519C"/>
    <w:rsid w:val="18F86641"/>
    <w:rsid w:val="18F953B8"/>
    <w:rsid w:val="18F9685F"/>
    <w:rsid w:val="18FA1E26"/>
    <w:rsid w:val="18FC7C4A"/>
    <w:rsid w:val="18FD3186"/>
    <w:rsid w:val="18FE4FFE"/>
    <w:rsid w:val="18FF04F5"/>
    <w:rsid w:val="18FF648E"/>
    <w:rsid w:val="190055D2"/>
    <w:rsid w:val="190455CA"/>
    <w:rsid w:val="19047EE8"/>
    <w:rsid w:val="19055892"/>
    <w:rsid w:val="190662B2"/>
    <w:rsid w:val="19072540"/>
    <w:rsid w:val="190727C7"/>
    <w:rsid w:val="19076B25"/>
    <w:rsid w:val="19097416"/>
    <w:rsid w:val="190A7943"/>
    <w:rsid w:val="190C7705"/>
    <w:rsid w:val="190E0B4B"/>
    <w:rsid w:val="190E3455"/>
    <w:rsid w:val="191028F2"/>
    <w:rsid w:val="1910625E"/>
    <w:rsid w:val="1912227D"/>
    <w:rsid w:val="191330C1"/>
    <w:rsid w:val="191613C6"/>
    <w:rsid w:val="191653EA"/>
    <w:rsid w:val="191915B7"/>
    <w:rsid w:val="191A7C85"/>
    <w:rsid w:val="191C1C69"/>
    <w:rsid w:val="191C7400"/>
    <w:rsid w:val="191D7DDA"/>
    <w:rsid w:val="191F211D"/>
    <w:rsid w:val="19222538"/>
    <w:rsid w:val="19222C5F"/>
    <w:rsid w:val="19230D11"/>
    <w:rsid w:val="19265871"/>
    <w:rsid w:val="1927152E"/>
    <w:rsid w:val="192E3DD0"/>
    <w:rsid w:val="192E7E81"/>
    <w:rsid w:val="193208CA"/>
    <w:rsid w:val="193275A8"/>
    <w:rsid w:val="1933648F"/>
    <w:rsid w:val="19346644"/>
    <w:rsid w:val="19347B77"/>
    <w:rsid w:val="193627AE"/>
    <w:rsid w:val="19371A3D"/>
    <w:rsid w:val="193769F9"/>
    <w:rsid w:val="19384D65"/>
    <w:rsid w:val="19395AFC"/>
    <w:rsid w:val="193A012F"/>
    <w:rsid w:val="193A152D"/>
    <w:rsid w:val="193B3B10"/>
    <w:rsid w:val="193B5EC9"/>
    <w:rsid w:val="193C385F"/>
    <w:rsid w:val="193C6991"/>
    <w:rsid w:val="193C7053"/>
    <w:rsid w:val="193D19EC"/>
    <w:rsid w:val="193D1A67"/>
    <w:rsid w:val="193E0608"/>
    <w:rsid w:val="193E2B88"/>
    <w:rsid w:val="193F5818"/>
    <w:rsid w:val="19420E83"/>
    <w:rsid w:val="1942731B"/>
    <w:rsid w:val="194317F2"/>
    <w:rsid w:val="19433FC7"/>
    <w:rsid w:val="19445F08"/>
    <w:rsid w:val="19447D51"/>
    <w:rsid w:val="1946024C"/>
    <w:rsid w:val="19486472"/>
    <w:rsid w:val="194901EF"/>
    <w:rsid w:val="19495E63"/>
    <w:rsid w:val="194B73AC"/>
    <w:rsid w:val="194D1260"/>
    <w:rsid w:val="194E0A20"/>
    <w:rsid w:val="194E3880"/>
    <w:rsid w:val="194F322A"/>
    <w:rsid w:val="194F3A92"/>
    <w:rsid w:val="19503165"/>
    <w:rsid w:val="195040B4"/>
    <w:rsid w:val="19510D51"/>
    <w:rsid w:val="19526877"/>
    <w:rsid w:val="195449F2"/>
    <w:rsid w:val="19552157"/>
    <w:rsid w:val="1956232A"/>
    <w:rsid w:val="19563423"/>
    <w:rsid w:val="195720DF"/>
    <w:rsid w:val="19572A6F"/>
    <w:rsid w:val="195843D9"/>
    <w:rsid w:val="195A487D"/>
    <w:rsid w:val="195A5FE0"/>
    <w:rsid w:val="195B397D"/>
    <w:rsid w:val="195C47F1"/>
    <w:rsid w:val="195D1B65"/>
    <w:rsid w:val="195D2C8C"/>
    <w:rsid w:val="19603A01"/>
    <w:rsid w:val="19603ABB"/>
    <w:rsid w:val="19606D01"/>
    <w:rsid w:val="19614847"/>
    <w:rsid w:val="19620C62"/>
    <w:rsid w:val="1963359E"/>
    <w:rsid w:val="196407AD"/>
    <w:rsid w:val="19646512"/>
    <w:rsid w:val="196470BB"/>
    <w:rsid w:val="196547FC"/>
    <w:rsid w:val="1965563C"/>
    <w:rsid w:val="1968609A"/>
    <w:rsid w:val="19692F42"/>
    <w:rsid w:val="1969364A"/>
    <w:rsid w:val="196A4DD0"/>
    <w:rsid w:val="196D2C99"/>
    <w:rsid w:val="196D69C8"/>
    <w:rsid w:val="196E1208"/>
    <w:rsid w:val="196F1DA8"/>
    <w:rsid w:val="196F4DE1"/>
    <w:rsid w:val="196F540E"/>
    <w:rsid w:val="19712A70"/>
    <w:rsid w:val="1972506F"/>
    <w:rsid w:val="19755855"/>
    <w:rsid w:val="197653DC"/>
    <w:rsid w:val="19773332"/>
    <w:rsid w:val="19780C1B"/>
    <w:rsid w:val="19780EE1"/>
    <w:rsid w:val="19785AFA"/>
    <w:rsid w:val="197A46B2"/>
    <w:rsid w:val="197B520E"/>
    <w:rsid w:val="197B53D3"/>
    <w:rsid w:val="197C010A"/>
    <w:rsid w:val="197C1B46"/>
    <w:rsid w:val="197D0A1F"/>
    <w:rsid w:val="197E19BA"/>
    <w:rsid w:val="197E58BE"/>
    <w:rsid w:val="19814195"/>
    <w:rsid w:val="1981715C"/>
    <w:rsid w:val="198326CC"/>
    <w:rsid w:val="19832F59"/>
    <w:rsid w:val="198527A8"/>
    <w:rsid w:val="1985457D"/>
    <w:rsid w:val="1986540C"/>
    <w:rsid w:val="198659D2"/>
    <w:rsid w:val="19871723"/>
    <w:rsid w:val="19871E44"/>
    <w:rsid w:val="198729C4"/>
    <w:rsid w:val="198804EA"/>
    <w:rsid w:val="1988231C"/>
    <w:rsid w:val="198A3FFF"/>
    <w:rsid w:val="198A7756"/>
    <w:rsid w:val="198B29AD"/>
    <w:rsid w:val="198D3D53"/>
    <w:rsid w:val="198E5044"/>
    <w:rsid w:val="198F2D64"/>
    <w:rsid w:val="19904E17"/>
    <w:rsid w:val="199154DD"/>
    <w:rsid w:val="19916D03"/>
    <w:rsid w:val="19921369"/>
    <w:rsid w:val="19921BF7"/>
    <w:rsid w:val="19927C41"/>
    <w:rsid w:val="19933997"/>
    <w:rsid w:val="19941C7E"/>
    <w:rsid w:val="1995404C"/>
    <w:rsid w:val="19955A36"/>
    <w:rsid w:val="19956FF2"/>
    <w:rsid w:val="199909A8"/>
    <w:rsid w:val="199972E8"/>
    <w:rsid w:val="199A1032"/>
    <w:rsid w:val="199C543D"/>
    <w:rsid w:val="199E386A"/>
    <w:rsid w:val="19A1760E"/>
    <w:rsid w:val="19A302C9"/>
    <w:rsid w:val="19A35C1A"/>
    <w:rsid w:val="19A52E4A"/>
    <w:rsid w:val="19A61157"/>
    <w:rsid w:val="19A61F7F"/>
    <w:rsid w:val="19A64C4A"/>
    <w:rsid w:val="19A67FBB"/>
    <w:rsid w:val="19A82017"/>
    <w:rsid w:val="19A86176"/>
    <w:rsid w:val="19A8650D"/>
    <w:rsid w:val="19A86BE7"/>
    <w:rsid w:val="19A91E82"/>
    <w:rsid w:val="19A93BA7"/>
    <w:rsid w:val="19AF1F1B"/>
    <w:rsid w:val="19AF55F9"/>
    <w:rsid w:val="19B14161"/>
    <w:rsid w:val="19B3606F"/>
    <w:rsid w:val="19B41B02"/>
    <w:rsid w:val="19B7492C"/>
    <w:rsid w:val="19B80DD0"/>
    <w:rsid w:val="19B83048"/>
    <w:rsid w:val="19B867E5"/>
    <w:rsid w:val="19B94234"/>
    <w:rsid w:val="19BA600B"/>
    <w:rsid w:val="19BB1305"/>
    <w:rsid w:val="19BB2369"/>
    <w:rsid w:val="19BB3319"/>
    <w:rsid w:val="19BB3C04"/>
    <w:rsid w:val="19BC02FC"/>
    <w:rsid w:val="19BC4A0E"/>
    <w:rsid w:val="19BD71C7"/>
    <w:rsid w:val="19C0025F"/>
    <w:rsid w:val="19C01A32"/>
    <w:rsid w:val="19C06831"/>
    <w:rsid w:val="19C10596"/>
    <w:rsid w:val="19C122CF"/>
    <w:rsid w:val="19C24C2F"/>
    <w:rsid w:val="19C274CA"/>
    <w:rsid w:val="19C34AE0"/>
    <w:rsid w:val="19C84D8B"/>
    <w:rsid w:val="19C97A33"/>
    <w:rsid w:val="19CA1792"/>
    <w:rsid w:val="19CB62FD"/>
    <w:rsid w:val="19CC5C7A"/>
    <w:rsid w:val="19CC6D73"/>
    <w:rsid w:val="19CC6E99"/>
    <w:rsid w:val="19CE04CD"/>
    <w:rsid w:val="19CE609E"/>
    <w:rsid w:val="19CF57E8"/>
    <w:rsid w:val="19CF6119"/>
    <w:rsid w:val="19D13C3F"/>
    <w:rsid w:val="19D258F1"/>
    <w:rsid w:val="19D32F7C"/>
    <w:rsid w:val="19D33F9B"/>
    <w:rsid w:val="19D37EE8"/>
    <w:rsid w:val="19D53A24"/>
    <w:rsid w:val="19D6166F"/>
    <w:rsid w:val="19D6668E"/>
    <w:rsid w:val="19D72EDD"/>
    <w:rsid w:val="19D96A26"/>
    <w:rsid w:val="19DB3BBC"/>
    <w:rsid w:val="19DC3E19"/>
    <w:rsid w:val="19DC6703"/>
    <w:rsid w:val="19DD33D8"/>
    <w:rsid w:val="19DE7D27"/>
    <w:rsid w:val="19DF45AE"/>
    <w:rsid w:val="19DF45C4"/>
    <w:rsid w:val="19E00326"/>
    <w:rsid w:val="19E23727"/>
    <w:rsid w:val="19E61ED2"/>
    <w:rsid w:val="19E6347B"/>
    <w:rsid w:val="19E64F1C"/>
    <w:rsid w:val="19E7366E"/>
    <w:rsid w:val="19E76139"/>
    <w:rsid w:val="19E93B68"/>
    <w:rsid w:val="19EA2F53"/>
    <w:rsid w:val="19EA32BD"/>
    <w:rsid w:val="19EB0DBB"/>
    <w:rsid w:val="19EB5B60"/>
    <w:rsid w:val="19EB5D6A"/>
    <w:rsid w:val="19EE1CDF"/>
    <w:rsid w:val="19EE37DC"/>
    <w:rsid w:val="19F138D9"/>
    <w:rsid w:val="19F24A32"/>
    <w:rsid w:val="19F302EC"/>
    <w:rsid w:val="19F3146B"/>
    <w:rsid w:val="19F4792E"/>
    <w:rsid w:val="19F76BB3"/>
    <w:rsid w:val="19F811CC"/>
    <w:rsid w:val="19F9203C"/>
    <w:rsid w:val="19FA7950"/>
    <w:rsid w:val="19FB6F0E"/>
    <w:rsid w:val="19FE1D73"/>
    <w:rsid w:val="1A0017AB"/>
    <w:rsid w:val="1A01018F"/>
    <w:rsid w:val="1A013AAA"/>
    <w:rsid w:val="1A027F67"/>
    <w:rsid w:val="1A031B94"/>
    <w:rsid w:val="1A037B71"/>
    <w:rsid w:val="1A041EBA"/>
    <w:rsid w:val="1A073B05"/>
    <w:rsid w:val="1A077661"/>
    <w:rsid w:val="1A0829B9"/>
    <w:rsid w:val="1A082EDA"/>
    <w:rsid w:val="1A09478B"/>
    <w:rsid w:val="1A0A79ED"/>
    <w:rsid w:val="1A0B7FF2"/>
    <w:rsid w:val="1A0E4B3E"/>
    <w:rsid w:val="1A0F6516"/>
    <w:rsid w:val="1A0F76DC"/>
    <w:rsid w:val="1A102ED5"/>
    <w:rsid w:val="1A10624F"/>
    <w:rsid w:val="1A121833"/>
    <w:rsid w:val="1A137F5A"/>
    <w:rsid w:val="1A14066B"/>
    <w:rsid w:val="1A141D7E"/>
    <w:rsid w:val="1A1454C8"/>
    <w:rsid w:val="1A1466D2"/>
    <w:rsid w:val="1A147FD0"/>
    <w:rsid w:val="1A156D06"/>
    <w:rsid w:val="1A16322D"/>
    <w:rsid w:val="1A180F6B"/>
    <w:rsid w:val="1A186DF2"/>
    <w:rsid w:val="1A1A74B5"/>
    <w:rsid w:val="1A1B135F"/>
    <w:rsid w:val="1A1B44E9"/>
    <w:rsid w:val="1A1C14C0"/>
    <w:rsid w:val="1A1C61EB"/>
    <w:rsid w:val="1A1D14C3"/>
    <w:rsid w:val="1A1E0D97"/>
    <w:rsid w:val="1A1E2C68"/>
    <w:rsid w:val="1A1E5B48"/>
    <w:rsid w:val="1A1F2E79"/>
    <w:rsid w:val="1A1F492F"/>
    <w:rsid w:val="1A2024D1"/>
    <w:rsid w:val="1A220B7E"/>
    <w:rsid w:val="1A2243C6"/>
    <w:rsid w:val="1A22449B"/>
    <w:rsid w:val="1A236CC5"/>
    <w:rsid w:val="1A2636E4"/>
    <w:rsid w:val="1A271AB1"/>
    <w:rsid w:val="1A283EAB"/>
    <w:rsid w:val="1A2A15A2"/>
    <w:rsid w:val="1A2A2D40"/>
    <w:rsid w:val="1A2A3350"/>
    <w:rsid w:val="1A2B0002"/>
    <w:rsid w:val="1A2D01B8"/>
    <w:rsid w:val="1A2F1B2D"/>
    <w:rsid w:val="1A316E57"/>
    <w:rsid w:val="1A3232A2"/>
    <w:rsid w:val="1A3233A2"/>
    <w:rsid w:val="1A334B44"/>
    <w:rsid w:val="1A3362D7"/>
    <w:rsid w:val="1A340CCC"/>
    <w:rsid w:val="1A350442"/>
    <w:rsid w:val="1A352420"/>
    <w:rsid w:val="1A355048"/>
    <w:rsid w:val="1A383CBF"/>
    <w:rsid w:val="1A3A3FAD"/>
    <w:rsid w:val="1A3A701C"/>
    <w:rsid w:val="1A3D1466"/>
    <w:rsid w:val="1A3D197D"/>
    <w:rsid w:val="1A3D2C72"/>
    <w:rsid w:val="1A3D35ED"/>
    <w:rsid w:val="1A3E2AA3"/>
    <w:rsid w:val="1A3E40E6"/>
    <w:rsid w:val="1A3E61D4"/>
    <w:rsid w:val="1A3F1163"/>
    <w:rsid w:val="1A431FDD"/>
    <w:rsid w:val="1A442027"/>
    <w:rsid w:val="1A4421DD"/>
    <w:rsid w:val="1A442513"/>
    <w:rsid w:val="1A452F93"/>
    <w:rsid w:val="1A4626D7"/>
    <w:rsid w:val="1A462C3C"/>
    <w:rsid w:val="1A4729C7"/>
    <w:rsid w:val="1A475BBD"/>
    <w:rsid w:val="1A475DE4"/>
    <w:rsid w:val="1A48164D"/>
    <w:rsid w:val="1A4B0FF8"/>
    <w:rsid w:val="1A4B330D"/>
    <w:rsid w:val="1A4B50AA"/>
    <w:rsid w:val="1A4C059F"/>
    <w:rsid w:val="1A4D2C1F"/>
    <w:rsid w:val="1A4D589C"/>
    <w:rsid w:val="1A4D7795"/>
    <w:rsid w:val="1A4E0334"/>
    <w:rsid w:val="1A522A87"/>
    <w:rsid w:val="1A55434C"/>
    <w:rsid w:val="1A5627F0"/>
    <w:rsid w:val="1A563B96"/>
    <w:rsid w:val="1A574FB8"/>
    <w:rsid w:val="1A585F5B"/>
    <w:rsid w:val="1A592BA3"/>
    <w:rsid w:val="1A5F5CA9"/>
    <w:rsid w:val="1A5F6CC1"/>
    <w:rsid w:val="1A6004C9"/>
    <w:rsid w:val="1A606D71"/>
    <w:rsid w:val="1A613102"/>
    <w:rsid w:val="1A615B98"/>
    <w:rsid w:val="1A616974"/>
    <w:rsid w:val="1A640552"/>
    <w:rsid w:val="1A6406E8"/>
    <w:rsid w:val="1A651406"/>
    <w:rsid w:val="1A6525DA"/>
    <w:rsid w:val="1A6538DC"/>
    <w:rsid w:val="1A654388"/>
    <w:rsid w:val="1A661593"/>
    <w:rsid w:val="1A6622C5"/>
    <w:rsid w:val="1A662CCE"/>
    <w:rsid w:val="1A693E78"/>
    <w:rsid w:val="1A6A7BF0"/>
    <w:rsid w:val="1A6D1019"/>
    <w:rsid w:val="1A6D3202"/>
    <w:rsid w:val="1A6D6992"/>
    <w:rsid w:val="1A6D6D61"/>
    <w:rsid w:val="1A703458"/>
    <w:rsid w:val="1A70446A"/>
    <w:rsid w:val="1A710F7F"/>
    <w:rsid w:val="1A712403"/>
    <w:rsid w:val="1A71601B"/>
    <w:rsid w:val="1A7320E1"/>
    <w:rsid w:val="1A7472F8"/>
    <w:rsid w:val="1A7550B9"/>
    <w:rsid w:val="1A76365E"/>
    <w:rsid w:val="1A76380C"/>
    <w:rsid w:val="1A7848D7"/>
    <w:rsid w:val="1A7B3450"/>
    <w:rsid w:val="1A7B49C0"/>
    <w:rsid w:val="1A7C7171"/>
    <w:rsid w:val="1A7D4672"/>
    <w:rsid w:val="1A7D646A"/>
    <w:rsid w:val="1A7E7AC4"/>
    <w:rsid w:val="1A7F342E"/>
    <w:rsid w:val="1A7F5449"/>
    <w:rsid w:val="1A8140F1"/>
    <w:rsid w:val="1A816F4D"/>
    <w:rsid w:val="1A842784"/>
    <w:rsid w:val="1A850BA8"/>
    <w:rsid w:val="1A853D75"/>
    <w:rsid w:val="1A874C22"/>
    <w:rsid w:val="1A8A6F5F"/>
    <w:rsid w:val="1A8B2040"/>
    <w:rsid w:val="1A8B57B9"/>
    <w:rsid w:val="1A8D237E"/>
    <w:rsid w:val="1A8D3D3C"/>
    <w:rsid w:val="1A8D50A0"/>
    <w:rsid w:val="1A8D52A0"/>
    <w:rsid w:val="1A8E049E"/>
    <w:rsid w:val="1A8E3827"/>
    <w:rsid w:val="1A8E38DF"/>
    <w:rsid w:val="1A8E3B1F"/>
    <w:rsid w:val="1A8F0467"/>
    <w:rsid w:val="1A8F2369"/>
    <w:rsid w:val="1A8F43B3"/>
    <w:rsid w:val="1A9075E2"/>
    <w:rsid w:val="1A91388B"/>
    <w:rsid w:val="1A925369"/>
    <w:rsid w:val="1A931655"/>
    <w:rsid w:val="1A943AA6"/>
    <w:rsid w:val="1A9441C4"/>
    <w:rsid w:val="1A961471"/>
    <w:rsid w:val="1A98346B"/>
    <w:rsid w:val="1A986518"/>
    <w:rsid w:val="1A9A14C6"/>
    <w:rsid w:val="1A9A3350"/>
    <w:rsid w:val="1A9B7C43"/>
    <w:rsid w:val="1A9C56C0"/>
    <w:rsid w:val="1A9D1D74"/>
    <w:rsid w:val="1A9D214B"/>
    <w:rsid w:val="1A9F0035"/>
    <w:rsid w:val="1AA07801"/>
    <w:rsid w:val="1AA07B47"/>
    <w:rsid w:val="1AA139E3"/>
    <w:rsid w:val="1AA44EB0"/>
    <w:rsid w:val="1AA50C28"/>
    <w:rsid w:val="1AA62789"/>
    <w:rsid w:val="1AA65EA2"/>
    <w:rsid w:val="1AA704E8"/>
    <w:rsid w:val="1AA720D8"/>
    <w:rsid w:val="1AA8484B"/>
    <w:rsid w:val="1AA851AE"/>
    <w:rsid w:val="1AA873CD"/>
    <w:rsid w:val="1AA92CF1"/>
    <w:rsid w:val="1AA932AB"/>
    <w:rsid w:val="1AAA4985"/>
    <w:rsid w:val="1AAB3B04"/>
    <w:rsid w:val="1AAB6E41"/>
    <w:rsid w:val="1AAB78FA"/>
    <w:rsid w:val="1AAD3258"/>
    <w:rsid w:val="1AAE3660"/>
    <w:rsid w:val="1AAF3BD5"/>
    <w:rsid w:val="1AB0041E"/>
    <w:rsid w:val="1AB01AA5"/>
    <w:rsid w:val="1AB42F10"/>
    <w:rsid w:val="1AB52BBF"/>
    <w:rsid w:val="1AB71087"/>
    <w:rsid w:val="1AB760C6"/>
    <w:rsid w:val="1AB76431"/>
    <w:rsid w:val="1AB77095"/>
    <w:rsid w:val="1AB84DF8"/>
    <w:rsid w:val="1AB95442"/>
    <w:rsid w:val="1ABB2C0B"/>
    <w:rsid w:val="1ABC3B86"/>
    <w:rsid w:val="1ABD32E6"/>
    <w:rsid w:val="1ABE7431"/>
    <w:rsid w:val="1ABF4153"/>
    <w:rsid w:val="1AC00268"/>
    <w:rsid w:val="1AC07FB4"/>
    <w:rsid w:val="1AC10A0F"/>
    <w:rsid w:val="1AC21C69"/>
    <w:rsid w:val="1AC271D0"/>
    <w:rsid w:val="1AC509AC"/>
    <w:rsid w:val="1AC50C4A"/>
    <w:rsid w:val="1AC52FF2"/>
    <w:rsid w:val="1AC60017"/>
    <w:rsid w:val="1AC6778B"/>
    <w:rsid w:val="1AC77DAF"/>
    <w:rsid w:val="1AC82EAC"/>
    <w:rsid w:val="1AC83294"/>
    <w:rsid w:val="1AC92E03"/>
    <w:rsid w:val="1AC94917"/>
    <w:rsid w:val="1ACB4284"/>
    <w:rsid w:val="1ACB68E1"/>
    <w:rsid w:val="1ACD08AB"/>
    <w:rsid w:val="1ACD37C0"/>
    <w:rsid w:val="1ACD59D7"/>
    <w:rsid w:val="1ACF518C"/>
    <w:rsid w:val="1ACF6B75"/>
    <w:rsid w:val="1ACF6C75"/>
    <w:rsid w:val="1AD02681"/>
    <w:rsid w:val="1AD25EC1"/>
    <w:rsid w:val="1AD27F8C"/>
    <w:rsid w:val="1AD31C39"/>
    <w:rsid w:val="1AD33637"/>
    <w:rsid w:val="1AD4263E"/>
    <w:rsid w:val="1AD4308C"/>
    <w:rsid w:val="1AD812BD"/>
    <w:rsid w:val="1AD9308E"/>
    <w:rsid w:val="1ADA64E6"/>
    <w:rsid w:val="1ADB2F44"/>
    <w:rsid w:val="1ADB3B51"/>
    <w:rsid w:val="1ADB5D79"/>
    <w:rsid w:val="1ADC0670"/>
    <w:rsid w:val="1ADF1AD4"/>
    <w:rsid w:val="1AE01E2B"/>
    <w:rsid w:val="1AE039DC"/>
    <w:rsid w:val="1AE1161F"/>
    <w:rsid w:val="1AE11A39"/>
    <w:rsid w:val="1AE14356"/>
    <w:rsid w:val="1AE33DC6"/>
    <w:rsid w:val="1AE62BA4"/>
    <w:rsid w:val="1AE648FF"/>
    <w:rsid w:val="1AE70AE0"/>
    <w:rsid w:val="1AE71464"/>
    <w:rsid w:val="1AE75E74"/>
    <w:rsid w:val="1AE8488A"/>
    <w:rsid w:val="1AE94FB9"/>
    <w:rsid w:val="1AED589C"/>
    <w:rsid w:val="1AEE368E"/>
    <w:rsid w:val="1AF0003A"/>
    <w:rsid w:val="1AF000F5"/>
    <w:rsid w:val="1AF0448D"/>
    <w:rsid w:val="1AF17CCF"/>
    <w:rsid w:val="1AF35F88"/>
    <w:rsid w:val="1AF50D1F"/>
    <w:rsid w:val="1AF51BB0"/>
    <w:rsid w:val="1AF6393B"/>
    <w:rsid w:val="1AF649F1"/>
    <w:rsid w:val="1AF66945"/>
    <w:rsid w:val="1AF71484"/>
    <w:rsid w:val="1AF729CD"/>
    <w:rsid w:val="1AF80A0E"/>
    <w:rsid w:val="1AFC1190"/>
    <w:rsid w:val="1AFC1C7E"/>
    <w:rsid w:val="1AFC2F3E"/>
    <w:rsid w:val="1AFC3342"/>
    <w:rsid w:val="1AFC3FF4"/>
    <w:rsid w:val="1AFF2141"/>
    <w:rsid w:val="1AFF3887"/>
    <w:rsid w:val="1B00521A"/>
    <w:rsid w:val="1B041B8A"/>
    <w:rsid w:val="1B0457B9"/>
    <w:rsid w:val="1B045F93"/>
    <w:rsid w:val="1B0462E3"/>
    <w:rsid w:val="1B062D60"/>
    <w:rsid w:val="1B075976"/>
    <w:rsid w:val="1B0818E3"/>
    <w:rsid w:val="1B08354B"/>
    <w:rsid w:val="1B087B35"/>
    <w:rsid w:val="1B092FDE"/>
    <w:rsid w:val="1B0A5170"/>
    <w:rsid w:val="1B0C206B"/>
    <w:rsid w:val="1B0E3429"/>
    <w:rsid w:val="1B0F0EC3"/>
    <w:rsid w:val="1B102545"/>
    <w:rsid w:val="1B10433A"/>
    <w:rsid w:val="1B11296F"/>
    <w:rsid w:val="1B116A28"/>
    <w:rsid w:val="1B131B01"/>
    <w:rsid w:val="1B132043"/>
    <w:rsid w:val="1B132A2A"/>
    <w:rsid w:val="1B140288"/>
    <w:rsid w:val="1B1447F0"/>
    <w:rsid w:val="1B16140A"/>
    <w:rsid w:val="1B163FDB"/>
    <w:rsid w:val="1B171B26"/>
    <w:rsid w:val="1B1738D4"/>
    <w:rsid w:val="1B196182"/>
    <w:rsid w:val="1B1A121B"/>
    <w:rsid w:val="1B1A7868"/>
    <w:rsid w:val="1B1B473F"/>
    <w:rsid w:val="1B1C1DD7"/>
    <w:rsid w:val="1B1E3EB9"/>
    <w:rsid w:val="1B1F1B76"/>
    <w:rsid w:val="1B1F5435"/>
    <w:rsid w:val="1B212B73"/>
    <w:rsid w:val="1B214753"/>
    <w:rsid w:val="1B21651D"/>
    <w:rsid w:val="1B267BB2"/>
    <w:rsid w:val="1B27396B"/>
    <w:rsid w:val="1B2A0B83"/>
    <w:rsid w:val="1B2B22B8"/>
    <w:rsid w:val="1B2B2D19"/>
    <w:rsid w:val="1B2B3823"/>
    <w:rsid w:val="1B2D55E1"/>
    <w:rsid w:val="1B2D7593"/>
    <w:rsid w:val="1B31362F"/>
    <w:rsid w:val="1B323696"/>
    <w:rsid w:val="1B337F6F"/>
    <w:rsid w:val="1B3541D8"/>
    <w:rsid w:val="1B354E03"/>
    <w:rsid w:val="1B356450"/>
    <w:rsid w:val="1B373F76"/>
    <w:rsid w:val="1B375D24"/>
    <w:rsid w:val="1B385EE5"/>
    <w:rsid w:val="1B387F3D"/>
    <w:rsid w:val="1B3A0805"/>
    <w:rsid w:val="1B3A34BE"/>
    <w:rsid w:val="1B3A75C2"/>
    <w:rsid w:val="1B3B0802"/>
    <w:rsid w:val="1B3B1CB8"/>
    <w:rsid w:val="1B3E4EA6"/>
    <w:rsid w:val="1B3F42BB"/>
    <w:rsid w:val="1B41027F"/>
    <w:rsid w:val="1B414DF5"/>
    <w:rsid w:val="1B416BA3"/>
    <w:rsid w:val="1B41770D"/>
    <w:rsid w:val="1B4262FD"/>
    <w:rsid w:val="1B462447"/>
    <w:rsid w:val="1B466BBD"/>
    <w:rsid w:val="1B470C7B"/>
    <w:rsid w:val="1B472E09"/>
    <w:rsid w:val="1B473FE5"/>
    <w:rsid w:val="1B485AE5"/>
    <w:rsid w:val="1B4A4141"/>
    <w:rsid w:val="1B4B7A22"/>
    <w:rsid w:val="1B4C1DF3"/>
    <w:rsid w:val="1B4C2B0C"/>
    <w:rsid w:val="1B4F45BE"/>
    <w:rsid w:val="1B4F683C"/>
    <w:rsid w:val="1B527002"/>
    <w:rsid w:val="1B532C20"/>
    <w:rsid w:val="1B5374D6"/>
    <w:rsid w:val="1B544B28"/>
    <w:rsid w:val="1B5728FE"/>
    <w:rsid w:val="1B577470"/>
    <w:rsid w:val="1B582F76"/>
    <w:rsid w:val="1B5B1665"/>
    <w:rsid w:val="1B5B43A4"/>
    <w:rsid w:val="1B5B7B3E"/>
    <w:rsid w:val="1B5C307A"/>
    <w:rsid w:val="1B5E64BF"/>
    <w:rsid w:val="1B5F12B0"/>
    <w:rsid w:val="1B5F1787"/>
    <w:rsid w:val="1B602520"/>
    <w:rsid w:val="1B630EA1"/>
    <w:rsid w:val="1B6520CE"/>
    <w:rsid w:val="1B6537C0"/>
    <w:rsid w:val="1B6637B5"/>
    <w:rsid w:val="1B6720A5"/>
    <w:rsid w:val="1B6803D5"/>
    <w:rsid w:val="1B691D43"/>
    <w:rsid w:val="1B6A434C"/>
    <w:rsid w:val="1B6A5108"/>
    <w:rsid w:val="1B6B7632"/>
    <w:rsid w:val="1B6C3361"/>
    <w:rsid w:val="1B6D4303"/>
    <w:rsid w:val="1B6F1962"/>
    <w:rsid w:val="1B6F2614"/>
    <w:rsid w:val="1B704FC5"/>
    <w:rsid w:val="1B721452"/>
    <w:rsid w:val="1B730D89"/>
    <w:rsid w:val="1B73563B"/>
    <w:rsid w:val="1B744685"/>
    <w:rsid w:val="1B74567B"/>
    <w:rsid w:val="1B751B6D"/>
    <w:rsid w:val="1B75684C"/>
    <w:rsid w:val="1B762CE2"/>
    <w:rsid w:val="1B766860"/>
    <w:rsid w:val="1B7766AD"/>
    <w:rsid w:val="1B785E55"/>
    <w:rsid w:val="1B7927E1"/>
    <w:rsid w:val="1B7A20B5"/>
    <w:rsid w:val="1B7A3E63"/>
    <w:rsid w:val="1B7B0307"/>
    <w:rsid w:val="1B7C0537"/>
    <w:rsid w:val="1B7C5A23"/>
    <w:rsid w:val="1B7C678B"/>
    <w:rsid w:val="1B7D1804"/>
    <w:rsid w:val="1B7F6F38"/>
    <w:rsid w:val="1B813443"/>
    <w:rsid w:val="1B821EC4"/>
    <w:rsid w:val="1B8371BB"/>
    <w:rsid w:val="1B845CA3"/>
    <w:rsid w:val="1B846C34"/>
    <w:rsid w:val="1B860A5A"/>
    <w:rsid w:val="1B8A32CE"/>
    <w:rsid w:val="1B8C0D05"/>
    <w:rsid w:val="1B8D7103"/>
    <w:rsid w:val="1B8D762B"/>
    <w:rsid w:val="1B8E69A0"/>
    <w:rsid w:val="1B9227DD"/>
    <w:rsid w:val="1B9324AC"/>
    <w:rsid w:val="1B950C9D"/>
    <w:rsid w:val="1B95498A"/>
    <w:rsid w:val="1B956ED5"/>
    <w:rsid w:val="1B967397"/>
    <w:rsid w:val="1B98626F"/>
    <w:rsid w:val="1B9A2509"/>
    <w:rsid w:val="1B9A6493"/>
    <w:rsid w:val="1B9D631B"/>
    <w:rsid w:val="1B9E2247"/>
    <w:rsid w:val="1B9E4EC2"/>
    <w:rsid w:val="1B9E5DA3"/>
    <w:rsid w:val="1B9E725C"/>
    <w:rsid w:val="1B9F0216"/>
    <w:rsid w:val="1BA01B1B"/>
    <w:rsid w:val="1BA230F8"/>
    <w:rsid w:val="1BA24AAA"/>
    <w:rsid w:val="1BA3160C"/>
    <w:rsid w:val="1BA3772F"/>
    <w:rsid w:val="1BA46764"/>
    <w:rsid w:val="1BA50273"/>
    <w:rsid w:val="1BA64C58"/>
    <w:rsid w:val="1BAA4748"/>
    <w:rsid w:val="1BAC1099"/>
    <w:rsid w:val="1BAC16B8"/>
    <w:rsid w:val="1BAD4644"/>
    <w:rsid w:val="1BAE3446"/>
    <w:rsid w:val="1BAF1D5E"/>
    <w:rsid w:val="1BAF6654"/>
    <w:rsid w:val="1BB11895"/>
    <w:rsid w:val="1BB170F6"/>
    <w:rsid w:val="1BB2184F"/>
    <w:rsid w:val="1BB3427C"/>
    <w:rsid w:val="1BB4208A"/>
    <w:rsid w:val="1BB42727"/>
    <w:rsid w:val="1BB43819"/>
    <w:rsid w:val="1BB543B0"/>
    <w:rsid w:val="1BB671FC"/>
    <w:rsid w:val="1BBC08B6"/>
    <w:rsid w:val="1BBC5B46"/>
    <w:rsid w:val="1BBF6D24"/>
    <w:rsid w:val="1BBF7C5E"/>
    <w:rsid w:val="1BC03F6C"/>
    <w:rsid w:val="1BC0585B"/>
    <w:rsid w:val="1BC10BCF"/>
    <w:rsid w:val="1BC111D7"/>
    <w:rsid w:val="1BC23738"/>
    <w:rsid w:val="1BC3150C"/>
    <w:rsid w:val="1BC564C2"/>
    <w:rsid w:val="1BC723CA"/>
    <w:rsid w:val="1BC8444C"/>
    <w:rsid w:val="1BC869CB"/>
    <w:rsid w:val="1BC9620B"/>
    <w:rsid w:val="1BCA4DEA"/>
    <w:rsid w:val="1BCD0437"/>
    <w:rsid w:val="1BCF1D74"/>
    <w:rsid w:val="1BCF3BF3"/>
    <w:rsid w:val="1BCF516C"/>
    <w:rsid w:val="1BD110C8"/>
    <w:rsid w:val="1BD139B4"/>
    <w:rsid w:val="1BD143CB"/>
    <w:rsid w:val="1BD23B8E"/>
    <w:rsid w:val="1BD26223"/>
    <w:rsid w:val="1BD801AA"/>
    <w:rsid w:val="1BD9327F"/>
    <w:rsid w:val="1BD97114"/>
    <w:rsid w:val="1BDB2463"/>
    <w:rsid w:val="1BDB584A"/>
    <w:rsid w:val="1BDD1A5F"/>
    <w:rsid w:val="1BDD31B2"/>
    <w:rsid w:val="1BDD4B1E"/>
    <w:rsid w:val="1BDD515D"/>
    <w:rsid w:val="1BDD7954"/>
    <w:rsid w:val="1BDE669C"/>
    <w:rsid w:val="1BDE6861"/>
    <w:rsid w:val="1BDF040E"/>
    <w:rsid w:val="1BE113C5"/>
    <w:rsid w:val="1BE12CA9"/>
    <w:rsid w:val="1BE13D7A"/>
    <w:rsid w:val="1BE1599C"/>
    <w:rsid w:val="1BE16C86"/>
    <w:rsid w:val="1BE23613"/>
    <w:rsid w:val="1BE4120F"/>
    <w:rsid w:val="1BE539D2"/>
    <w:rsid w:val="1BE61250"/>
    <w:rsid w:val="1BE834C2"/>
    <w:rsid w:val="1BE870E9"/>
    <w:rsid w:val="1BEA01F2"/>
    <w:rsid w:val="1BEA2D5B"/>
    <w:rsid w:val="1BEA6EC0"/>
    <w:rsid w:val="1BEB1352"/>
    <w:rsid w:val="1BEB2F3D"/>
    <w:rsid w:val="1BEC6B0F"/>
    <w:rsid w:val="1BEC77DF"/>
    <w:rsid w:val="1BEF1647"/>
    <w:rsid w:val="1BEF177B"/>
    <w:rsid w:val="1BEF5496"/>
    <w:rsid w:val="1BF0367F"/>
    <w:rsid w:val="1BF22A9C"/>
    <w:rsid w:val="1BF241B1"/>
    <w:rsid w:val="1BF24898"/>
    <w:rsid w:val="1BF418F8"/>
    <w:rsid w:val="1BF87CC4"/>
    <w:rsid w:val="1BF9747E"/>
    <w:rsid w:val="1BFA5D88"/>
    <w:rsid w:val="1BFB03B6"/>
    <w:rsid w:val="1BFB2F4B"/>
    <w:rsid w:val="1BFB62D9"/>
    <w:rsid w:val="1BFC5AAE"/>
    <w:rsid w:val="1BFD0D1C"/>
    <w:rsid w:val="1BFD51C0"/>
    <w:rsid w:val="1BFE4A94"/>
    <w:rsid w:val="1BFE7FF4"/>
    <w:rsid w:val="1C010327"/>
    <w:rsid w:val="1C012659"/>
    <w:rsid w:val="1C0142FB"/>
    <w:rsid w:val="1C0143A7"/>
    <w:rsid w:val="1C0210C4"/>
    <w:rsid w:val="1C033E58"/>
    <w:rsid w:val="1C05119F"/>
    <w:rsid w:val="1C064525"/>
    <w:rsid w:val="1C081A0E"/>
    <w:rsid w:val="1C093E03"/>
    <w:rsid w:val="1C097D7D"/>
    <w:rsid w:val="1C0A31F8"/>
    <w:rsid w:val="1C0A42A2"/>
    <w:rsid w:val="1C0B5BF2"/>
    <w:rsid w:val="1C0C37A0"/>
    <w:rsid w:val="1C0C5403"/>
    <w:rsid w:val="1C0D11EB"/>
    <w:rsid w:val="1C0D3F3F"/>
    <w:rsid w:val="1C0E3176"/>
    <w:rsid w:val="1C0F2C5C"/>
    <w:rsid w:val="1C0F4EF3"/>
    <w:rsid w:val="1C1010F1"/>
    <w:rsid w:val="1C131205"/>
    <w:rsid w:val="1C1342E0"/>
    <w:rsid w:val="1C14110F"/>
    <w:rsid w:val="1C1425F4"/>
    <w:rsid w:val="1C143BB2"/>
    <w:rsid w:val="1C146065"/>
    <w:rsid w:val="1C152E84"/>
    <w:rsid w:val="1C156F10"/>
    <w:rsid w:val="1C163278"/>
    <w:rsid w:val="1C167390"/>
    <w:rsid w:val="1C17056A"/>
    <w:rsid w:val="1C174812"/>
    <w:rsid w:val="1C183B46"/>
    <w:rsid w:val="1C192582"/>
    <w:rsid w:val="1C1A0BE2"/>
    <w:rsid w:val="1C1A6025"/>
    <w:rsid w:val="1C1B0031"/>
    <w:rsid w:val="1C1C1398"/>
    <w:rsid w:val="1C1D13BE"/>
    <w:rsid w:val="1C1E4349"/>
    <w:rsid w:val="1C1E6EE4"/>
    <w:rsid w:val="1C1E7DA0"/>
    <w:rsid w:val="1C2002B7"/>
    <w:rsid w:val="1C2241CD"/>
    <w:rsid w:val="1C2263EA"/>
    <w:rsid w:val="1C2300FD"/>
    <w:rsid w:val="1C235D8A"/>
    <w:rsid w:val="1C237139"/>
    <w:rsid w:val="1C2428E7"/>
    <w:rsid w:val="1C25283A"/>
    <w:rsid w:val="1C2555E3"/>
    <w:rsid w:val="1C25596B"/>
    <w:rsid w:val="1C255FA0"/>
    <w:rsid w:val="1C277732"/>
    <w:rsid w:val="1C284F2A"/>
    <w:rsid w:val="1C295ECB"/>
    <w:rsid w:val="1C295FB5"/>
    <w:rsid w:val="1C297828"/>
    <w:rsid w:val="1C2A5889"/>
    <w:rsid w:val="1C2A6980"/>
    <w:rsid w:val="1C2B31A5"/>
    <w:rsid w:val="1C2C3A61"/>
    <w:rsid w:val="1C2E42B9"/>
    <w:rsid w:val="1C2F117C"/>
    <w:rsid w:val="1C3033AC"/>
    <w:rsid w:val="1C31162C"/>
    <w:rsid w:val="1C313A32"/>
    <w:rsid w:val="1C321457"/>
    <w:rsid w:val="1C332870"/>
    <w:rsid w:val="1C33473D"/>
    <w:rsid w:val="1C356329"/>
    <w:rsid w:val="1C370605"/>
    <w:rsid w:val="1C384078"/>
    <w:rsid w:val="1C3913E1"/>
    <w:rsid w:val="1C3B520E"/>
    <w:rsid w:val="1C3D061A"/>
    <w:rsid w:val="1C3E7D13"/>
    <w:rsid w:val="1C400181"/>
    <w:rsid w:val="1C405787"/>
    <w:rsid w:val="1C412D52"/>
    <w:rsid w:val="1C4154C2"/>
    <w:rsid w:val="1C427EC4"/>
    <w:rsid w:val="1C4416D3"/>
    <w:rsid w:val="1C447F92"/>
    <w:rsid w:val="1C482575"/>
    <w:rsid w:val="1C485EE4"/>
    <w:rsid w:val="1C4955DC"/>
    <w:rsid w:val="1C4C6D85"/>
    <w:rsid w:val="1C4D31E4"/>
    <w:rsid w:val="1C4D4E8E"/>
    <w:rsid w:val="1C4D5F68"/>
    <w:rsid w:val="1C4E4EB7"/>
    <w:rsid w:val="1C4E63EC"/>
    <w:rsid w:val="1C4F3B2F"/>
    <w:rsid w:val="1C4F6056"/>
    <w:rsid w:val="1C4F67E6"/>
    <w:rsid w:val="1C503CB6"/>
    <w:rsid w:val="1C511068"/>
    <w:rsid w:val="1C5237EF"/>
    <w:rsid w:val="1C531930"/>
    <w:rsid w:val="1C534BC7"/>
    <w:rsid w:val="1C5446B4"/>
    <w:rsid w:val="1C550F57"/>
    <w:rsid w:val="1C5560D2"/>
    <w:rsid w:val="1C584C30"/>
    <w:rsid w:val="1C5A1652"/>
    <w:rsid w:val="1C5A50E2"/>
    <w:rsid w:val="1C5A5ECD"/>
    <w:rsid w:val="1C5F63A6"/>
    <w:rsid w:val="1C6012AB"/>
    <w:rsid w:val="1C613625"/>
    <w:rsid w:val="1C622443"/>
    <w:rsid w:val="1C623F9F"/>
    <w:rsid w:val="1C6270FC"/>
    <w:rsid w:val="1C640C0B"/>
    <w:rsid w:val="1C6475FC"/>
    <w:rsid w:val="1C682FA0"/>
    <w:rsid w:val="1C683035"/>
    <w:rsid w:val="1C686549"/>
    <w:rsid w:val="1C686A07"/>
    <w:rsid w:val="1C686DDC"/>
    <w:rsid w:val="1C687919"/>
    <w:rsid w:val="1C694603"/>
    <w:rsid w:val="1C6A62F0"/>
    <w:rsid w:val="1C6B61C2"/>
    <w:rsid w:val="1C6C06B2"/>
    <w:rsid w:val="1C6C6B9D"/>
    <w:rsid w:val="1C713186"/>
    <w:rsid w:val="1C73204A"/>
    <w:rsid w:val="1C7639E1"/>
    <w:rsid w:val="1C76752A"/>
    <w:rsid w:val="1C767B21"/>
    <w:rsid w:val="1C77347C"/>
    <w:rsid w:val="1C775D7C"/>
    <w:rsid w:val="1C7825A2"/>
    <w:rsid w:val="1C79702B"/>
    <w:rsid w:val="1C7A5D5E"/>
    <w:rsid w:val="1C7B531C"/>
    <w:rsid w:val="1C7C0639"/>
    <w:rsid w:val="1C7C2380"/>
    <w:rsid w:val="1C7C4625"/>
    <w:rsid w:val="1C7D0D4C"/>
    <w:rsid w:val="1C7D1E5D"/>
    <w:rsid w:val="1C7D3C04"/>
    <w:rsid w:val="1C7E6AF6"/>
    <w:rsid w:val="1C7F5BD5"/>
    <w:rsid w:val="1C830047"/>
    <w:rsid w:val="1C835152"/>
    <w:rsid w:val="1C837EA5"/>
    <w:rsid w:val="1C84080D"/>
    <w:rsid w:val="1C843813"/>
    <w:rsid w:val="1C845425"/>
    <w:rsid w:val="1C857540"/>
    <w:rsid w:val="1C8808FA"/>
    <w:rsid w:val="1C881008"/>
    <w:rsid w:val="1C8820A5"/>
    <w:rsid w:val="1C8834C4"/>
    <w:rsid w:val="1C88473B"/>
    <w:rsid w:val="1C886BCD"/>
    <w:rsid w:val="1C894A3D"/>
    <w:rsid w:val="1C8A7A20"/>
    <w:rsid w:val="1C8B5645"/>
    <w:rsid w:val="1C8B5FB5"/>
    <w:rsid w:val="1C8D393B"/>
    <w:rsid w:val="1C8E406A"/>
    <w:rsid w:val="1C901646"/>
    <w:rsid w:val="1C960F7B"/>
    <w:rsid w:val="1C973F8C"/>
    <w:rsid w:val="1C983511"/>
    <w:rsid w:val="1C98720E"/>
    <w:rsid w:val="1C98760D"/>
    <w:rsid w:val="1C99437C"/>
    <w:rsid w:val="1C9A5DB1"/>
    <w:rsid w:val="1C9A5E8B"/>
    <w:rsid w:val="1C9C36AC"/>
    <w:rsid w:val="1C9D4211"/>
    <w:rsid w:val="1C9D5489"/>
    <w:rsid w:val="1C9E24D3"/>
    <w:rsid w:val="1C9F64C3"/>
    <w:rsid w:val="1CA0270C"/>
    <w:rsid w:val="1CA07888"/>
    <w:rsid w:val="1CA3357F"/>
    <w:rsid w:val="1CA4281C"/>
    <w:rsid w:val="1CA46B39"/>
    <w:rsid w:val="1CA556AB"/>
    <w:rsid w:val="1CA56D0A"/>
    <w:rsid w:val="1CA62DD6"/>
    <w:rsid w:val="1CA84C67"/>
    <w:rsid w:val="1CA93FBD"/>
    <w:rsid w:val="1CA9401A"/>
    <w:rsid w:val="1CAA0778"/>
    <w:rsid w:val="1CAA533B"/>
    <w:rsid w:val="1CAB1017"/>
    <w:rsid w:val="1CAB2DF4"/>
    <w:rsid w:val="1CAC2CE8"/>
    <w:rsid w:val="1CAC36A6"/>
    <w:rsid w:val="1CAD5509"/>
    <w:rsid w:val="1CAE1F1C"/>
    <w:rsid w:val="1CAE7202"/>
    <w:rsid w:val="1CAF0249"/>
    <w:rsid w:val="1CAF153A"/>
    <w:rsid w:val="1CB049EF"/>
    <w:rsid w:val="1CB13868"/>
    <w:rsid w:val="1CB15807"/>
    <w:rsid w:val="1CB258B3"/>
    <w:rsid w:val="1CB258D2"/>
    <w:rsid w:val="1CB31DA9"/>
    <w:rsid w:val="1CB338D9"/>
    <w:rsid w:val="1CB36568"/>
    <w:rsid w:val="1CB405E1"/>
    <w:rsid w:val="1CB763CB"/>
    <w:rsid w:val="1CB822C4"/>
    <w:rsid w:val="1CB97944"/>
    <w:rsid w:val="1CBB1081"/>
    <w:rsid w:val="1CBB228B"/>
    <w:rsid w:val="1CBC71C1"/>
    <w:rsid w:val="1CBD04AB"/>
    <w:rsid w:val="1CBF11D3"/>
    <w:rsid w:val="1CBF3D37"/>
    <w:rsid w:val="1CBF5055"/>
    <w:rsid w:val="1CC022B7"/>
    <w:rsid w:val="1CC24BDE"/>
    <w:rsid w:val="1CC445AD"/>
    <w:rsid w:val="1CC47A8B"/>
    <w:rsid w:val="1CC47DA2"/>
    <w:rsid w:val="1CC50B01"/>
    <w:rsid w:val="1CC63804"/>
    <w:rsid w:val="1CC96E50"/>
    <w:rsid w:val="1CCA672A"/>
    <w:rsid w:val="1CCB0E1A"/>
    <w:rsid w:val="1CCB706C"/>
    <w:rsid w:val="1CCB7BBA"/>
    <w:rsid w:val="1CCC2F0C"/>
    <w:rsid w:val="1CCC5846"/>
    <w:rsid w:val="1CD001DE"/>
    <w:rsid w:val="1CD11A28"/>
    <w:rsid w:val="1CD13F56"/>
    <w:rsid w:val="1CD203FA"/>
    <w:rsid w:val="1CD22DC8"/>
    <w:rsid w:val="1CD23654"/>
    <w:rsid w:val="1CD243BB"/>
    <w:rsid w:val="1CD25D87"/>
    <w:rsid w:val="1CD34549"/>
    <w:rsid w:val="1CD407F7"/>
    <w:rsid w:val="1CD47AAD"/>
    <w:rsid w:val="1CD502E5"/>
    <w:rsid w:val="1CD52B39"/>
    <w:rsid w:val="1CD53D39"/>
    <w:rsid w:val="1CD679F9"/>
    <w:rsid w:val="1CD777BF"/>
    <w:rsid w:val="1CDB4ADE"/>
    <w:rsid w:val="1CDC3027"/>
    <w:rsid w:val="1CDC7FA8"/>
    <w:rsid w:val="1CE02723"/>
    <w:rsid w:val="1CE117AE"/>
    <w:rsid w:val="1CE16006"/>
    <w:rsid w:val="1CE25C42"/>
    <w:rsid w:val="1CE4338F"/>
    <w:rsid w:val="1CE50760"/>
    <w:rsid w:val="1CE6685A"/>
    <w:rsid w:val="1CEA31D1"/>
    <w:rsid w:val="1CEA4B00"/>
    <w:rsid w:val="1CEB1134"/>
    <w:rsid w:val="1CEB6A89"/>
    <w:rsid w:val="1CEC289E"/>
    <w:rsid w:val="1CEC2B3E"/>
    <w:rsid w:val="1CED708E"/>
    <w:rsid w:val="1CEF43E3"/>
    <w:rsid w:val="1CEF79FF"/>
    <w:rsid w:val="1CEF7F37"/>
    <w:rsid w:val="1CF10155"/>
    <w:rsid w:val="1CF111F1"/>
    <w:rsid w:val="1CF11FEE"/>
    <w:rsid w:val="1CF13015"/>
    <w:rsid w:val="1CF20B36"/>
    <w:rsid w:val="1CF417DD"/>
    <w:rsid w:val="1CF41C9A"/>
    <w:rsid w:val="1CF47D1C"/>
    <w:rsid w:val="1CF53A0D"/>
    <w:rsid w:val="1CF643E7"/>
    <w:rsid w:val="1CF64C7B"/>
    <w:rsid w:val="1CF754A3"/>
    <w:rsid w:val="1CF7709A"/>
    <w:rsid w:val="1CF900BF"/>
    <w:rsid w:val="1CF928A3"/>
    <w:rsid w:val="1CFA325C"/>
    <w:rsid w:val="1CFA5012"/>
    <w:rsid w:val="1CFB7D84"/>
    <w:rsid w:val="1CFC11B5"/>
    <w:rsid w:val="1CFC1581"/>
    <w:rsid w:val="1CFC5477"/>
    <w:rsid w:val="1CFD2714"/>
    <w:rsid w:val="1CFF0AC4"/>
    <w:rsid w:val="1CFF5E79"/>
    <w:rsid w:val="1D0011FE"/>
    <w:rsid w:val="1D001CF7"/>
    <w:rsid w:val="1D0211D2"/>
    <w:rsid w:val="1D050AAF"/>
    <w:rsid w:val="1D05392E"/>
    <w:rsid w:val="1D055800"/>
    <w:rsid w:val="1D073A71"/>
    <w:rsid w:val="1D0832F6"/>
    <w:rsid w:val="1D0A4B3C"/>
    <w:rsid w:val="1D0A7054"/>
    <w:rsid w:val="1D0B3DA2"/>
    <w:rsid w:val="1D0B504C"/>
    <w:rsid w:val="1D0C7C22"/>
    <w:rsid w:val="1D0D31E0"/>
    <w:rsid w:val="1D0D4F6E"/>
    <w:rsid w:val="1D0E0D07"/>
    <w:rsid w:val="1D0E6F59"/>
    <w:rsid w:val="1D0F6E9D"/>
    <w:rsid w:val="1D1005CD"/>
    <w:rsid w:val="1D100F23"/>
    <w:rsid w:val="1D12234E"/>
    <w:rsid w:val="1D123BD6"/>
    <w:rsid w:val="1D137198"/>
    <w:rsid w:val="1D141560"/>
    <w:rsid w:val="1D15185D"/>
    <w:rsid w:val="1D1947CE"/>
    <w:rsid w:val="1D195EE3"/>
    <w:rsid w:val="1D197650"/>
    <w:rsid w:val="1D197CC6"/>
    <w:rsid w:val="1D1A24FA"/>
    <w:rsid w:val="1D1E53EE"/>
    <w:rsid w:val="1D1E5C4F"/>
    <w:rsid w:val="1D1F4CC2"/>
    <w:rsid w:val="1D2243BA"/>
    <w:rsid w:val="1D244763"/>
    <w:rsid w:val="1D270412"/>
    <w:rsid w:val="1D2767B8"/>
    <w:rsid w:val="1D281090"/>
    <w:rsid w:val="1D291FE4"/>
    <w:rsid w:val="1D295618"/>
    <w:rsid w:val="1D297720"/>
    <w:rsid w:val="1D2A05D5"/>
    <w:rsid w:val="1D2B171F"/>
    <w:rsid w:val="1D2B1A65"/>
    <w:rsid w:val="1D2B305F"/>
    <w:rsid w:val="1D2B7FAB"/>
    <w:rsid w:val="1D2D35F7"/>
    <w:rsid w:val="1D2D5293"/>
    <w:rsid w:val="1D2E6DE2"/>
    <w:rsid w:val="1D2F4414"/>
    <w:rsid w:val="1D2F704E"/>
    <w:rsid w:val="1D303102"/>
    <w:rsid w:val="1D306E83"/>
    <w:rsid w:val="1D324E1C"/>
    <w:rsid w:val="1D334D63"/>
    <w:rsid w:val="1D350989"/>
    <w:rsid w:val="1D352737"/>
    <w:rsid w:val="1D355DE6"/>
    <w:rsid w:val="1D365DEA"/>
    <w:rsid w:val="1D3679F9"/>
    <w:rsid w:val="1D374356"/>
    <w:rsid w:val="1D3A2C59"/>
    <w:rsid w:val="1D3C1140"/>
    <w:rsid w:val="1D3E3EE2"/>
    <w:rsid w:val="1D3E67F9"/>
    <w:rsid w:val="1D3E6C67"/>
    <w:rsid w:val="1D412E8A"/>
    <w:rsid w:val="1D4200FB"/>
    <w:rsid w:val="1D434E54"/>
    <w:rsid w:val="1D440BCC"/>
    <w:rsid w:val="1D461C92"/>
    <w:rsid w:val="1D472933"/>
    <w:rsid w:val="1D4A61EE"/>
    <w:rsid w:val="1D4C1905"/>
    <w:rsid w:val="1D4D000A"/>
    <w:rsid w:val="1D4D7A81"/>
    <w:rsid w:val="1D4E37F9"/>
    <w:rsid w:val="1D50293C"/>
    <w:rsid w:val="1D512FF0"/>
    <w:rsid w:val="1D5176F2"/>
    <w:rsid w:val="1D531D19"/>
    <w:rsid w:val="1D533C1F"/>
    <w:rsid w:val="1D535E69"/>
    <w:rsid w:val="1D556936"/>
    <w:rsid w:val="1D5653FB"/>
    <w:rsid w:val="1D587C22"/>
    <w:rsid w:val="1D5A3AB3"/>
    <w:rsid w:val="1D5A4FEC"/>
    <w:rsid w:val="1D5A6E35"/>
    <w:rsid w:val="1D5B0503"/>
    <w:rsid w:val="1D5C7CC4"/>
    <w:rsid w:val="1D5F5C84"/>
    <w:rsid w:val="1D605385"/>
    <w:rsid w:val="1D616326"/>
    <w:rsid w:val="1D617689"/>
    <w:rsid w:val="1D62071D"/>
    <w:rsid w:val="1D631052"/>
    <w:rsid w:val="1D634F62"/>
    <w:rsid w:val="1D6416CF"/>
    <w:rsid w:val="1D646B79"/>
    <w:rsid w:val="1D657B93"/>
    <w:rsid w:val="1D687D08"/>
    <w:rsid w:val="1D6941C3"/>
    <w:rsid w:val="1D6A18C9"/>
    <w:rsid w:val="1D6A2484"/>
    <w:rsid w:val="1D6A5B2A"/>
    <w:rsid w:val="1D6C3CB5"/>
    <w:rsid w:val="1D6C44BA"/>
    <w:rsid w:val="1D6E430A"/>
    <w:rsid w:val="1D6E4A05"/>
    <w:rsid w:val="1D6E66DB"/>
    <w:rsid w:val="1D71363B"/>
    <w:rsid w:val="1D721295"/>
    <w:rsid w:val="1D7213FB"/>
    <w:rsid w:val="1D752084"/>
    <w:rsid w:val="1D777B55"/>
    <w:rsid w:val="1D7836FA"/>
    <w:rsid w:val="1D791D07"/>
    <w:rsid w:val="1D791FB4"/>
    <w:rsid w:val="1D7B236D"/>
    <w:rsid w:val="1D7C2114"/>
    <w:rsid w:val="1D7C68A0"/>
    <w:rsid w:val="1D7D1D97"/>
    <w:rsid w:val="1D7D4391"/>
    <w:rsid w:val="1D7E1239"/>
    <w:rsid w:val="1D7E221E"/>
    <w:rsid w:val="1D840FC9"/>
    <w:rsid w:val="1D84721B"/>
    <w:rsid w:val="1D847A9F"/>
    <w:rsid w:val="1D8608D3"/>
    <w:rsid w:val="1D881726"/>
    <w:rsid w:val="1D8845BF"/>
    <w:rsid w:val="1D893332"/>
    <w:rsid w:val="1D893C20"/>
    <w:rsid w:val="1D8B4C93"/>
    <w:rsid w:val="1D8B4DA1"/>
    <w:rsid w:val="1D8C7022"/>
    <w:rsid w:val="1D8D39D3"/>
    <w:rsid w:val="1D903E12"/>
    <w:rsid w:val="1D905BC0"/>
    <w:rsid w:val="1D9069EE"/>
    <w:rsid w:val="1D907783"/>
    <w:rsid w:val="1D9236E6"/>
    <w:rsid w:val="1D927B8A"/>
    <w:rsid w:val="1D936104"/>
    <w:rsid w:val="1D9413D1"/>
    <w:rsid w:val="1D952DC8"/>
    <w:rsid w:val="1D960ECA"/>
    <w:rsid w:val="1D967E35"/>
    <w:rsid w:val="1D9779A5"/>
    <w:rsid w:val="1D980AE6"/>
    <w:rsid w:val="1D994A74"/>
    <w:rsid w:val="1D9A07EC"/>
    <w:rsid w:val="1D9A3406"/>
    <w:rsid w:val="1D9A5B6C"/>
    <w:rsid w:val="1D9B205F"/>
    <w:rsid w:val="1D9C71AB"/>
    <w:rsid w:val="1D9D035D"/>
    <w:rsid w:val="1D9D1D87"/>
    <w:rsid w:val="1D9D2D13"/>
    <w:rsid w:val="1D9E0333"/>
    <w:rsid w:val="1D9E6340"/>
    <w:rsid w:val="1D9F120E"/>
    <w:rsid w:val="1D9F2A4D"/>
    <w:rsid w:val="1DA005CD"/>
    <w:rsid w:val="1DA03307"/>
    <w:rsid w:val="1DA10708"/>
    <w:rsid w:val="1DA1172A"/>
    <w:rsid w:val="1DA304B8"/>
    <w:rsid w:val="1DA52773"/>
    <w:rsid w:val="1DA578BD"/>
    <w:rsid w:val="1DA606FA"/>
    <w:rsid w:val="1DA63635"/>
    <w:rsid w:val="1DA65BF0"/>
    <w:rsid w:val="1DA668AA"/>
    <w:rsid w:val="1DA6697D"/>
    <w:rsid w:val="1DA8231E"/>
    <w:rsid w:val="1DA90A2F"/>
    <w:rsid w:val="1DAA17BA"/>
    <w:rsid w:val="1DAA32AF"/>
    <w:rsid w:val="1DAB5AF4"/>
    <w:rsid w:val="1DAC3FDE"/>
    <w:rsid w:val="1DAD0520"/>
    <w:rsid w:val="1DAD06C8"/>
    <w:rsid w:val="1DAD574A"/>
    <w:rsid w:val="1DAE5592"/>
    <w:rsid w:val="1DAF4CFD"/>
    <w:rsid w:val="1DB01DBE"/>
    <w:rsid w:val="1DB2171B"/>
    <w:rsid w:val="1DB25B36"/>
    <w:rsid w:val="1DB27864"/>
    <w:rsid w:val="1DB41099"/>
    <w:rsid w:val="1DB5000E"/>
    <w:rsid w:val="1DB6149E"/>
    <w:rsid w:val="1DB666D0"/>
    <w:rsid w:val="1DB77AB0"/>
    <w:rsid w:val="1DB95116"/>
    <w:rsid w:val="1DBA58D8"/>
    <w:rsid w:val="1DBB5B35"/>
    <w:rsid w:val="1DBB7F27"/>
    <w:rsid w:val="1DBC54C5"/>
    <w:rsid w:val="1DBC5E2F"/>
    <w:rsid w:val="1DBD130F"/>
    <w:rsid w:val="1DBE2936"/>
    <w:rsid w:val="1DC06D1D"/>
    <w:rsid w:val="1DC2705B"/>
    <w:rsid w:val="1DC53ABB"/>
    <w:rsid w:val="1DC61BC1"/>
    <w:rsid w:val="1DC6432B"/>
    <w:rsid w:val="1DC64C25"/>
    <w:rsid w:val="1DC72423"/>
    <w:rsid w:val="1DC85359"/>
    <w:rsid w:val="1DC96404"/>
    <w:rsid w:val="1DCA306A"/>
    <w:rsid w:val="1DCA5075"/>
    <w:rsid w:val="1DCA7323"/>
    <w:rsid w:val="1DCC46A0"/>
    <w:rsid w:val="1DCD0D39"/>
    <w:rsid w:val="1DCE102F"/>
    <w:rsid w:val="1DCE3B9A"/>
    <w:rsid w:val="1DCF0982"/>
    <w:rsid w:val="1DD0420E"/>
    <w:rsid w:val="1DD35239"/>
    <w:rsid w:val="1DD40345"/>
    <w:rsid w:val="1DD42637"/>
    <w:rsid w:val="1DD5301B"/>
    <w:rsid w:val="1DD73546"/>
    <w:rsid w:val="1DD751AF"/>
    <w:rsid w:val="1DD82B9E"/>
    <w:rsid w:val="1DD937EE"/>
    <w:rsid w:val="1DD952E6"/>
    <w:rsid w:val="1DD9663B"/>
    <w:rsid w:val="1DDA08BB"/>
    <w:rsid w:val="1DDA6A46"/>
    <w:rsid w:val="1DDA6F1F"/>
    <w:rsid w:val="1DDB4F4E"/>
    <w:rsid w:val="1DDC054B"/>
    <w:rsid w:val="1DDD1BD4"/>
    <w:rsid w:val="1DDF07A3"/>
    <w:rsid w:val="1DDF4515"/>
    <w:rsid w:val="1DE24594"/>
    <w:rsid w:val="1DE50EAD"/>
    <w:rsid w:val="1DE51C5F"/>
    <w:rsid w:val="1DE976B6"/>
    <w:rsid w:val="1DE97A35"/>
    <w:rsid w:val="1DEB391C"/>
    <w:rsid w:val="1DEF1CE0"/>
    <w:rsid w:val="1DEF5476"/>
    <w:rsid w:val="1DF14214"/>
    <w:rsid w:val="1DF1459E"/>
    <w:rsid w:val="1DF14D91"/>
    <w:rsid w:val="1DF20E20"/>
    <w:rsid w:val="1DF306F2"/>
    <w:rsid w:val="1DF3594C"/>
    <w:rsid w:val="1DF409A0"/>
    <w:rsid w:val="1DF42051"/>
    <w:rsid w:val="1DF56C81"/>
    <w:rsid w:val="1DF71000"/>
    <w:rsid w:val="1DF872B6"/>
    <w:rsid w:val="1DFA398C"/>
    <w:rsid w:val="1DFA4F68"/>
    <w:rsid w:val="1DFB74DD"/>
    <w:rsid w:val="1DFB7B75"/>
    <w:rsid w:val="1DFB7BD2"/>
    <w:rsid w:val="1DFB7D28"/>
    <w:rsid w:val="1DFD6AD8"/>
    <w:rsid w:val="1DFF7785"/>
    <w:rsid w:val="1E0104B3"/>
    <w:rsid w:val="1E013217"/>
    <w:rsid w:val="1E013FFC"/>
    <w:rsid w:val="1E025270"/>
    <w:rsid w:val="1E026A6D"/>
    <w:rsid w:val="1E026ABD"/>
    <w:rsid w:val="1E03430E"/>
    <w:rsid w:val="1E036392"/>
    <w:rsid w:val="1E04456D"/>
    <w:rsid w:val="1E05035C"/>
    <w:rsid w:val="1E0526C2"/>
    <w:rsid w:val="1E05365B"/>
    <w:rsid w:val="1E054EC0"/>
    <w:rsid w:val="1E07311D"/>
    <w:rsid w:val="1E08464C"/>
    <w:rsid w:val="1E087EE5"/>
    <w:rsid w:val="1E0A001A"/>
    <w:rsid w:val="1E0A5972"/>
    <w:rsid w:val="1E0B29E7"/>
    <w:rsid w:val="1E0B56CF"/>
    <w:rsid w:val="1E0D0FBE"/>
    <w:rsid w:val="1E0D2756"/>
    <w:rsid w:val="1E0D2DFB"/>
    <w:rsid w:val="1E0E7789"/>
    <w:rsid w:val="1E0F3DC8"/>
    <w:rsid w:val="1E0F68FA"/>
    <w:rsid w:val="1E102DDA"/>
    <w:rsid w:val="1E1265D5"/>
    <w:rsid w:val="1E137E05"/>
    <w:rsid w:val="1E140076"/>
    <w:rsid w:val="1E164317"/>
    <w:rsid w:val="1E172D69"/>
    <w:rsid w:val="1E182995"/>
    <w:rsid w:val="1E195BB5"/>
    <w:rsid w:val="1E1A3B08"/>
    <w:rsid w:val="1E1A5D2C"/>
    <w:rsid w:val="1E1B192D"/>
    <w:rsid w:val="1E1C2390"/>
    <w:rsid w:val="1E1C3A65"/>
    <w:rsid w:val="1E1D39B2"/>
    <w:rsid w:val="1E1D5937"/>
    <w:rsid w:val="1E1E18EE"/>
    <w:rsid w:val="1E1E31CB"/>
    <w:rsid w:val="1E1E4F79"/>
    <w:rsid w:val="1E1F12A4"/>
    <w:rsid w:val="1E1F1B54"/>
    <w:rsid w:val="1E1F4120"/>
    <w:rsid w:val="1E201BDE"/>
    <w:rsid w:val="1E20600C"/>
    <w:rsid w:val="1E20668B"/>
    <w:rsid w:val="1E2136BE"/>
    <w:rsid w:val="1E22708F"/>
    <w:rsid w:val="1E227924"/>
    <w:rsid w:val="1E2459F5"/>
    <w:rsid w:val="1E26477C"/>
    <w:rsid w:val="1E2754DF"/>
    <w:rsid w:val="1E293379"/>
    <w:rsid w:val="1E295521"/>
    <w:rsid w:val="1E297E7C"/>
    <w:rsid w:val="1E2A1B70"/>
    <w:rsid w:val="1E2A55DE"/>
    <w:rsid w:val="1E2B1334"/>
    <w:rsid w:val="1E2B3897"/>
    <w:rsid w:val="1E2C3C00"/>
    <w:rsid w:val="1E322F71"/>
    <w:rsid w:val="1E3440AA"/>
    <w:rsid w:val="1E34544D"/>
    <w:rsid w:val="1E346CF2"/>
    <w:rsid w:val="1E37428D"/>
    <w:rsid w:val="1E3754F9"/>
    <w:rsid w:val="1E376B0A"/>
    <w:rsid w:val="1E3821EF"/>
    <w:rsid w:val="1E3C054E"/>
    <w:rsid w:val="1E3E25B4"/>
    <w:rsid w:val="1E3E2EAE"/>
    <w:rsid w:val="1E3E377A"/>
    <w:rsid w:val="1E3E561C"/>
    <w:rsid w:val="1E3E73CA"/>
    <w:rsid w:val="1E4333E4"/>
    <w:rsid w:val="1E441E5E"/>
    <w:rsid w:val="1E454B62"/>
    <w:rsid w:val="1E474BEE"/>
    <w:rsid w:val="1E480DAA"/>
    <w:rsid w:val="1E480F24"/>
    <w:rsid w:val="1E4A17CE"/>
    <w:rsid w:val="1E4A5364"/>
    <w:rsid w:val="1E4A5D87"/>
    <w:rsid w:val="1E4B608C"/>
    <w:rsid w:val="1E4E1D03"/>
    <w:rsid w:val="1E4E3AB1"/>
    <w:rsid w:val="1E530DEE"/>
    <w:rsid w:val="1E532CDD"/>
    <w:rsid w:val="1E541DFD"/>
    <w:rsid w:val="1E546BED"/>
    <w:rsid w:val="1E551096"/>
    <w:rsid w:val="1E560BB7"/>
    <w:rsid w:val="1E566655"/>
    <w:rsid w:val="1E577B21"/>
    <w:rsid w:val="1E5817D5"/>
    <w:rsid w:val="1E584557"/>
    <w:rsid w:val="1E58492F"/>
    <w:rsid w:val="1E591960"/>
    <w:rsid w:val="1E592181"/>
    <w:rsid w:val="1E594203"/>
    <w:rsid w:val="1E5C1C6B"/>
    <w:rsid w:val="1E5C43BC"/>
    <w:rsid w:val="1E5D3489"/>
    <w:rsid w:val="1E5E7A6C"/>
    <w:rsid w:val="1E6013EF"/>
    <w:rsid w:val="1E60403B"/>
    <w:rsid w:val="1E605592"/>
    <w:rsid w:val="1E6208C1"/>
    <w:rsid w:val="1E623E81"/>
    <w:rsid w:val="1E6311F9"/>
    <w:rsid w:val="1E640022"/>
    <w:rsid w:val="1E645676"/>
    <w:rsid w:val="1E6515C5"/>
    <w:rsid w:val="1E661B47"/>
    <w:rsid w:val="1E6B474B"/>
    <w:rsid w:val="1E6C2189"/>
    <w:rsid w:val="1E6C6D1B"/>
    <w:rsid w:val="1E6D0ADF"/>
    <w:rsid w:val="1E6E2358"/>
    <w:rsid w:val="1E707EAF"/>
    <w:rsid w:val="1E7252DC"/>
    <w:rsid w:val="1E7265E5"/>
    <w:rsid w:val="1E727B00"/>
    <w:rsid w:val="1E733E3E"/>
    <w:rsid w:val="1E776D73"/>
    <w:rsid w:val="1E7811D7"/>
    <w:rsid w:val="1E786747"/>
    <w:rsid w:val="1E786D7F"/>
    <w:rsid w:val="1E787412"/>
    <w:rsid w:val="1E790CEA"/>
    <w:rsid w:val="1E794994"/>
    <w:rsid w:val="1E796654"/>
    <w:rsid w:val="1E7A24B6"/>
    <w:rsid w:val="1E7A5D89"/>
    <w:rsid w:val="1E7B3054"/>
    <w:rsid w:val="1E7B3D06"/>
    <w:rsid w:val="1E7C3028"/>
    <w:rsid w:val="1E7C37D3"/>
    <w:rsid w:val="1E7C3EAD"/>
    <w:rsid w:val="1E7C5ED0"/>
    <w:rsid w:val="1E7D04F4"/>
    <w:rsid w:val="1E815753"/>
    <w:rsid w:val="1E822B7D"/>
    <w:rsid w:val="1E83112E"/>
    <w:rsid w:val="1E831164"/>
    <w:rsid w:val="1E845724"/>
    <w:rsid w:val="1E850202"/>
    <w:rsid w:val="1E852579"/>
    <w:rsid w:val="1E852668"/>
    <w:rsid w:val="1E8559F3"/>
    <w:rsid w:val="1E861F56"/>
    <w:rsid w:val="1E870D71"/>
    <w:rsid w:val="1E881BAD"/>
    <w:rsid w:val="1E88366B"/>
    <w:rsid w:val="1E884A2B"/>
    <w:rsid w:val="1E8B407E"/>
    <w:rsid w:val="1E8B5C42"/>
    <w:rsid w:val="1E8E20FF"/>
    <w:rsid w:val="1E8E2C79"/>
    <w:rsid w:val="1E8F1F0D"/>
    <w:rsid w:val="1E8F2A93"/>
    <w:rsid w:val="1E911BEF"/>
    <w:rsid w:val="1E933BB9"/>
    <w:rsid w:val="1E93476F"/>
    <w:rsid w:val="1E944A31"/>
    <w:rsid w:val="1E952FBE"/>
    <w:rsid w:val="1E981A6D"/>
    <w:rsid w:val="1E997E42"/>
    <w:rsid w:val="1E9C300C"/>
    <w:rsid w:val="1E9C3309"/>
    <w:rsid w:val="1E9C5063"/>
    <w:rsid w:val="1E9D344C"/>
    <w:rsid w:val="1E9E0256"/>
    <w:rsid w:val="1E9E424B"/>
    <w:rsid w:val="1E9E60BA"/>
    <w:rsid w:val="1EA01E32"/>
    <w:rsid w:val="1EA104E3"/>
    <w:rsid w:val="1EA10F38"/>
    <w:rsid w:val="1EA14212"/>
    <w:rsid w:val="1EA51D2D"/>
    <w:rsid w:val="1EA62707"/>
    <w:rsid w:val="1EA6414F"/>
    <w:rsid w:val="1EA774B8"/>
    <w:rsid w:val="1EAB5F5C"/>
    <w:rsid w:val="1EAC4C7B"/>
    <w:rsid w:val="1EAC5B8B"/>
    <w:rsid w:val="1EAC7E14"/>
    <w:rsid w:val="1EAE31C3"/>
    <w:rsid w:val="1EB07441"/>
    <w:rsid w:val="1EB11208"/>
    <w:rsid w:val="1EB12D29"/>
    <w:rsid w:val="1EB17768"/>
    <w:rsid w:val="1EB27C89"/>
    <w:rsid w:val="1EB27F3B"/>
    <w:rsid w:val="1EB31687"/>
    <w:rsid w:val="1EB31B66"/>
    <w:rsid w:val="1EB33009"/>
    <w:rsid w:val="1EB35685"/>
    <w:rsid w:val="1EB36FD8"/>
    <w:rsid w:val="1EB42C57"/>
    <w:rsid w:val="1EB4555B"/>
    <w:rsid w:val="1EB47989"/>
    <w:rsid w:val="1EB560FD"/>
    <w:rsid w:val="1EBA2EF4"/>
    <w:rsid w:val="1EBA3A7E"/>
    <w:rsid w:val="1EBB0051"/>
    <w:rsid w:val="1EBC2425"/>
    <w:rsid w:val="1EBE4049"/>
    <w:rsid w:val="1EC021F7"/>
    <w:rsid w:val="1EC023AD"/>
    <w:rsid w:val="1EC0575B"/>
    <w:rsid w:val="1EC065F0"/>
    <w:rsid w:val="1EC124AD"/>
    <w:rsid w:val="1EC2624D"/>
    <w:rsid w:val="1EC30CD2"/>
    <w:rsid w:val="1EC45033"/>
    <w:rsid w:val="1EC5130A"/>
    <w:rsid w:val="1EC51899"/>
    <w:rsid w:val="1EC61CE4"/>
    <w:rsid w:val="1EC65F83"/>
    <w:rsid w:val="1EC711BA"/>
    <w:rsid w:val="1EC8008D"/>
    <w:rsid w:val="1EC82BD1"/>
    <w:rsid w:val="1EC91721"/>
    <w:rsid w:val="1ECC75B8"/>
    <w:rsid w:val="1ECE1BCA"/>
    <w:rsid w:val="1ECE6184"/>
    <w:rsid w:val="1ECE7E33"/>
    <w:rsid w:val="1ECF684B"/>
    <w:rsid w:val="1ED11808"/>
    <w:rsid w:val="1ED146E2"/>
    <w:rsid w:val="1ED379DA"/>
    <w:rsid w:val="1ED44A0A"/>
    <w:rsid w:val="1ED75356"/>
    <w:rsid w:val="1ED76371"/>
    <w:rsid w:val="1ED84278"/>
    <w:rsid w:val="1ED84B4B"/>
    <w:rsid w:val="1ED86DE9"/>
    <w:rsid w:val="1ED92F13"/>
    <w:rsid w:val="1ED93ACB"/>
    <w:rsid w:val="1EDA5344"/>
    <w:rsid w:val="1EDA68F9"/>
    <w:rsid w:val="1EDB10BC"/>
    <w:rsid w:val="1EDC02C9"/>
    <w:rsid w:val="1EDC0824"/>
    <w:rsid w:val="1EDC730E"/>
    <w:rsid w:val="1EDD1986"/>
    <w:rsid w:val="1EDD335E"/>
    <w:rsid w:val="1EDE25B8"/>
    <w:rsid w:val="1EDE51C1"/>
    <w:rsid w:val="1EDF41B4"/>
    <w:rsid w:val="1EE12EF6"/>
    <w:rsid w:val="1EE14015"/>
    <w:rsid w:val="1EE53CE9"/>
    <w:rsid w:val="1EE703DC"/>
    <w:rsid w:val="1EE81531"/>
    <w:rsid w:val="1EE93FF0"/>
    <w:rsid w:val="1EEA1BD1"/>
    <w:rsid w:val="1EEB0684"/>
    <w:rsid w:val="1EEB49B5"/>
    <w:rsid w:val="1EF03416"/>
    <w:rsid w:val="1EF108E0"/>
    <w:rsid w:val="1EF220FA"/>
    <w:rsid w:val="1EF53F2C"/>
    <w:rsid w:val="1EF76CBC"/>
    <w:rsid w:val="1EFA1543"/>
    <w:rsid w:val="1EFA3C38"/>
    <w:rsid w:val="1EFA3E49"/>
    <w:rsid w:val="1EFA7E75"/>
    <w:rsid w:val="1EFB1684"/>
    <w:rsid w:val="1EFB36BF"/>
    <w:rsid w:val="1EFC2CED"/>
    <w:rsid w:val="1EFC7A22"/>
    <w:rsid w:val="1EFF4DAB"/>
    <w:rsid w:val="1F0035B5"/>
    <w:rsid w:val="1F022AED"/>
    <w:rsid w:val="1F026649"/>
    <w:rsid w:val="1F037268"/>
    <w:rsid w:val="1F0423C1"/>
    <w:rsid w:val="1F06438B"/>
    <w:rsid w:val="1F067363"/>
    <w:rsid w:val="1F071EB1"/>
    <w:rsid w:val="1F097ADA"/>
    <w:rsid w:val="1F0A753A"/>
    <w:rsid w:val="1F0B1054"/>
    <w:rsid w:val="1F0C281D"/>
    <w:rsid w:val="1F0C3B73"/>
    <w:rsid w:val="1F0D0973"/>
    <w:rsid w:val="1F0D30A9"/>
    <w:rsid w:val="1F0D7A53"/>
    <w:rsid w:val="1F0D7E94"/>
    <w:rsid w:val="1F10520A"/>
    <w:rsid w:val="1F106A15"/>
    <w:rsid w:val="1F116843"/>
    <w:rsid w:val="1F120F82"/>
    <w:rsid w:val="1F122D30"/>
    <w:rsid w:val="1F132C50"/>
    <w:rsid w:val="1F133531"/>
    <w:rsid w:val="1F141BCB"/>
    <w:rsid w:val="1F1559C4"/>
    <w:rsid w:val="1F156244"/>
    <w:rsid w:val="1F15760A"/>
    <w:rsid w:val="1F166BCD"/>
    <w:rsid w:val="1F175CDE"/>
    <w:rsid w:val="1F182311"/>
    <w:rsid w:val="1F184FA4"/>
    <w:rsid w:val="1F1B4917"/>
    <w:rsid w:val="1F1C0F96"/>
    <w:rsid w:val="1F1C3650"/>
    <w:rsid w:val="1F1D16D5"/>
    <w:rsid w:val="1F1D5A2D"/>
    <w:rsid w:val="1F1E40BD"/>
    <w:rsid w:val="1F1F1B7F"/>
    <w:rsid w:val="1F1F38E4"/>
    <w:rsid w:val="1F20660D"/>
    <w:rsid w:val="1F244C93"/>
    <w:rsid w:val="1F252606"/>
    <w:rsid w:val="1F253597"/>
    <w:rsid w:val="1F272F1E"/>
    <w:rsid w:val="1F274302"/>
    <w:rsid w:val="1F2760B0"/>
    <w:rsid w:val="1F282FBC"/>
    <w:rsid w:val="1F2847CE"/>
    <w:rsid w:val="1F286A0B"/>
    <w:rsid w:val="1F2A2BC8"/>
    <w:rsid w:val="1F2B5BA0"/>
    <w:rsid w:val="1F2C2F7A"/>
    <w:rsid w:val="1F2C57A5"/>
    <w:rsid w:val="1F2E38E2"/>
    <w:rsid w:val="1F2E7802"/>
    <w:rsid w:val="1F2F79DE"/>
    <w:rsid w:val="1F302AB7"/>
    <w:rsid w:val="1F306B65"/>
    <w:rsid w:val="1F31570A"/>
    <w:rsid w:val="1F326221"/>
    <w:rsid w:val="1F337C3F"/>
    <w:rsid w:val="1F35643E"/>
    <w:rsid w:val="1F36100F"/>
    <w:rsid w:val="1F372414"/>
    <w:rsid w:val="1F37537C"/>
    <w:rsid w:val="1F3802BD"/>
    <w:rsid w:val="1F38092F"/>
    <w:rsid w:val="1F383713"/>
    <w:rsid w:val="1F394761"/>
    <w:rsid w:val="1F3B03AF"/>
    <w:rsid w:val="1F3D0A68"/>
    <w:rsid w:val="1F4114C3"/>
    <w:rsid w:val="1F42113B"/>
    <w:rsid w:val="1F424307"/>
    <w:rsid w:val="1F42748E"/>
    <w:rsid w:val="1F440BAE"/>
    <w:rsid w:val="1F444EB4"/>
    <w:rsid w:val="1F44687A"/>
    <w:rsid w:val="1F4633A6"/>
    <w:rsid w:val="1F47634C"/>
    <w:rsid w:val="1F48677A"/>
    <w:rsid w:val="1F487B8C"/>
    <w:rsid w:val="1F4940B0"/>
    <w:rsid w:val="1F494278"/>
    <w:rsid w:val="1F4A5D44"/>
    <w:rsid w:val="1F4A65B6"/>
    <w:rsid w:val="1F4B305C"/>
    <w:rsid w:val="1F503858"/>
    <w:rsid w:val="1F505606"/>
    <w:rsid w:val="1F50624C"/>
    <w:rsid w:val="1F510363"/>
    <w:rsid w:val="1F517243"/>
    <w:rsid w:val="1F520E9C"/>
    <w:rsid w:val="1F52137F"/>
    <w:rsid w:val="1F522775"/>
    <w:rsid w:val="1F523E3D"/>
    <w:rsid w:val="1F536EA5"/>
    <w:rsid w:val="1F574BE7"/>
    <w:rsid w:val="1F575D60"/>
    <w:rsid w:val="1F5A35D2"/>
    <w:rsid w:val="1F5A6CC9"/>
    <w:rsid w:val="1F5E5F75"/>
    <w:rsid w:val="1F5E7203"/>
    <w:rsid w:val="1F5F1CED"/>
    <w:rsid w:val="1F5F38AA"/>
    <w:rsid w:val="1F5F6E0F"/>
    <w:rsid w:val="1F5F74BA"/>
    <w:rsid w:val="1F613491"/>
    <w:rsid w:val="1F614D81"/>
    <w:rsid w:val="1F63002C"/>
    <w:rsid w:val="1F632C80"/>
    <w:rsid w:val="1F634898"/>
    <w:rsid w:val="1F6362A4"/>
    <w:rsid w:val="1F643726"/>
    <w:rsid w:val="1F651FBD"/>
    <w:rsid w:val="1F66307C"/>
    <w:rsid w:val="1F667D3C"/>
    <w:rsid w:val="1F677D6C"/>
    <w:rsid w:val="1F6A564B"/>
    <w:rsid w:val="1F6B347B"/>
    <w:rsid w:val="1F6B7839"/>
    <w:rsid w:val="1F6D49B7"/>
    <w:rsid w:val="1F6E1F30"/>
    <w:rsid w:val="1F706448"/>
    <w:rsid w:val="1F712897"/>
    <w:rsid w:val="1F720A34"/>
    <w:rsid w:val="1F720D28"/>
    <w:rsid w:val="1F726568"/>
    <w:rsid w:val="1F7275D1"/>
    <w:rsid w:val="1F743E23"/>
    <w:rsid w:val="1F751511"/>
    <w:rsid w:val="1F755EBB"/>
    <w:rsid w:val="1F777BE4"/>
    <w:rsid w:val="1F780DC2"/>
    <w:rsid w:val="1F782B0C"/>
    <w:rsid w:val="1F794C63"/>
    <w:rsid w:val="1F7A78B7"/>
    <w:rsid w:val="1F7C464D"/>
    <w:rsid w:val="1F7C4F82"/>
    <w:rsid w:val="1F7E34F3"/>
    <w:rsid w:val="1F805ED6"/>
    <w:rsid w:val="1F812D3E"/>
    <w:rsid w:val="1F815EB6"/>
    <w:rsid w:val="1F844555"/>
    <w:rsid w:val="1F8452B0"/>
    <w:rsid w:val="1F877F58"/>
    <w:rsid w:val="1F880587"/>
    <w:rsid w:val="1F8B366A"/>
    <w:rsid w:val="1F8E0593"/>
    <w:rsid w:val="1F902772"/>
    <w:rsid w:val="1F902E5C"/>
    <w:rsid w:val="1F915A1E"/>
    <w:rsid w:val="1F932810"/>
    <w:rsid w:val="1F936338"/>
    <w:rsid w:val="1F940ACE"/>
    <w:rsid w:val="1F950ABF"/>
    <w:rsid w:val="1F962E5D"/>
    <w:rsid w:val="1F973891"/>
    <w:rsid w:val="1F9803BC"/>
    <w:rsid w:val="1F99474A"/>
    <w:rsid w:val="1F9A4F0B"/>
    <w:rsid w:val="1F9B2103"/>
    <w:rsid w:val="1F9E2816"/>
    <w:rsid w:val="1F9E45C4"/>
    <w:rsid w:val="1FA051F1"/>
    <w:rsid w:val="1FA1233D"/>
    <w:rsid w:val="1FA546D9"/>
    <w:rsid w:val="1FA57220"/>
    <w:rsid w:val="1FA6630C"/>
    <w:rsid w:val="1FA71066"/>
    <w:rsid w:val="1FA729A9"/>
    <w:rsid w:val="1FA745A7"/>
    <w:rsid w:val="1FA97181"/>
    <w:rsid w:val="1FAA7E4B"/>
    <w:rsid w:val="1FB02549"/>
    <w:rsid w:val="1FB060A5"/>
    <w:rsid w:val="1FB06524"/>
    <w:rsid w:val="1FB24FF4"/>
    <w:rsid w:val="1FB3079F"/>
    <w:rsid w:val="1FB320BA"/>
    <w:rsid w:val="1FB40A96"/>
    <w:rsid w:val="1FB44CEF"/>
    <w:rsid w:val="1FB45B95"/>
    <w:rsid w:val="1FB55BA4"/>
    <w:rsid w:val="1FB61BB7"/>
    <w:rsid w:val="1FB65DB1"/>
    <w:rsid w:val="1FB831B9"/>
    <w:rsid w:val="1FB922B6"/>
    <w:rsid w:val="1FB96B52"/>
    <w:rsid w:val="1FBB328D"/>
    <w:rsid w:val="1FBB353E"/>
    <w:rsid w:val="1FBB64FE"/>
    <w:rsid w:val="1FBC7140"/>
    <w:rsid w:val="1FBD2E59"/>
    <w:rsid w:val="1FBD6FA0"/>
    <w:rsid w:val="1FBD7EE1"/>
    <w:rsid w:val="1FBE373F"/>
    <w:rsid w:val="1FBE7EF0"/>
    <w:rsid w:val="1FC14756"/>
    <w:rsid w:val="1FC22D60"/>
    <w:rsid w:val="1FC30C27"/>
    <w:rsid w:val="1FC3402A"/>
    <w:rsid w:val="1FC40328"/>
    <w:rsid w:val="1FC54B9D"/>
    <w:rsid w:val="1FC572A1"/>
    <w:rsid w:val="1FC61D6D"/>
    <w:rsid w:val="1FC63B1B"/>
    <w:rsid w:val="1FC711E7"/>
    <w:rsid w:val="1FC83FAC"/>
    <w:rsid w:val="1FCA5919"/>
    <w:rsid w:val="1FCC509B"/>
    <w:rsid w:val="1FCC59A4"/>
    <w:rsid w:val="1FCD447E"/>
    <w:rsid w:val="1FCD6FEB"/>
    <w:rsid w:val="1FCE53E9"/>
    <w:rsid w:val="1FCF7DA2"/>
    <w:rsid w:val="1FD11623"/>
    <w:rsid w:val="1FD11703"/>
    <w:rsid w:val="1FD11ED6"/>
    <w:rsid w:val="1FD33B08"/>
    <w:rsid w:val="1FD55B0C"/>
    <w:rsid w:val="1FD737B6"/>
    <w:rsid w:val="1FD862CB"/>
    <w:rsid w:val="1FD92077"/>
    <w:rsid w:val="1FD96177"/>
    <w:rsid w:val="1FDB75C6"/>
    <w:rsid w:val="1FDD12A7"/>
    <w:rsid w:val="1FDD7221"/>
    <w:rsid w:val="1FDE0E64"/>
    <w:rsid w:val="1FDE3C53"/>
    <w:rsid w:val="1FDE52D3"/>
    <w:rsid w:val="1FE10774"/>
    <w:rsid w:val="1FE1535A"/>
    <w:rsid w:val="1FE21B57"/>
    <w:rsid w:val="1FE2222E"/>
    <w:rsid w:val="1FE72C1E"/>
    <w:rsid w:val="1FE85C8D"/>
    <w:rsid w:val="1FE87F35"/>
    <w:rsid w:val="1FE967B0"/>
    <w:rsid w:val="1FE975A9"/>
    <w:rsid w:val="1FEA0867"/>
    <w:rsid w:val="1FEC00C2"/>
    <w:rsid w:val="1FEC3EF0"/>
    <w:rsid w:val="1FED2269"/>
    <w:rsid w:val="1FED5FF1"/>
    <w:rsid w:val="1FED6E2E"/>
    <w:rsid w:val="1FEF49D1"/>
    <w:rsid w:val="1FF04855"/>
    <w:rsid w:val="1FF10ADB"/>
    <w:rsid w:val="1FF17BC1"/>
    <w:rsid w:val="1FF22C5F"/>
    <w:rsid w:val="1FF22FB9"/>
    <w:rsid w:val="1FF252D2"/>
    <w:rsid w:val="1FF266BE"/>
    <w:rsid w:val="1FF31E46"/>
    <w:rsid w:val="1FF31F4F"/>
    <w:rsid w:val="1FF5649D"/>
    <w:rsid w:val="1FF61654"/>
    <w:rsid w:val="1FF6445A"/>
    <w:rsid w:val="1FF67A97"/>
    <w:rsid w:val="1FF836E7"/>
    <w:rsid w:val="1FF83D99"/>
    <w:rsid w:val="1FF86BB3"/>
    <w:rsid w:val="1FF9056E"/>
    <w:rsid w:val="1FF95C9E"/>
    <w:rsid w:val="1FF95F4B"/>
    <w:rsid w:val="1FF97A4C"/>
    <w:rsid w:val="1FFC3F8D"/>
    <w:rsid w:val="1FFD3962"/>
    <w:rsid w:val="2000497E"/>
    <w:rsid w:val="2000527E"/>
    <w:rsid w:val="20005844"/>
    <w:rsid w:val="20012507"/>
    <w:rsid w:val="20014B12"/>
    <w:rsid w:val="20014C4D"/>
    <w:rsid w:val="20040E20"/>
    <w:rsid w:val="200457AF"/>
    <w:rsid w:val="20046B2A"/>
    <w:rsid w:val="20052711"/>
    <w:rsid w:val="200762C2"/>
    <w:rsid w:val="200839AF"/>
    <w:rsid w:val="20090D1C"/>
    <w:rsid w:val="200B7604"/>
    <w:rsid w:val="200C0D4C"/>
    <w:rsid w:val="200E64B7"/>
    <w:rsid w:val="200F101E"/>
    <w:rsid w:val="200F2A51"/>
    <w:rsid w:val="200F3382"/>
    <w:rsid w:val="200F3851"/>
    <w:rsid w:val="20104D96"/>
    <w:rsid w:val="2011123A"/>
    <w:rsid w:val="20123DA6"/>
    <w:rsid w:val="20140CF9"/>
    <w:rsid w:val="20146968"/>
    <w:rsid w:val="201541C3"/>
    <w:rsid w:val="201605FE"/>
    <w:rsid w:val="20185A13"/>
    <w:rsid w:val="201900EE"/>
    <w:rsid w:val="20196340"/>
    <w:rsid w:val="201B51F8"/>
    <w:rsid w:val="201C074B"/>
    <w:rsid w:val="201C1E76"/>
    <w:rsid w:val="201C494C"/>
    <w:rsid w:val="201D3EA4"/>
    <w:rsid w:val="201E1BAA"/>
    <w:rsid w:val="2020008B"/>
    <w:rsid w:val="20205865"/>
    <w:rsid w:val="20237DE4"/>
    <w:rsid w:val="20246A7A"/>
    <w:rsid w:val="20250C6A"/>
    <w:rsid w:val="202578DC"/>
    <w:rsid w:val="202645B9"/>
    <w:rsid w:val="20276ECF"/>
    <w:rsid w:val="20280976"/>
    <w:rsid w:val="202968CB"/>
    <w:rsid w:val="202A3DD7"/>
    <w:rsid w:val="202B281E"/>
    <w:rsid w:val="202B4FDB"/>
    <w:rsid w:val="202C028A"/>
    <w:rsid w:val="202C3EC3"/>
    <w:rsid w:val="202D4CF2"/>
    <w:rsid w:val="202D76F6"/>
    <w:rsid w:val="202F7BA6"/>
    <w:rsid w:val="20305AC2"/>
    <w:rsid w:val="20306923"/>
    <w:rsid w:val="20347628"/>
    <w:rsid w:val="203521F9"/>
    <w:rsid w:val="20362A4E"/>
    <w:rsid w:val="20380DE3"/>
    <w:rsid w:val="20387251"/>
    <w:rsid w:val="203A4024"/>
    <w:rsid w:val="203B5FCA"/>
    <w:rsid w:val="203C2318"/>
    <w:rsid w:val="203D63DC"/>
    <w:rsid w:val="20413A7F"/>
    <w:rsid w:val="204213F3"/>
    <w:rsid w:val="204215A2"/>
    <w:rsid w:val="20425EBF"/>
    <w:rsid w:val="20436F19"/>
    <w:rsid w:val="20442E29"/>
    <w:rsid w:val="20443D98"/>
    <w:rsid w:val="20444C11"/>
    <w:rsid w:val="20473CD8"/>
    <w:rsid w:val="20475473"/>
    <w:rsid w:val="20476A09"/>
    <w:rsid w:val="204933B2"/>
    <w:rsid w:val="204A7D65"/>
    <w:rsid w:val="204A7F1B"/>
    <w:rsid w:val="204D12D8"/>
    <w:rsid w:val="204D1910"/>
    <w:rsid w:val="204E2DA0"/>
    <w:rsid w:val="204E401A"/>
    <w:rsid w:val="204F167E"/>
    <w:rsid w:val="204F1B33"/>
    <w:rsid w:val="20505621"/>
    <w:rsid w:val="2051311E"/>
    <w:rsid w:val="2052555B"/>
    <w:rsid w:val="2055442D"/>
    <w:rsid w:val="20564103"/>
    <w:rsid w:val="2057145D"/>
    <w:rsid w:val="20577449"/>
    <w:rsid w:val="20582A63"/>
    <w:rsid w:val="2058644D"/>
    <w:rsid w:val="2059498F"/>
    <w:rsid w:val="205D622D"/>
    <w:rsid w:val="205E6558"/>
    <w:rsid w:val="20602E5A"/>
    <w:rsid w:val="20607E38"/>
    <w:rsid w:val="20612441"/>
    <w:rsid w:val="20617468"/>
    <w:rsid w:val="20621A95"/>
    <w:rsid w:val="20623843"/>
    <w:rsid w:val="20624D2B"/>
    <w:rsid w:val="2063580D"/>
    <w:rsid w:val="20643C06"/>
    <w:rsid w:val="2064408E"/>
    <w:rsid w:val="20646707"/>
    <w:rsid w:val="20651585"/>
    <w:rsid w:val="20691C8C"/>
    <w:rsid w:val="206A3341"/>
    <w:rsid w:val="206B7F2F"/>
    <w:rsid w:val="206D7380"/>
    <w:rsid w:val="206E043A"/>
    <w:rsid w:val="206F4B12"/>
    <w:rsid w:val="206F6B97"/>
    <w:rsid w:val="20703D2A"/>
    <w:rsid w:val="20735742"/>
    <w:rsid w:val="20765541"/>
    <w:rsid w:val="207727DA"/>
    <w:rsid w:val="20777F0B"/>
    <w:rsid w:val="20782055"/>
    <w:rsid w:val="20790B8D"/>
    <w:rsid w:val="207922AB"/>
    <w:rsid w:val="20796DDF"/>
    <w:rsid w:val="207A433F"/>
    <w:rsid w:val="207B6358"/>
    <w:rsid w:val="207C4080"/>
    <w:rsid w:val="207D28FD"/>
    <w:rsid w:val="207E5BA1"/>
    <w:rsid w:val="207F634B"/>
    <w:rsid w:val="20823EE5"/>
    <w:rsid w:val="20825C93"/>
    <w:rsid w:val="20836B77"/>
    <w:rsid w:val="20857C6C"/>
    <w:rsid w:val="20862B7C"/>
    <w:rsid w:val="20867466"/>
    <w:rsid w:val="208B18B2"/>
    <w:rsid w:val="208B3AD2"/>
    <w:rsid w:val="208C6B12"/>
    <w:rsid w:val="208D6DA3"/>
    <w:rsid w:val="208E129B"/>
    <w:rsid w:val="208E2F08"/>
    <w:rsid w:val="208E446A"/>
    <w:rsid w:val="208F10F2"/>
    <w:rsid w:val="20903577"/>
    <w:rsid w:val="20914572"/>
    <w:rsid w:val="209150AE"/>
    <w:rsid w:val="209150D1"/>
    <w:rsid w:val="209239FD"/>
    <w:rsid w:val="209244B7"/>
    <w:rsid w:val="20932F0F"/>
    <w:rsid w:val="20936513"/>
    <w:rsid w:val="20942964"/>
    <w:rsid w:val="20980D1F"/>
    <w:rsid w:val="20996554"/>
    <w:rsid w:val="209B4FA7"/>
    <w:rsid w:val="209D35B6"/>
    <w:rsid w:val="209D3AD6"/>
    <w:rsid w:val="209D493F"/>
    <w:rsid w:val="209F11B8"/>
    <w:rsid w:val="209F3E12"/>
    <w:rsid w:val="20A02C61"/>
    <w:rsid w:val="20A036F1"/>
    <w:rsid w:val="20A153AC"/>
    <w:rsid w:val="20A16408"/>
    <w:rsid w:val="20A24F7C"/>
    <w:rsid w:val="20A2751D"/>
    <w:rsid w:val="20A3002A"/>
    <w:rsid w:val="20A3117D"/>
    <w:rsid w:val="20A42CA4"/>
    <w:rsid w:val="20A472CE"/>
    <w:rsid w:val="20A50546"/>
    <w:rsid w:val="20A601AB"/>
    <w:rsid w:val="20A7291B"/>
    <w:rsid w:val="20A7394C"/>
    <w:rsid w:val="20A85E3A"/>
    <w:rsid w:val="20A94716"/>
    <w:rsid w:val="20AA6925"/>
    <w:rsid w:val="20AB70C4"/>
    <w:rsid w:val="20AC4ABE"/>
    <w:rsid w:val="20AC6DF8"/>
    <w:rsid w:val="20AC7977"/>
    <w:rsid w:val="20AD3C56"/>
    <w:rsid w:val="20B0050F"/>
    <w:rsid w:val="20B01556"/>
    <w:rsid w:val="20B12741"/>
    <w:rsid w:val="20B232BE"/>
    <w:rsid w:val="20B326B8"/>
    <w:rsid w:val="20B42727"/>
    <w:rsid w:val="20B56069"/>
    <w:rsid w:val="20B74925"/>
    <w:rsid w:val="20B7497A"/>
    <w:rsid w:val="20B83EE0"/>
    <w:rsid w:val="20B91898"/>
    <w:rsid w:val="20BA6399"/>
    <w:rsid w:val="20BB75BD"/>
    <w:rsid w:val="20BC5761"/>
    <w:rsid w:val="20BD5965"/>
    <w:rsid w:val="20BD5AEB"/>
    <w:rsid w:val="20BE2EA1"/>
    <w:rsid w:val="20BE481C"/>
    <w:rsid w:val="20BF07A2"/>
    <w:rsid w:val="20BF1183"/>
    <w:rsid w:val="20BF198C"/>
    <w:rsid w:val="20BF28E9"/>
    <w:rsid w:val="20BF5AA4"/>
    <w:rsid w:val="20C04176"/>
    <w:rsid w:val="20C15BAC"/>
    <w:rsid w:val="20C313B4"/>
    <w:rsid w:val="20C44DD2"/>
    <w:rsid w:val="20C52881"/>
    <w:rsid w:val="20C53DD2"/>
    <w:rsid w:val="20C55F90"/>
    <w:rsid w:val="20C81E8E"/>
    <w:rsid w:val="20C87602"/>
    <w:rsid w:val="20C932CD"/>
    <w:rsid w:val="20C938C2"/>
    <w:rsid w:val="20CA4174"/>
    <w:rsid w:val="20CB6796"/>
    <w:rsid w:val="20CC5867"/>
    <w:rsid w:val="20CD13E6"/>
    <w:rsid w:val="20CD5313"/>
    <w:rsid w:val="20CE54B1"/>
    <w:rsid w:val="20CE5D86"/>
    <w:rsid w:val="20CF3098"/>
    <w:rsid w:val="20CF4C51"/>
    <w:rsid w:val="20CF5E06"/>
    <w:rsid w:val="20D14F41"/>
    <w:rsid w:val="20D2518F"/>
    <w:rsid w:val="20D34084"/>
    <w:rsid w:val="20D36689"/>
    <w:rsid w:val="20D44015"/>
    <w:rsid w:val="20D67D8D"/>
    <w:rsid w:val="20D74EDA"/>
    <w:rsid w:val="20D81D57"/>
    <w:rsid w:val="20D90C6A"/>
    <w:rsid w:val="20D91494"/>
    <w:rsid w:val="20DA6A4A"/>
    <w:rsid w:val="20DB05AC"/>
    <w:rsid w:val="20DB684A"/>
    <w:rsid w:val="20DE4959"/>
    <w:rsid w:val="20E13294"/>
    <w:rsid w:val="20E161DE"/>
    <w:rsid w:val="20E33281"/>
    <w:rsid w:val="20E37BB3"/>
    <w:rsid w:val="20E474B6"/>
    <w:rsid w:val="20E52578"/>
    <w:rsid w:val="20E550EB"/>
    <w:rsid w:val="20E92247"/>
    <w:rsid w:val="20E95D13"/>
    <w:rsid w:val="20E96E9D"/>
    <w:rsid w:val="20EA0B6C"/>
    <w:rsid w:val="20EA3A3D"/>
    <w:rsid w:val="20EA6D56"/>
    <w:rsid w:val="20EC4FB9"/>
    <w:rsid w:val="20EC5803"/>
    <w:rsid w:val="20ED750E"/>
    <w:rsid w:val="20ED7838"/>
    <w:rsid w:val="20F04C05"/>
    <w:rsid w:val="20F126F3"/>
    <w:rsid w:val="20F36B91"/>
    <w:rsid w:val="20F57ED1"/>
    <w:rsid w:val="20F67BBE"/>
    <w:rsid w:val="20F705C0"/>
    <w:rsid w:val="20F70991"/>
    <w:rsid w:val="20F73191"/>
    <w:rsid w:val="20F83789"/>
    <w:rsid w:val="20F8473F"/>
    <w:rsid w:val="20FA1E98"/>
    <w:rsid w:val="20FA7F20"/>
    <w:rsid w:val="20FB5C3F"/>
    <w:rsid w:val="20FD2385"/>
    <w:rsid w:val="20FD38FB"/>
    <w:rsid w:val="20FD6CFB"/>
    <w:rsid w:val="20FE1268"/>
    <w:rsid w:val="20FE7CAD"/>
    <w:rsid w:val="20FF1092"/>
    <w:rsid w:val="20FF4B0F"/>
    <w:rsid w:val="21002E31"/>
    <w:rsid w:val="210227D9"/>
    <w:rsid w:val="21040504"/>
    <w:rsid w:val="21066D67"/>
    <w:rsid w:val="210716D3"/>
    <w:rsid w:val="21090177"/>
    <w:rsid w:val="21093B95"/>
    <w:rsid w:val="210B2DDA"/>
    <w:rsid w:val="210C6A10"/>
    <w:rsid w:val="210E7C28"/>
    <w:rsid w:val="210F647B"/>
    <w:rsid w:val="211114AF"/>
    <w:rsid w:val="211156FF"/>
    <w:rsid w:val="211175C3"/>
    <w:rsid w:val="211251F5"/>
    <w:rsid w:val="21130FE1"/>
    <w:rsid w:val="21136EDB"/>
    <w:rsid w:val="211422F1"/>
    <w:rsid w:val="21151641"/>
    <w:rsid w:val="21162A5C"/>
    <w:rsid w:val="2116556C"/>
    <w:rsid w:val="21170CAE"/>
    <w:rsid w:val="211803A6"/>
    <w:rsid w:val="2118184A"/>
    <w:rsid w:val="21182AFA"/>
    <w:rsid w:val="21193E13"/>
    <w:rsid w:val="211969F4"/>
    <w:rsid w:val="2119770B"/>
    <w:rsid w:val="211978A7"/>
    <w:rsid w:val="211A0EE8"/>
    <w:rsid w:val="211A2370"/>
    <w:rsid w:val="211B1C44"/>
    <w:rsid w:val="211B52FE"/>
    <w:rsid w:val="211D7C8B"/>
    <w:rsid w:val="211F7998"/>
    <w:rsid w:val="211F7DEC"/>
    <w:rsid w:val="2120055F"/>
    <w:rsid w:val="2125390A"/>
    <w:rsid w:val="21257AF7"/>
    <w:rsid w:val="21267ED0"/>
    <w:rsid w:val="21281504"/>
    <w:rsid w:val="21287EE3"/>
    <w:rsid w:val="2129610F"/>
    <w:rsid w:val="21296245"/>
    <w:rsid w:val="212A11F0"/>
    <w:rsid w:val="212B5B5B"/>
    <w:rsid w:val="212C2B0A"/>
    <w:rsid w:val="212C3E51"/>
    <w:rsid w:val="212C7708"/>
    <w:rsid w:val="212E5E1B"/>
    <w:rsid w:val="212F0ECA"/>
    <w:rsid w:val="21300ADF"/>
    <w:rsid w:val="21312D49"/>
    <w:rsid w:val="213166B4"/>
    <w:rsid w:val="21316D14"/>
    <w:rsid w:val="213170F5"/>
    <w:rsid w:val="21321C94"/>
    <w:rsid w:val="21335230"/>
    <w:rsid w:val="21341EFF"/>
    <w:rsid w:val="21350F58"/>
    <w:rsid w:val="21361ADA"/>
    <w:rsid w:val="21374CD0"/>
    <w:rsid w:val="213831F5"/>
    <w:rsid w:val="21384286"/>
    <w:rsid w:val="21386DFD"/>
    <w:rsid w:val="2139298A"/>
    <w:rsid w:val="21394C92"/>
    <w:rsid w:val="213A78F2"/>
    <w:rsid w:val="213C3006"/>
    <w:rsid w:val="213D4BC5"/>
    <w:rsid w:val="213F08C8"/>
    <w:rsid w:val="213F1567"/>
    <w:rsid w:val="213F167F"/>
    <w:rsid w:val="213F65DD"/>
    <w:rsid w:val="2140300A"/>
    <w:rsid w:val="214178F1"/>
    <w:rsid w:val="214369A1"/>
    <w:rsid w:val="21442F49"/>
    <w:rsid w:val="21450513"/>
    <w:rsid w:val="21455BCA"/>
    <w:rsid w:val="21470352"/>
    <w:rsid w:val="21470E40"/>
    <w:rsid w:val="2147185A"/>
    <w:rsid w:val="21483933"/>
    <w:rsid w:val="2148676D"/>
    <w:rsid w:val="21486EDD"/>
    <w:rsid w:val="21490102"/>
    <w:rsid w:val="214B60CA"/>
    <w:rsid w:val="214B7A51"/>
    <w:rsid w:val="214C5241"/>
    <w:rsid w:val="214D441A"/>
    <w:rsid w:val="214D79BE"/>
    <w:rsid w:val="214E1E9D"/>
    <w:rsid w:val="2150320D"/>
    <w:rsid w:val="21521328"/>
    <w:rsid w:val="2152796A"/>
    <w:rsid w:val="21532BFB"/>
    <w:rsid w:val="21557EF4"/>
    <w:rsid w:val="21583252"/>
    <w:rsid w:val="2158347A"/>
    <w:rsid w:val="21586599"/>
    <w:rsid w:val="215873FF"/>
    <w:rsid w:val="2159096D"/>
    <w:rsid w:val="215A54C1"/>
    <w:rsid w:val="215B0191"/>
    <w:rsid w:val="215B0355"/>
    <w:rsid w:val="215B4225"/>
    <w:rsid w:val="215B6D52"/>
    <w:rsid w:val="215C5451"/>
    <w:rsid w:val="215F60C2"/>
    <w:rsid w:val="21602E71"/>
    <w:rsid w:val="21605E07"/>
    <w:rsid w:val="21607463"/>
    <w:rsid w:val="2161341C"/>
    <w:rsid w:val="21617F9F"/>
    <w:rsid w:val="216268CD"/>
    <w:rsid w:val="216435EB"/>
    <w:rsid w:val="21644BD1"/>
    <w:rsid w:val="21645D07"/>
    <w:rsid w:val="21647282"/>
    <w:rsid w:val="21647640"/>
    <w:rsid w:val="21647BE2"/>
    <w:rsid w:val="21661A3E"/>
    <w:rsid w:val="21671E40"/>
    <w:rsid w:val="21673E14"/>
    <w:rsid w:val="216830DB"/>
    <w:rsid w:val="21694BF3"/>
    <w:rsid w:val="216A6083"/>
    <w:rsid w:val="216C4962"/>
    <w:rsid w:val="216E0925"/>
    <w:rsid w:val="216E20DA"/>
    <w:rsid w:val="216F487A"/>
    <w:rsid w:val="217256D2"/>
    <w:rsid w:val="21730FAD"/>
    <w:rsid w:val="21732CAC"/>
    <w:rsid w:val="21747976"/>
    <w:rsid w:val="21750BB9"/>
    <w:rsid w:val="21751354"/>
    <w:rsid w:val="21765097"/>
    <w:rsid w:val="21767718"/>
    <w:rsid w:val="21771570"/>
    <w:rsid w:val="21781459"/>
    <w:rsid w:val="217814D3"/>
    <w:rsid w:val="217A21C5"/>
    <w:rsid w:val="217A23C3"/>
    <w:rsid w:val="217A4BBD"/>
    <w:rsid w:val="217A5B78"/>
    <w:rsid w:val="217A73A2"/>
    <w:rsid w:val="217B17CC"/>
    <w:rsid w:val="217D1928"/>
    <w:rsid w:val="217D660A"/>
    <w:rsid w:val="217E3DE0"/>
    <w:rsid w:val="218014C0"/>
    <w:rsid w:val="21804179"/>
    <w:rsid w:val="21821169"/>
    <w:rsid w:val="21837E47"/>
    <w:rsid w:val="2185735E"/>
    <w:rsid w:val="21863561"/>
    <w:rsid w:val="21863E48"/>
    <w:rsid w:val="21873585"/>
    <w:rsid w:val="2188017C"/>
    <w:rsid w:val="2188552B"/>
    <w:rsid w:val="21885FF9"/>
    <w:rsid w:val="218A0CDF"/>
    <w:rsid w:val="218C499A"/>
    <w:rsid w:val="218D5374"/>
    <w:rsid w:val="218F0957"/>
    <w:rsid w:val="218F66B0"/>
    <w:rsid w:val="219225E5"/>
    <w:rsid w:val="21937A2C"/>
    <w:rsid w:val="21940983"/>
    <w:rsid w:val="219434DF"/>
    <w:rsid w:val="21965B7D"/>
    <w:rsid w:val="21973A04"/>
    <w:rsid w:val="219750A0"/>
    <w:rsid w:val="219771BE"/>
    <w:rsid w:val="21984FBF"/>
    <w:rsid w:val="21997739"/>
    <w:rsid w:val="219A64A1"/>
    <w:rsid w:val="219B6B50"/>
    <w:rsid w:val="219D2993"/>
    <w:rsid w:val="219F6210"/>
    <w:rsid w:val="21A0144E"/>
    <w:rsid w:val="21A04AB9"/>
    <w:rsid w:val="21A360F5"/>
    <w:rsid w:val="21A42B9A"/>
    <w:rsid w:val="21A56B3C"/>
    <w:rsid w:val="21A607DC"/>
    <w:rsid w:val="21A67760"/>
    <w:rsid w:val="21A734D8"/>
    <w:rsid w:val="21A8647B"/>
    <w:rsid w:val="21A93067"/>
    <w:rsid w:val="21A954A2"/>
    <w:rsid w:val="21AA35E8"/>
    <w:rsid w:val="21AB2FC8"/>
    <w:rsid w:val="21AF6A69"/>
    <w:rsid w:val="21B074D9"/>
    <w:rsid w:val="21B35FFD"/>
    <w:rsid w:val="21B40AB3"/>
    <w:rsid w:val="21B43AAC"/>
    <w:rsid w:val="21B44F4C"/>
    <w:rsid w:val="21B55BF5"/>
    <w:rsid w:val="21B72F49"/>
    <w:rsid w:val="21B801FE"/>
    <w:rsid w:val="21B83433"/>
    <w:rsid w:val="21BA3065"/>
    <w:rsid w:val="21BB0B6D"/>
    <w:rsid w:val="21BB6AED"/>
    <w:rsid w:val="21BB6FDF"/>
    <w:rsid w:val="21BB7BF7"/>
    <w:rsid w:val="21BE0F4D"/>
    <w:rsid w:val="21BE2CFB"/>
    <w:rsid w:val="21C1459A"/>
    <w:rsid w:val="21C15CBE"/>
    <w:rsid w:val="21C16D52"/>
    <w:rsid w:val="21C170BE"/>
    <w:rsid w:val="21C347B6"/>
    <w:rsid w:val="21C4009A"/>
    <w:rsid w:val="21C603EE"/>
    <w:rsid w:val="21C66B59"/>
    <w:rsid w:val="21C674FC"/>
    <w:rsid w:val="21C77300"/>
    <w:rsid w:val="21C97B19"/>
    <w:rsid w:val="21CA4416"/>
    <w:rsid w:val="21CB0D9F"/>
    <w:rsid w:val="21CB5418"/>
    <w:rsid w:val="21CB7853"/>
    <w:rsid w:val="21CF0586"/>
    <w:rsid w:val="21CF1C81"/>
    <w:rsid w:val="21CF789E"/>
    <w:rsid w:val="21CF7A56"/>
    <w:rsid w:val="21D106FB"/>
    <w:rsid w:val="21D26F0C"/>
    <w:rsid w:val="21D56297"/>
    <w:rsid w:val="21D564D2"/>
    <w:rsid w:val="21D66ED7"/>
    <w:rsid w:val="21D73DBD"/>
    <w:rsid w:val="21D841C9"/>
    <w:rsid w:val="21D91E13"/>
    <w:rsid w:val="21DA7DD0"/>
    <w:rsid w:val="21DB1D29"/>
    <w:rsid w:val="21DB2344"/>
    <w:rsid w:val="21DC37D4"/>
    <w:rsid w:val="21DC4F15"/>
    <w:rsid w:val="21DC5A2F"/>
    <w:rsid w:val="21DC6E58"/>
    <w:rsid w:val="21DC7859"/>
    <w:rsid w:val="21DD03F8"/>
    <w:rsid w:val="21DE0D09"/>
    <w:rsid w:val="21DF4421"/>
    <w:rsid w:val="21E022E1"/>
    <w:rsid w:val="21E36C06"/>
    <w:rsid w:val="21E41074"/>
    <w:rsid w:val="21E43AC1"/>
    <w:rsid w:val="21E45FB8"/>
    <w:rsid w:val="21E55BA0"/>
    <w:rsid w:val="21E62252"/>
    <w:rsid w:val="21E6673E"/>
    <w:rsid w:val="21E72028"/>
    <w:rsid w:val="21E87D78"/>
    <w:rsid w:val="21EB2B86"/>
    <w:rsid w:val="21EB7868"/>
    <w:rsid w:val="21EE1107"/>
    <w:rsid w:val="21EE5C66"/>
    <w:rsid w:val="21F107D4"/>
    <w:rsid w:val="21F147A7"/>
    <w:rsid w:val="21F52D2D"/>
    <w:rsid w:val="21F55ABC"/>
    <w:rsid w:val="21F726B1"/>
    <w:rsid w:val="21F7391A"/>
    <w:rsid w:val="21F81535"/>
    <w:rsid w:val="21F84180"/>
    <w:rsid w:val="21F85EE1"/>
    <w:rsid w:val="21F94D1F"/>
    <w:rsid w:val="21FB74DB"/>
    <w:rsid w:val="21FC64C4"/>
    <w:rsid w:val="21FD1DF2"/>
    <w:rsid w:val="21FD2771"/>
    <w:rsid w:val="21FD4727"/>
    <w:rsid w:val="21FE134A"/>
    <w:rsid w:val="21FE57EE"/>
    <w:rsid w:val="21FE5AAC"/>
    <w:rsid w:val="21FF6B6E"/>
    <w:rsid w:val="22000BCA"/>
    <w:rsid w:val="22017B31"/>
    <w:rsid w:val="22021D48"/>
    <w:rsid w:val="22034437"/>
    <w:rsid w:val="2206116D"/>
    <w:rsid w:val="220662E0"/>
    <w:rsid w:val="22066450"/>
    <w:rsid w:val="2209282B"/>
    <w:rsid w:val="220B6806"/>
    <w:rsid w:val="220C0CCB"/>
    <w:rsid w:val="220C1CFC"/>
    <w:rsid w:val="220C7F8E"/>
    <w:rsid w:val="220D1F62"/>
    <w:rsid w:val="220E52D6"/>
    <w:rsid w:val="220F20AC"/>
    <w:rsid w:val="220F6353"/>
    <w:rsid w:val="22106840"/>
    <w:rsid w:val="22110210"/>
    <w:rsid w:val="2212752E"/>
    <w:rsid w:val="22141045"/>
    <w:rsid w:val="22145011"/>
    <w:rsid w:val="2217519B"/>
    <w:rsid w:val="22186E1F"/>
    <w:rsid w:val="22192627"/>
    <w:rsid w:val="221A036C"/>
    <w:rsid w:val="221A44BB"/>
    <w:rsid w:val="221B014E"/>
    <w:rsid w:val="221B0635"/>
    <w:rsid w:val="221B063A"/>
    <w:rsid w:val="221B2F87"/>
    <w:rsid w:val="221B3648"/>
    <w:rsid w:val="221B4358"/>
    <w:rsid w:val="221B5875"/>
    <w:rsid w:val="221C4F27"/>
    <w:rsid w:val="221D08F1"/>
    <w:rsid w:val="221E023B"/>
    <w:rsid w:val="221E19EC"/>
    <w:rsid w:val="221F0644"/>
    <w:rsid w:val="221F2AFA"/>
    <w:rsid w:val="221F5A3E"/>
    <w:rsid w:val="221F6471"/>
    <w:rsid w:val="221F7650"/>
    <w:rsid w:val="22223C83"/>
    <w:rsid w:val="22256033"/>
    <w:rsid w:val="22256AF2"/>
    <w:rsid w:val="222608A0"/>
    <w:rsid w:val="22264CAE"/>
    <w:rsid w:val="22266AF2"/>
    <w:rsid w:val="22270151"/>
    <w:rsid w:val="222710B9"/>
    <w:rsid w:val="22271ADC"/>
    <w:rsid w:val="22274D44"/>
    <w:rsid w:val="22282CF3"/>
    <w:rsid w:val="2228720A"/>
    <w:rsid w:val="222A2550"/>
    <w:rsid w:val="222A659E"/>
    <w:rsid w:val="222B1363"/>
    <w:rsid w:val="222C222E"/>
    <w:rsid w:val="222C3392"/>
    <w:rsid w:val="222D08B5"/>
    <w:rsid w:val="222D1C2F"/>
    <w:rsid w:val="222D29B2"/>
    <w:rsid w:val="222D5AFD"/>
    <w:rsid w:val="222E014D"/>
    <w:rsid w:val="222E1AB6"/>
    <w:rsid w:val="222F2323"/>
    <w:rsid w:val="222F59A7"/>
    <w:rsid w:val="222F5C4D"/>
    <w:rsid w:val="222F5F7D"/>
    <w:rsid w:val="2232319B"/>
    <w:rsid w:val="22323786"/>
    <w:rsid w:val="223274DE"/>
    <w:rsid w:val="2233121D"/>
    <w:rsid w:val="22334017"/>
    <w:rsid w:val="22374B0A"/>
    <w:rsid w:val="22387D8C"/>
    <w:rsid w:val="223922C8"/>
    <w:rsid w:val="223A7D52"/>
    <w:rsid w:val="223D11A3"/>
    <w:rsid w:val="223E208E"/>
    <w:rsid w:val="22400AB1"/>
    <w:rsid w:val="22410236"/>
    <w:rsid w:val="224200DA"/>
    <w:rsid w:val="22435C80"/>
    <w:rsid w:val="22456F79"/>
    <w:rsid w:val="22457E73"/>
    <w:rsid w:val="22466B66"/>
    <w:rsid w:val="22467D55"/>
    <w:rsid w:val="224956F0"/>
    <w:rsid w:val="2249604F"/>
    <w:rsid w:val="224A6AC8"/>
    <w:rsid w:val="224C6559"/>
    <w:rsid w:val="224E08CF"/>
    <w:rsid w:val="224E4173"/>
    <w:rsid w:val="224F08FC"/>
    <w:rsid w:val="224F0E09"/>
    <w:rsid w:val="224F1189"/>
    <w:rsid w:val="22505238"/>
    <w:rsid w:val="22511DC1"/>
    <w:rsid w:val="22520860"/>
    <w:rsid w:val="225440AA"/>
    <w:rsid w:val="2255533A"/>
    <w:rsid w:val="22556012"/>
    <w:rsid w:val="22557178"/>
    <w:rsid w:val="22565229"/>
    <w:rsid w:val="22576CAC"/>
    <w:rsid w:val="225803A3"/>
    <w:rsid w:val="22592EB4"/>
    <w:rsid w:val="22593F11"/>
    <w:rsid w:val="225C2514"/>
    <w:rsid w:val="225F3B86"/>
    <w:rsid w:val="22613D43"/>
    <w:rsid w:val="22615EED"/>
    <w:rsid w:val="22617B2B"/>
    <w:rsid w:val="22625E30"/>
    <w:rsid w:val="22631793"/>
    <w:rsid w:val="226323ED"/>
    <w:rsid w:val="2263736E"/>
    <w:rsid w:val="2265492A"/>
    <w:rsid w:val="2266366D"/>
    <w:rsid w:val="22663A5B"/>
    <w:rsid w:val="22665BF5"/>
    <w:rsid w:val="22666758"/>
    <w:rsid w:val="226715E5"/>
    <w:rsid w:val="22671E45"/>
    <w:rsid w:val="22681830"/>
    <w:rsid w:val="22696C16"/>
    <w:rsid w:val="22697ED0"/>
    <w:rsid w:val="226A2E83"/>
    <w:rsid w:val="226A30A9"/>
    <w:rsid w:val="226B58C3"/>
    <w:rsid w:val="226C09A9"/>
    <w:rsid w:val="226D15C5"/>
    <w:rsid w:val="226F3E48"/>
    <w:rsid w:val="22701749"/>
    <w:rsid w:val="22703DC4"/>
    <w:rsid w:val="22720A33"/>
    <w:rsid w:val="22720A6F"/>
    <w:rsid w:val="2273396A"/>
    <w:rsid w:val="22741FC1"/>
    <w:rsid w:val="22744922"/>
    <w:rsid w:val="22746949"/>
    <w:rsid w:val="2274785E"/>
    <w:rsid w:val="2275603E"/>
    <w:rsid w:val="227818DE"/>
    <w:rsid w:val="22786FC7"/>
    <w:rsid w:val="227A75E5"/>
    <w:rsid w:val="227B299A"/>
    <w:rsid w:val="227B2B13"/>
    <w:rsid w:val="227B5B79"/>
    <w:rsid w:val="227B613E"/>
    <w:rsid w:val="227C66C6"/>
    <w:rsid w:val="227D15BA"/>
    <w:rsid w:val="227D5C76"/>
    <w:rsid w:val="227E62FD"/>
    <w:rsid w:val="227F094B"/>
    <w:rsid w:val="227F1044"/>
    <w:rsid w:val="22805CE3"/>
    <w:rsid w:val="2282310C"/>
    <w:rsid w:val="2282442E"/>
    <w:rsid w:val="22824E3A"/>
    <w:rsid w:val="22861367"/>
    <w:rsid w:val="2286209D"/>
    <w:rsid w:val="22885A35"/>
    <w:rsid w:val="2289084B"/>
    <w:rsid w:val="22897BE4"/>
    <w:rsid w:val="228B16F4"/>
    <w:rsid w:val="228B3021"/>
    <w:rsid w:val="228B63E5"/>
    <w:rsid w:val="228D383D"/>
    <w:rsid w:val="228D7B57"/>
    <w:rsid w:val="228E4CF6"/>
    <w:rsid w:val="228F33A1"/>
    <w:rsid w:val="228F585D"/>
    <w:rsid w:val="229078A0"/>
    <w:rsid w:val="22910410"/>
    <w:rsid w:val="22915360"/>
    <w:rsid w:val="2292110D"/>
    <w:rsid w:val="2295268E"/>
    <w:rsid w:val="2296541A"/>
    <w:rsid w:val="229677D5"/>
    <w:rsid w:val="2298179E"/>
    <w:rsid w:val="229838BC"/>
    <w:rsid w:val="22994D41"/>
    <w:rsid w:val="229B752C"/>
    <w:rsid w:val="229C0B63"/>
    <w:rsid w:val="229C112C"/>
    <w:rsid w:val="229C1BA5"/>
    <w:rsid w:val="229D3EF1"/>
    <w:rsid w:val="229F16E8"/>
    <w:rsid w:val="22A07D01"/>
    <w:rsid w:val="22A1482E"/>
    <w:rsid w:val="22A1700C"/>
    <w:rsid w:val="22A243CB"/>
    <w:rsid w:val="22A55D80"/>
    <w:rsid w:val="22A57CDC"/>
    <w:rsid w:val="22A87507"/>
    <w:rsid w:val="22A9070E"/>
    <w:rsid w:val="22A9674F"/>
    <w:rsid w:val="22AC4529"/>
    <w:rsid w:val="22AC524A"/>
    <w:rsid w:val="22AC720F"/>
    <w:rsid w:val="22AD26A9"/>
    <w:rsid w:val="22AD34D7"/>
    <w:rsid w:val="22AF071B"/>
    <w:rsid w:val="22AF2E1B"/>
    <w:rsid w:val="22B02EB3"/>
    <w:rsid w:val="22B102F8"/>
    <w:rsid w:val="22B248D1"/>
    <w:rsid w:val="22B262C7"/>
    <w:rsid w:val="22B26EF4"/>
    <w:rsid w:val="22B35C9E"/>
    <w:rsid w:val="22B40CE5"/>
    <w:rsid w:val="22B41E4E"/>
    <w:rsid w:val="22B6790D"/>
    <w:rsid w:val="22B81625"/>
    <w:rsid w:val="22B83FDE"/>
    <w:rsid w:val="22B97738"/>
    <w:rsid w:val="22BB36DF"/>
    <w:rsid w:val="22BB6B16"/>
    <w:rsid w:val="22BD1E89"/>
    <w:rsid w:val="22BD5393"/>
    <w:rsid w:val="22BF1DDF"/>
    <w:rsid w:val="22C02AA3"/>
    <w:rsid w:val="22C06271"/>
    <w:rsid w:val="22C06C83"/>
    <w:rsid w:val="22C071EF"/>
    <w:rsid w:val="22C17BC4"/>
    <w:rsid w:val="22C205C9"/>
    <w:rsid w:val="22C2681B"/>
    <w:rsid w:val="22C32593"/>
    <w:rsid w:val="22C44C37"/>
    <w:rsid w:val="22C514F9"/>
    <w:rsid w:val="22C5630B"/>
    <w:rsid w:val="22C81CC8"/>
    <w:rsid w:val="22C83912"/>
    <w:rsid w:val="22C91529"/>
    <w:rsid w:val="22C933E0"/>
    <w:rsid w:val="22C95DFC"/>
    <w:rsid w:val="22CA0A67"/>
    <w:rsid w:val="22CA5FBD"/>
    <w:rsid w:val="22CA7E4C"/>
    <w:rsid w:val="22CB048B"/>
    <w:rsid w:val="22CB72A5"/>
    <w:rsid w:val="22CC1448"/>
    <w:rsid w:val="22CC3602"/>
    <w:rsid w:val="22CC64E9"/>
    <w:rsid w:val="22CE33D3"/>
    <w:rsid w:val="22CE54FD"/>
    <w:rsid w:val="22CF701C"/>
    <w:rsid w:val="22D05D90"/>
    <w:rsid w:val="22D24A4D"/>
    <w:rsid w:val="22D332AF"/>
    <w:rsid w:val="22D422B1"/>
    <w:rsid w:val="22D478B0"/>
    <w:rsid w:val="22D60519"/>
    <w:rsid w:val="22D60C4D"/>
    <w:rsid w:val="22D629CA"/>
    <w:rsid w:val="22D71C1D"/>
    <w:rsid w:val="22D757D3"/>
    <w:rsid w:val="22D91B0D"/>
    <w:rsid w:val="22DA0E7B"/>
    <w:rsid w:val="22DA4A23"/>
    <w:rsid w:val="22DA60FF"/>
    <w:rsid w:val="22DB3516"/>
    <w:rsid w:val="22DD212E"/>
    <w:rsid w:val="22DD7D5C"/>
    <w:rsid w:val="22DE371C"/>
    <w:rsid w:val="22DF7267"/>
    <w:rsid w:val="22E04A73"/>
    <w:rsid w:val="22E0527A"/>
    <w:rsid w:val="22E07B6E"/>
    <w:rsid w:val="22E22A19"/>
    <w:rsid w:val="22E23D5F"/>
    <w:rsid w:val="22E36792"/>
    <w:rsid w:val="22E42C35"/>
    <w:rsid w:val="22E6302E"/>
    <w:rsid w:val="22E67C91"/>
    <w:rsid w:val="22E73C19"/>
    <w:rsid w:val="22EA5A6D"/>
    <w:rsid w:val="22EB3DAE"/>
    <w:rsid w:val="22EB5EBD"/>
    <w:rsid w:val="22EC4425"/>
    <w:rsid w:val="22EE226C"/>
    <w:rsid w:val="22EE303F"/>
    <w:rsid w:val="22F32E79"/>
    <w:rsid w:val="22F42523"/>
    <w:rsid w:val="22F43BF4"/>
    <w:rsid w:val="22F52D07"/>
    <w:rsid w:val="22F5559F"/>
    <w:rsid w:val="22F57A0F"/>
    <w:rsid w:val="22F603B3"/>
    <w:rsid w:val="22F619A1"/>
    <w:rsid w:val="22F64717"/>
    <w:rsid w:val="22F8345C"/>
    <w:rsid w:val="22F83A24"/>
    <w:rsid w:val="22FB2867"/>
    <w:rsid w:val="22FB3ADB"/>
    <w:rsid w:val="22FB6C23"/>
    <w:rsid w:val="22FD71EF"/>
    <w:rsid w:val="22FE3E5A"/>
    <w:rsid w:val="22FF06CD"/>
    <w:rsid w:val="230015A6"/>
    <w:rsid w:val="230126F8"/>
    <w:rsid w:val="23012AA5"/>
    <w:rsid w:val="23023834"/>
    <w:rsid w:val="23033BCA"/>
    <w:rsid w:val="230368EF"/>
    <w:rsid w:val="23037843"/>
    <w:rsid w:val="230400E7"/>
    <w:rsid w:val="230414AA"/>
    <w:rsid w:val="2309269C"/>
    <w:rsid w:val="23095068"/>
    <w:rsid w:val="230A0ECC"/>
    <w:rsid w:val="230C2C67"/>
    <w:rsid w:val="230E03FD"/>
    <w:rsid w:val="23105482"/>
    <w:rsid w:val="231057D9"/>
    <w:rsid w:val="23110273"/>
    <w:rsid w:val="231150AD"/>
    <w:rsid w:val="231262AE"/>
    <w:rsid w:val="2313700D"/>
    <w:rsid w:val="23151041"/>
    <w:rsid w:val="23195BCC"/>
    <w:rsid w:val="231A009B"/>
    <w:rsid w:val="231A178A"/>
    <w:rsid w:val="231A51C1"/>
    <w:rsid w:val="231B5F2B"/>
    <w:rsid w:val="231C2D03"/>
    <w:rsid w:val="231C3529"/>
    <w:rsid w:val="231C70BF"/>
    <w:rsid w:val="231C75B9"/>
    <w:rsid w:val="231D08E3"/>
    <w:rsid w:val="231D4366"/>
    <w:rsid w:val="231E77CA"/>
    <w:rsid w:val="231F1846"/>
    <w:rsid w:val="231F1C62"/>
    <w:rsid w:val="231F6A45"/>
    <w:rsid w:val="23203D54"/>
    <w:rsid w:val="23211511"/>
    <w:rsid w:val="23214E84"/>
    <w:rsid w:val="23235789"/>
    <w:rsid w:val="23236E35"/>
    <w:rsid w:val="2325291A"/>
    <w:rsid w:val="23253F82"/>
    <w:rsid w:val="23272574"/>
    <w:rsid w:val="232808CE"/>
    <w:rsid w:val="232832FF"/>
    <w:rsid w:val="232B6B2C"/>
    <w:rsid w:val="232D6531"/>
    <w:rsid w:val="232E3D22"/>
    <w:rsid w:val="232E6CEA"/>
    <w:rsid w:val="232E7D9F"/>
    <w:rsid w:val="232F6D34"/>
    <w:rsid w:val="23303578"/>
    <w:rsid w:val="23304328"/>
    <w:rsid w:val="233065B1"/>
    <w:rsid w:val="2331285C"/>
    <w:rsid w:val="23317978"/>
    <w:rsid w:val="23323177"/>
    <w:rsid w:val="23326131"/>
    <w:rsid w:val="2332714F"/>
    <w:rsid w:val="23334716"/>
    <w:rsid w:val="23336974"/>
    <w:rsid w:val="23337719"/>
    <w:rsid w:val="23350B0E"/>
    <w:rsid w:val="23360235"/>
    <w:rsid w:val="2336162A"/>
    <w:rsid w:val="2338088B"/>
    <w:rsid w:val="233A662C"/>
    <w:rsid w:val="233A7FAB"/>
    <w:rsid w:val="233D5EA2"/>
    <w:rsid w:val="233E3694"/>
    <w:rsid w:val="233F0430"/>
    <w:rsid w:val="233F184C"/>
    <w:rsid w:val="233F5401"/>
    <w:rsid w:val="234073B7"/>
    <w:rsid w:val="234121E7"/>
    <w:rsid w:val="2341242D"/>
    <w:rsid w:val="23416DBB"/>
    <w:rsid w:val="2342267F"/>
    <w:rsid w:val="234379E5"/>
    <w:rsid w:val="2344685B"/>
    <w:rsid w:val="23455B2E"/>
    <w:rsid w:val="23466363"/>
    <w:rsid w:val="23475ADD"/>
    <w:rsid w:val="23475BD1"/>
    <w:rsid w:val="234B506B"/>
    <w:rsid w:val="234B773F"/>
    <w:rsid w:val="234C23C0"/>
    <w:rsid w:val="234D5E33"/>
    <w:rsid w:val="234E4553"/>
    <w:rsid w:val="234F2190"/>
    <w:rsid w:val="234F23BF"/>
    <w:rsid w:val="234F66E5"/>
    <w:rsid w:val="23515DF1"/>
    <w:rsid w:val="23542167"/>
    <w:rsid w:val="23545EC8"/>
    <w:rsid w:val="23550037"/>
    <w:rsid w:val="23552376"/>
    <w:rsid w:val="235651B5"/>
    <w:rsid w:val="23566329"/>
    <w:rsid w:val="23572C4A"/>
    <w:rsid w:val="23595148"/>
    <w:rsid w:val="23596B80"/>
    <w:rsid w:val="23597F78"/>
    <w:rsid w:val="235C3B59"/>
    <w:rsid w:val="235D2B6A"/>
    <w:rsid w:val="235D418E"/>
    <w:rsid w:val="235E1B44"/>
    <w:rsid w:val="235F4010"/>
    <w:rsid w:val="235F406A"/>
    <w:rsid w:val="23645B24"/>
    <w:rsid w:val="23647C9E"/>
    <w:rsid w:val="2365267F"/>
    <w:rsid w:val="236553F8"/>
    <w:rsid w:val="2366189C"/>
    <w:rsid w:val="2366364A"/>
    <w:rsid w:val="23684C74"/>
    <w:rsid w:val="23690BFC"/>
    <w:rsid w:val="23696ACC"/>
    <w:rsid w:val="236C21A8"/>
    <w:rsid w:val="236C5BC2"/>
    <w:rsid w:val="236C7076"/>
    <w:rsid w:val="236C7799"/>
    <w:rsid w:val="236D59C7"/>
    <w:rsid w:val="236E0AEE"/>
    <w:rsid w:val="236E24FF"/>
    <w:rsid w:val="236F6837"/>
    <w:rsid w:val="237015F6"/>
    <w:rsid w:val="23707A13"/>
    <w:rsid w:val="23712A6C"/>
    <w:rsid w:val="23727CB0"/>
    <w:rsid w:val="23744078"/>
    <w:rsid w:val="2375388E"/>
    <w:rsid w:val="23755B02"/>
    <w:rsid w:val="23755C4F"/>
    <w:rsid w:val="2376485C"/>
    <w:rsid w:val="23764A11"/>
    <w:rsid w:val="23765781"/>
    <w:rsid w:val="237714E8"/>
    <w:rsid w:val="23784056"/>
    <w:rsid w:val="237A6697"/>
    <w:rsid w:val="237C0D44"/>
    <w:rsid w:val="237C10C0"/>
    <w:rsid w:val="237C4C1C"/>
    <w:rsid w:val="237C5C29"/>
    <w:rsid w:val="237E53B1"/>
    <w:rsid w:val="237F69D9"/>
    <w:rsid w:val="2380380C"/>
    <w:rsid w:val="238041A2"/>
    <w:rsid w:val="23813850"/>
    <w:rsid w:val="2382592A"/>
    <w:rsid w:val="23833625"/>
    <w:rsid w:val="23841DD9"/>
    <w:rsid w:val="2385378B"/>
    <w:rsid w:val="23853F8C"/>
    <w:rsid w:val="23854D4F"/>
    <w:rsid w:val="23871813"/>
    <w:rsid w:val="238744E8"/>
    <w:rsid w:val="23876361"/>
    <w:rsid w:val="2389175A"/>
    <w:rsid w:val="238A2F84"/>
    <w:rsid w:val="238A5F5C"/>
    <w:rsid w:val="238D46A1"/>
    <w:rsid w:val="238E13E1"/>
    <w:rsid w:val="238E20DE"/>
    <w:rsid w:val="238F72B6"/>
    <w:rsid w:val="23922691"/>
    <w:rsid w:val="23922EE1"/>
    <w:rsid w:val="23927375"/>
    <w:rsid w:val="23931BB2"/>
    <w:rsid w:val="239432A5"/>
    <w:rsid w:val="23982480"/>
    <w:rsid w:val="2398757C"/>
    <w:rsid w:val="239A0604"/>
    <w:rsid w:val="23A0109C"/>
    <w:rsid w:val="23A10B26"/>
    <w:rsid w:val="23A203FB"/>
    <w:rsid w:val="23A22E33"/>
    <w:rsid w:val="23A47074"/>
    <w:rsid w:val="23A578B8"/>
    <w:rsid w:val="23A72ED2"/>
    <w:rsid w:val="23A924A0"/>
    <w:rsid w:val="23A979DB"/>
    <w:rsid w:val="23AA34F8"/>
    <w:rsid w:val="23AB426C"/>
    <w:rsid w:val="23AB6B46"/>
    <w:rsid w:val="23AC365E"/>
    <w:rsid w:val="23AE0D1F"/>
    <w:rsid w:val="23AE2BED"/>
    <w:rsid w:val="23AE4FF1"/>
    <w:rsid w:val="23AE583B"/>
    <w:rsid w:val="23B15197"/>
    <w:rsid w:val="23B1699D"/>
    <w:rsid w:val="23B242AF"/>
    <w:rsid w:val="23B4085A"/>
    <w:rsid w:val="23B5369F"/>
    <w:rsid w:val="23B5700C"/>
    <w:rsid w:val="23B6137F"/>
    <w:rsid w:val="23B74A16"/>
    <w:rsid w:val="23B8223D"/>
    <w:rsid w:val="23BE5F46"/>
    <w:rsid w:val="23BE65B5"/>
    <w:rsid w:val="23BE768B"/>
    <w:rsid w:val="23BE7DEB"/>
    <w:rsid w:val="23BF0F94"/>
    <w:rsid w:val="23BF0FAD"/>
    <w:rsid w:val="23BF13AC"/>
    <w:rsid w:val="23C03D4A"/>
    <w:rsid w:val="23C06A12"/>
    <w:rsid w:val="23C142D5"/>
    <w:rsid w:val="23C15840"/>
    <w:rsid w:val="23C176E5"/>
    <w:rsid w:val="23C245F9"/>
    <w:rsid w:val="23C24CAF"/>
    <w:rsid w:val="23C463ED"/>
    <w:rsid w:val="23C57BEE"/>
    <w:rsid w:val="23C60A85"/>
    <w:rsid w:val="23C80EDF"/>
    <w:rsid w:val="23C80F5C"/>
    <w:rsid w:val="23C8501E"/>
    <w:rsid w:val="23C95D59"/>
    <w:rsid w:val="23CA22CA"/>
    <w:rsid w:val="23CB5BA3"/>
    <w:rsid w:val="23CC7A94"/>
    <w:rsid w:val="23CD7606"/>
    <w:rsid w:val="23CE18C6"/>
    <w:rsid w:val="23CE2F9E"/>
    <w:rsid w:val="23CF305C"/>
    <w:rsid w:val="23CF4D64"/>
    <w:rsid w:val="23D06D16"/>
    <w:rsid w:val="23D108B8"/>
    <w:rsid w:val="23D133F6"/>
    <w:rsid w:val="23D30931"/>
    <w:rsid w:val="23D30E91"/>
    <w:rsid w:val="23D34A58"/>
    <w:rsid w:val="23D36817"/>
    <w:rsid w:val="23D60969"/>
    <w:rsid w:val="23D90D22"/>
    <w:rsid w:val="23DA1943"/>
    <w:rsid w:val="23DA5DE6"/>
    <w:rsid w:val="23DA6AE5"/>
    <w:rsid w:val="23DB38E3"/>
    <w:rsid w:val="23DB4138"/>
    <w:rsid w:val="23DC018B"/>
    <w:rsid w:val="23DC41A7"/>
    <w:rsid w:val="23DD1433"/>
    <w:rsid w:val="23DE3C3F"/>
    <w:rsid w:val="23DE7685"/>
    <w:rsid w:val="23E31B86"/>
    <w:rsid w:val="23E34C9B"/>
    <w:rsid w:val="23E44FBD"/>
    <w:rsid w:val="23E469E3"/>
    <w:rsid w:val="23E63A1D"/>
    <w:rsid w:val="23E64206"/>
    <w:rsid w:val="23E66539"/>
    <w:rsid w:val="23E71422"/>
    <w:rsid w:val="23E727C4"/>
    <w:rsid w:val="23E80503"/>
    <w:rsid w:val="23E82121"/>
    <w:rsid w:val="23E91A35"/>
    <w:rsid w:val="23E92DC0"/>
    <w:rsid w:val="23EA570F"/>
    <w:rsid w:val="23EA6A36"/>
    <w:rsid w:val="23EB4595"/>
    <w:rsid w:val="23EC067A"/>
    <w:rsid w:val="23EC412D"/>
    <w:rsid w:val="23EC5414"/>
    <w:rsid w:val="23ED49BB"/>
    <w:rsid w:val="23EF3EB6"/>
    <w:rsid w:val="23F130F4"/>
    <w:rsid w:val="23F16DC2"/>
    <w:rsid w:val="23F32218"/>
    <w:rsid w:val="23F35476"/>
    <w:rsid w:val="23F5677C"/>
    <w:rsid w:val="23F60138"/>
    <w:rsid w:val="23F67F1C"/>
    <w:rsid w:val="23F84985"/>
    <w:rsid w:val="23F95CE7"/>
    <w:rsid w:val="23FA1179"/>
    <w:rsid w:val="23FA1FE5"/>
    <w:rsid w:val="23FA2C31"/>
    <w:rsid w:val="23FA3D93"/>
    <w:rsid w:val="23FD145D"/>
    <w:rsid w:val="23FD3B14"/>
    <w:rsid w:val="23FF1192"/>
    <w:rsid w:val="23FF33CA"/>
    <w:rsid w:val="24007FDC"/>
    <w:rsid w:val="24014CDC"/>
    <w:rsid w:val="240510B5"/>
    <w:rsid w:val="24062738"/>
    <w:rsid w:val="2406447D"/>
    <w:rsid w:val="24066BDB"/>
    <w:rsid w:val="2409047A"/>
    <w:rsid w:val="24091012"/>
    <w:rsid w:val="240C4246"/>
    <w:rsid w:val="240C4FF6"/>
    <w:rsid w:val="240D3B04"/>
    <w:rsid w:val="24102BD7"/>
    <w:rsid w:val="2410618E"/>
    <w:rsid w:val="241079FF"/>
    <w:rsid w:val="2412732E"/>
    <w:rsid w:val="24134E54"/>
    <w:rsid w:val="24181EF1"/>
    <w:rsid w:val="24184D02"/>
    <w:rsid w:val="241A38D7"/>
    <w:rsid w:val="241A54DB"/>
    <w:rsid w:val="241B075D"/>
    <w:rsid w:val="241B24EC"/>
    <w:rsid w:val="241E5E11"/>
    <w:rsid w:val="241F2D9B"/>
    <w:rsid w:val="24206F9A"/>
    <w:rsid w:val="2421746C"/>
    <w:rsid w:val="24223CEC"/>
    <w:rsid w:val="24242268"/>
    <w:rsid w:val="24247062"/>
    <w:rsid w:val="242633F7"/>
    <w:rsid w:val="24264DF5"/>
    <w:rsid w:val="242729A8"/>
    <w:rsid w:val="24283E83"/>
    <w:rsid w:val="2428437D"/>
    <w:rsid w:val="24284DA4"/>
    <w:rsid w:val="24286E9E"/>
    <w:rsid w:val="2429086F"/>
    <w:rsid w:val="242A170A"/>
    <w:rsid w:val="242B106E"/>
    <w:rsid w:val="242B219E"/>
    <w:rsid w:val="242C16EC"/>
    <w:rsid w:val="242C2A29"/>
    <w:rsid w:val="242D5F16"/>
    <w:rsid w:val="242E1194"/>
    <w:rsid w:val="242F0D77"/>
    <w:rsid w:val="242F1F64"/>
    <w:rsid w:val="242F7EE0"/>
    <w:rsid w:val="24305A06"/>
    <w:rsid w:val="2431059F"/>
    <w:rsid w:val="243168EE"/>
    <w:rsid w:val="2432352D"/>
    <w:rsid w:val="24340A4D"/>
    <w:rsid w:val="2435722E"/>
    <w:rsid w:val="243674C1"/>
    <w:rsid w:val="24376C91"/>
    <w:rsid w:val="243873F5"/>
    <w:rsid w:val="243954AE"/>
    <w:rsid w:val="243A0633"/>
    <w:rsid w:val="243A3680"/>
    <w:rsid w:val="243A5492"/>
    <w:rsid w:val="243A6885"/>
    <w:rsid w:val="243B1825"/>
    <w:rsid w:val="243C43AB"/>
    <w:rsid w:val="243C4E7A"/>
    <w:rsid w:val="243D13F5"/>
    <w:rsid w:val="244119C2"/>
    <w:rsid w:val="24417C14"/>
    <w:rsid w:val="24422863"/>
    <w:rsid w:val="24424E18"/>
    <w:rsid w:val="24434176"/>
    <w:rsid w:val="24435819"/>
    <w:rsid w:val="24441999"/>
    <w:rsid w:val="24452500"/>
    <w:rsid w:val="24457704"/>
    <w:rsid w:val="24460EFD"/>
    <w:rsid w:val="24464D5F"/>
    <w:rsid w:val="2446648F"/>
    <w:rsid w:val="24474BEB"/>
    <w:rsid w:val="244760E7"/>
    <w:rsid w:val="244871F4"/>
    <w:rsid w:val="244B2657"/>
    <w:rsid w:val="244D0366"/>
    <w:rsid w:val="244E7ABC"/>
    <w:rsid w:val="244F00B3"/>
    <w:rsid w:val="244F484B"/>
    <w:rsid w:val="24504304"/>
    <w:rsid w:val="24514197"/>
    <w:rsid w:val="24515D4E"/>
    <w:rsid w:val="24526CD5"/>
    <w:rsid w:val="2452757C"/>
    <w:rsid w:val="24540A05"/>
    <w:rsid w:val="24541BE3"/>
    <w:rsid w:val="24544984"/>
    <w:rsid w:val="245517E3"/>
    <w:rsid w:val="24555AEC"/>
    <w:rsid w:val="24561D6D"/>
    <w:rsid w:val="24596325"/>
    <w:rsid w:val="245A52ED"/>
    <w:rsid w:val="245E2E3F"/>
    <w:rsid w:val="245E2F53"/>
    <w:rsid w:val="245F02C4"/>
    <w:rsid w:val="245F176F"/>
    <w:rsid w:val="245F1806"/>
    <w:rsid w:val="24602EE6"/>
    <w:rsid w:val="2460453E"/>
    <w:rsid w:val="24604C9A"/>
    <w:rsid w:val="246054A2"/>
    <w:rsid w:val="246061DA"/>
    <w:rsid w:val="24614EB9"/>
    <w:rsid w:val="2463425A"/>
    <w:rsid w:val="246430BE"/>
    <w:rsid w:val="246555E1"/>
    <w:rsid w:val="246765FC"/>
    <w:rsid w:val="24676BA5"/>
    <w:rsid w:val="246833F2"/>
    <w:rsid w:val="246A2573"/>
    <w:rsid w:val="246B0F38"/>
    <w:rsid w:val="246B2966"/>
    <w:rsid w:val="246C4EEF"/>
    <w:rsid w:val="246C6051"/>
    <w:rsid w:val="246D3300"/>
    <w:rsid w:val="246E2D16"/>
    <w:rsid w:val="246E3343"/>
    <w:rsid w:val="246F00E2"/>
    <w:rsid w:val="24702643"/>
    <w:rsid w:val="24720EA1"/>
    <w:rsid w:val="247306AA"/>
    <w:rsid w:val="24731CA2"/>
    <w:rsid w:val="24743C46"/>
    <w:rsid w:val="247641BC"/>
    <w:rsid w:val="24765C28"/>
    <w:rsid w:val="24777BC5"/>
    <w:rsid w:val="247A404C"/>
    <w:rsid w:val="247A5D05"/>
    <w:rsid w:val="247B4A27"/>
    <w:rsid w:val="247C5FA0"/>
    <w:rsid w:val="247C68F3"/>
    <w:rsid w:val="247E0A3F"/>
    <w:rsid w:val="247E6772"/>
    <w:rsid w:val="247F00B7"/>
    <w:rsid w:val="247F392A"/>
    <w:rsid w:val="24800E1A"/>
    <w:rsid w:val="2480698E"/>
    <w:rsid w:val="248117F4"/>
    <w:rsid w:val="248278DE"/>
    <w:rsid w:val="24836E75"/>
    <w:rsid w:val="248676DC"/>
    <w:rsid w:val="24873C36"/>
    <w:rsid w:val="24886BB5"/>
    <w:rsid w:val="248A5E6C"/>
    <w:rsid w:val="248B2649"/>
    <w:rsid w:val="248B5332"/>
    <w:rsid w:val="248C5333"/>
    <w:rsid w:val="248C78C0"/>
    <w:rsid w:val="248D35F0"/>
    <w:rsid w:val="248D70EB"/>
    <w:rsid w:val="249064A5"/>
    <w:rsid w:val="24911B47"/>
    <w:rsid w:val="24922BF4"/>
    <w:rsid w:val="24946AAF"/>
    <w:rsid w:val="24955B50"/>
    <w:rsid w:val="24980826"/>
    <w:rsid w:val="24987AC4"/>
    <w:rsid w:val="24992818"/>
    <w:rsid w:val="249A0CE8"/>
    <w:rsid w:val="249A1DD6"/>
    <w:rsid w:val="249B4AAF"/>
    <w:rsid w:val="249C5741"/>
    <w:rsid w:val="249E26B1"/>
    <w:rsid w:val="249E76FD"/>
    <w:rsid w:val="249F4607"/>
    <w:rsid w:val="24A00A36"/>
    <w:rsid w:val="24A173BD"/>
    <w:rsid w:val="24A21661"/>
    <w:rsid w:val="24A30154"/>
    <w:rsid w:val="24A32EE9"/>
    <w:rsid w:val="24A35889"/>
    <w:rsid w:val="24A50716"/>
    <w:rsid w:val="24A60E7B"/>
    <w:rsid w:val="24A61F54"/>
    <w:rsid w:val="24A65934"/>
    <w:rsid w:val="24A722AA"/>
    <w:rsid w:val="24A806DE"/>
    <w:rsid w:val="24A8657A"/>
    <w:rsid w:val="24A869BF"/>
    <w:rsid w:val="24A8776B"/>
    <w:rsid w:val="24A878F5"/>
    <w:rsid w:val="24AA57B9"/>
    <w:rsid w:val="24AD6390"/>
    <w:rsid w:val="24AD74FD"/>
    <w:rsid w:val="24AF3006"/>
    <w:rsid w:val="24B03D22"/>
    <w:rsid w:val="24B10905"/>
    <w:rsid w:val="24B228BF"/>
    <w:rsid w:val="24B50491"/>
    <w:rsid w:val="24B8562C"/>
    <w:rsid w:val="24B85E2E"/>
    <w:rsid w:val="24B861F7"/>
    <w:rsid w:val="24B96A5C"/>
    <w:rsid w:val="24BA301E"/>
    <w:rsid w:val="24BA7B29"/>
    <w:rsid w:val="24BB1FFA"/>
    <w:rsid w:val="24BB4753"/>
    <w:rsid w:val="24BB76EB"/>
    <w:rsid w:val="24BB7C4B"/>
    <w:rsid w:val="24BC045F"/>
    <w:rsid w:val="24BC6276"/>
    <w:rsid w:val="24BD0DF8"/>
    <w:rsid w:val="24BE7B6A"/>
    <w:rsid w:val="24C0004C"/>
    <w:rsid w:val="24C0322E"/>
    <w:rsid w:val="24C125F0"/>
    <w:rsid w:val="24C14DDC"/>
    <w:rsid w:val="24C17509"/>
    <w:rsid w:val="24C17CF1"/>
    <w:rsid w:val="24C30491"/>
    <w:rsid w:val="24C402F1"/>
    <w:rsid w:val="24C42CDC"/>
    <w:rsid w:val="24C54C65"/>
    <w:rsid w:val="24C602A0"/>
    <w:rsid w:val="24C63D15"/>
    <w:rsid w:val="24C8034D"/>
    <w:rsid w:val="24C932C7"/>
    <w:rsid w:val="24CA1507"/>
    <w:rsid w:val="24CA5E5B"/>
    <w:rsid w:val="24CD14A7"/>
    <w:rsid w:val="24CE259C"/>
    <w:rsid w:val="24CE501C"/>
    <w:rsid w:val="24CF521F"/>
    <w:rsid w:val="24D20A44"/>
    <w:rsid w:val="24D24D00"/>
    <w:rsid w:val="24D34B24"/>
    <w:rsid w:val="24D46CDA"/>
    <w:rsid w:val="24D703A3"/>
    <w:rsid w:val="24D72BAC"/>
    <w:rsid w:val="24D77023"/>
    <w:rsid w:val="24DA5B47"/>
    <w:rsid w:val="24DB6D76"/>
    <w:rsid w:val="24DB7F81"/>
    <w:rsid w:val="24DD5032"/>
    <w:rsid w:val="24DE5462"/>
    <w:rsid w:val="24E11954"/>
    <w:rsid w:val="24E22CAD"/>
    <w:rsid w:val="24E26372"/>
    <w:rsid w:val="24E32A79"/>
    <w:rsid w:val="24E734D3"/>
    <w:rsid w:val="24E84DAB"/>
    <w:rsid w:val="24EA0CD3"/>
    <w:rsid w:val="24EB7A61"/>
    <w:rsid w:val="24EE1B49"/>
    <w:rsid w:val="24EE1B79"/>
    <w:rsid w:val="24EE4658"/>
    <w:rsid w:val="24EF1B84"/>
    <w:rsid w:val="24F026B6"/>
    <w:rsid w:val="24F02D0D"/>
    <w:rsid w:val="24F1651E"/>
    <w:rsid w:val="24F17DB7"/>
    <w:rsid w:val="24F300FC"/>
    <w:rsid w:val="24F34AD6"/>
    <w:rsid w:val="24F353CE"/>
    <w:rsid w:val="24F3691F"/>
    <w:rsid w:val="24F75153"/>
    <w:rsid w:val="24F821EE"/>
    <w:rsid w:val="24FA0BE6"/>
    <w:rsid w:val="24FA5429"/>
    <w:rsid w:val="24FB0799"/>
    <w:rsid w:val="24FB4266"/>
    <w:rsid w:val="24FC23D6"/>
    <w:rsid w:val="24FD478C"/>
    <w:rsid w:val="24FE50C0"/>
    <w:rsid w:val="24FE5B05"/>
    <w:rsid w:val="24FF6ACE"/>
    <w:rsid w:val="24FF7D38"/>
    <w:rsid w:val="2500285A"/>
    <w:rsid w:val="250066CE"/>
    <w:rsid w:val="25010BDC"/>
    <w:rsid w:val="25017BC6"/>
    <w:rsid w:val="25030E1F"/>
    <w:rsid w:val="25035D0B"/>
    <w:rsid w:val="25047586"/>
    <w:rsid w:val="25051A1C"/>
    <w:rsid w:val="2509007C"/>
    <w:rsid w:val="250B14D4"/>
    <w:rsid w:val="250B1A3D"/>
    <w:rsid w:val="250C7A19"/>
    <w:rsid w:val="250D6B8E"/>
    <w:rsid w:val="250F2AED"/>
    <w:rsid w:val="250F56F9"/>
    <w:rsid w:val="2512691B"/>
    <w:rsid w:val="25126E27"/>
    <w:rsid w:val="25145490"/>
    <w:rsid w:val="25145924"/>
    <w:rsid w:val="25145B86"/>
    <w:rsid w:val="2517584D"/>
    <w:rsid w:val="25182AE8"/>
    <w:rsid w:val="25184A48"/>
    <w:rsid w:val="251A293E"/>
    <w:rsid w:val="251B0465"/>
    <w:rsid w:val="251B1AB2"/>
    <w:rsid w:val="251C42F9"/>
    <w:rsid w:val="251C753A"/>
    <w:rsid w:val="251D409E"/>
    <w:rsid w:val="251E59E0"/>
    <w:rsid w:val="251E76B2"/>
    <w:rsid w:val="251F180A"/>
    <w:rsid w:val="251F2E7C"/>
    <w:rsid w:val="251F60EA"/>
    <w:rsid w:val="25206D5C"/>
    <w:rsid w:val="25215150"/>
    <w:rsid w:val="25222522"/>
    <w:rsid w:val="2522693E"/>
    <w:rsid w:val="25230E74"/>
    <w:rsid w:val="25253991"/>
    <w:rsid w:val="2526682A"/>
    <w:rsid w:val="25270FE8"/>
    <w:rsid w:val="25273966"/>
    <w:rsid w:val="25293F80"/>
    <w:rsid w:val="252A5A7D"/>
    <w:rsid w:val="252A72C7"/>
    <w:rsid w:val="252A7732"/>
    <w:rsid w:val="252B269C"/>
    <w:rsid w:val="252D0AA3"/>
    <w:rsid w:val="252E0CE2"/>
    <w:rsid w:val="252E1691"/>
    <w:rsid w:val="25305331"/>
    <w:rsid w:val="2531078F"/>
    <w:rsid w:val="25322B18"/>
    <w:rsid w:val="253272BF"/>
    <w:rsid w:val="25330E2E"/>
    <w:rsid w:val="25334D38"/>
    <w:rsid w:val="253432D4"/>
    <w:rsid w:val="25364B33"/>
    <w:rsid w:val="25386EF6"/>
    <w:rsid w:val="253B13A7"/>
    <w:rsid w:val="253B6408"/>
    <w:rsid w:val="253C56EE"/>
    <w:rsid w:val="253D487F"/>
    <w:rsid w:val="253E31A5"/>
    <w:rsid w:val="253E5089"/>
    <w:rsid w:val="25407ECB"/>
    <w:rsid w:val="25410FCB"/>
    <w:rsid w:val="2541137F"/>
    <w:rsid w:val="254148C2"/>
    <w:rsid w:val="254149F8"/>
    <w:rsid w:val="254479BB"/>
    <w:rsid w:val="25453243"/>
    <w:rsid w:val="2546345C"/>
    <w:rsid w:val="254828A7"/>
    <w:rsid w:val="254A0D4A"/>
    <w:rsid w:val="254A4580"/>
    <w:rsid w:val="254E02BB"/>
    <w:rsid w:val="254E66A8"/>
    <w:rsid w:val="25514666"/>
    <w:rsid w:val="25522A8A"/>
    <w:rsid w:val="25524FC9"/>
    <w:rsid w:val="25534569"/>
    <w:rsid w:val="255708B7"/>
    <w:rsid w:val="255816B9"/>
    <w:rsid w:val="255821B0"/>
    <w:rsid w:val="2558427C"/>
    <w:rsid w:val="25592D3B"/>
    <w:rsid w:val="255933AF"/>
    <w:rsid w:val="255A78DA"/>
    <w:rsid w:val="255B2067"/>
    <w:rsid w:val="255B51F0"/>
    <w:rsid w:val="255B6AB3"/>
    <w:rsid w:val="255D2781"/>
    <w:rsid w:val="255E0351"/>
    <w:rsid w:val="255E16AD"/>
    <w:rsid w:val="255E2348"/>
    <w:rsid w:val="255E4015"/>
    <w:rsid w:val="255E5379"/>
    <w:rsid w:val="255F3449"/>
    <w:rsid w:val="25606C02"/>
    <w:rsid w:val="256110D9"/>
    <w:rsid w:val="2563432E"/>
    <w:rsid w:val="25637AEF"/>
    <w:rsid w:val="256410B3"/>
    <w:rsid w:val="25643C0C"/>
    <w:rsid w:val="256619E3"/>
    <w:rsid w:val="25663CBD"/>
    <w:rsid w:val="25670308"/>
    <w:rsid w:val="25687E91"/>
    <w:rsid w:val="25695A7A"/>
    <w:rsid w:val="256A6273"/>
    <w:rsid w:val="256C7E24"/>
    <w:rsid w:val="256D244F"/>
    <w:rsid w:val="256E0BB0"/>
    <w:rsid w:val="256E2983"/>
    <w:rsid w:val="256F4FB0"/>
    <w:rsid w:val="256F72D1"/>
    <w:rsid w:val="25706A02"/>
    <w:rsid w:val="257152E0"/>
    <w:rsid w:val="2571608C"/>
    <w:rsid w:val="25743A75"/>
    <w:rsid w:val="25761B3F"/>
    <w:rsid w:val="25787562"/>
    <w:rsid w:val="25795BAA"/>
    <w:rsid w:val="257A314D"/>
    <w:rsid w:val="257B469E"/>
    <w:rsid w:val="257D1F44"/>
    <w:rsid w:val="257F4890"/>
    <w:rsid w:val="25820072"/>
    <w:rsid w:val="258277C2"/>
    <w:rsid w:val="25831892"/>
    <w:rsid w:val="25844C3C"/>
    <w:rsid w:val="25845E1E"/>
    <w:rsid w:val="25850999"/>
    <w:rsid w:val="258532A7"/>
    <w:rsid w:val="25857F76"/>
    <w:rsid w:val="25873CA1"/>
    <w:rsid w:val="25873D4C"/>
    <w:rsid w:val="25877D1C"/>
    <w:rsid w:val="258878DB"/>
    <w:rsid w:val="25891C28"/>
    <w:rsid w:val="258946AB"/>
    <w:rsid w:val="258C1362"/>
    <w:rsid w:val="258E2054"/>
    <w:rsid w:val="258F480D"/>
    <w:rsid w:val="25902C01"/>
    <w:rsid w:val="259212CE"/>
    <w:rsid w:val="2592278C"/>
    <w:rsid w:val="25923B65"/>
    <w:rsid w:val="2592786B"/>
    <w:rsid w:val="25975E02"/>
    <w:rsid w:val="25983D97"/>
    <w:rsid w:val="25990740"/>
    <w:rsid w:val="259C02C6"/>
    <w:rsid w:val="259C42F4"/>
    <w:rsid w:val="259C56A9"/>
    <w:rsid w:val="259D0E7A"/>
    <w:rsid w:val="259E1F58"/>
    <w:rsid w:val="259F5F82"/>
    <w:rsid w:val="25A1133F"/>
    <w:rsid w:val="25A154A2"/>
    <w:rsid w:val="25A27BFE"/>
    <w:rsid w:val="25A31C70"/>
    <w:rsid w:val="25A47069"/>
    <w:rsid w:val="25A47F47"/>
    <w:rsid w:val="25A53741"/>
    <w:rsid w:val="25A7095D"/>
    <w:rsid w:val="25A77F4A"/>
    <w:rsid w:val="25A80511"/>
    <w:rsid w:val="25A86B8C"/>
    <w:rsid w:val="25A93B8E"/>
    <w:rsid w:val="25AB6FE2"/>
    <w:rsid w:val="25AB7587"/>
    <w:rsid w:val="25AC595B"/>
    <w:rsid w:val="25AD37B3"/>
    <w:rsid w:val="25AF19A3"/>
    <w:rsid w:val="25AF4EDF"/>
    <w:rsid w:val="25B04960"/>
    <w:rsid w:val="25B14F6A"/>
    <w:rsid w:val="25B305A8"/>
    <w:rsid w:val="25B460A1"/>
    <w:rsid w:val="25B52A2E"/>
    <w:rsid w:val="25B64A7E"/>
    <w:rsid w:val="25B82CA0"/>
    <w:rsid w:val="25B94D82"/>
    <w:rsid w:val="25B95C6A"/>
    <w:rsid w:val="25BA79A2"/>
    <w:rsid w:val="25BB5A9E"/>
    <w:rsid w:val="25BB75EB"/>
    <w:rsid w:val="25BC13CB"/>
    <w:rsid w:val="25BC57A4"/>
    <w:rsid w:val="25BE2BDA"/>
    <w:rsid w:val="25BF34E6"/>
    <w:rsid w:val="25C01168"/>
    <w:rsid w:val="25C0149C"/>
    <w:rsid w:val="25C1038E"/>
    <w:rsid w:val="25C271E7"/>
    <w:rsid w:val="25C40AFC"/>
    <w:rsid w:val="25C428AA"/>
    <w:rsid w:val="25C46CDA"/>
    <w:rsid w:val="25C52C22"/>
    <w:rsid w:val="25C54A2F"/>
    <w:rsid w:val="25C603D0"/>
    <w:rsid w:val="25C60853"/>
    <w:rsid w:val="25C73F37"/>
    <w:rsid w:val="25C81456"/>
    <w:rsid w:val="25C82AE9"/>
    <w:rsid w:val="25C83D3C"/>
    <w:rsid w:val="25CA073D"/>
    <w:rsid w:val="25CB2A91"/>
    <w:rsid w:val="25CC5826"/>
    <w:rsid w:val="25CD42FA"/>
    <w:rsid w:val="25CE309A"/>
    <w:rsid w:val="25CE54D7"/>
    <w:rsid w:val="25CE6675"/>
    <w:rsid w:val="25D01E76"/>
    <w:rsid w:val="25D33BA8"/>
    <w:rsid w:val="25D40F83"/>
    <w:rsid w:val="25D435F5"/>
    <w:rsid w:val="25D44499"/>
    <w:rsid w:val="25D5375C"/>
    <w:rsid w:val="25D53E1D"/>
    <w:rsid w:val="25D562D4"/>
    <w:rsid w:val="25D71ADD"/>
    <w:rsid w:val="25D7210B"/>
    <w:rsid w:val="25D72429"/>
    <w:rsid w:val="25D838D4"/>
    <w:rsid w:val="25D8791D"/>
    <w:rsid w:val="25DB28FA"/>
    <w:rsid w:val="25DB517C"/>
    <w:rsid w:val="25DC3E4A"/>
    <w:rsid w:val="25DE1FA0"/>
    <w:rsid w:val="25DE6558"/>
    <w:rsid w:val="25E12BA4"/>
    <w:rsid w:val="25E14660"/>
    <w:rsid w:val="25E30C1B"/>
    <w:rsid w:val="25E43534"/>
    <w:rsid w:val="25E51382"/>
    <w:rsid w:val="25E514B1"/>
    <w:rsid w:val="25E61914"/>
    <w:rsid w:val="25E62821"/>
    <w:rsid w:val="25E63293"/>
    <w:rsid w:val="25E656E9"/>
    <w:rsid w:val="25E66E61"/>
    <w:rsid w:val="25E73A21"/>
    <w:rsid w:val="25E76849"/>
    <w:rsid w:val="25E9415D"/>
    <w:rsid w:val="25E96E54"/>
    <w:rsid w:val="25EA6412"/>
    <w:rsid w:val="25ED36A4"/>
    <w:rsid w:val="25EF2041"/>
    <w:rsid w:val="25F01073"/>
    <w:rsid w:val="25F0544D"/>
    <w:rsid w:val="25F25669"/>
    <w:rsid w:val="25F42050"/>
    <w:rsid w:val="25F477C6"/>
    <w:rsid w:val="25F81F2F"/>
    <w:rsid w:val="25F8664B"/>
    <w:rsid w:val="25F94A58"/>
    <w:rsid w:val="25FA451E"/>
    <w:rsid w:val="25FB383F"/>
    <w:rsid w:val="25FB61DE"/>
    <w:rsid w:val="25FC1232"/>
    <w:rsid w:val="25FC2044"/>
    <w:rsid w:val="25FC4987"/>
    <w:rsid w:val="25FD230C"/>
    <w:rsid w:val="25FD39A3"/>
    <w:rsid w:val="25FD3E7E"/>
    <w:rsid w:val="25FD4C51"/>
    <w:rsid w:val="25FE4476"/>
    <w:rsid w:val="26000619"/>
    <w:rsid w:val="26005E00"/>
    <w:rsid w:val="260166FB"/>
    <w:rsid w:val="26027740"/>
    <w:rsid w:val="260333D3"/>
    <w:rsid w:val="26035421"/>
    <w:rsid w:val="26041B6B"/>
    <w:rsid w:val="2604714B"/>
    <w:rsid w:val="260A00F5"/>
    <w:rsid w:val="260C079C"/>
    <w:rsid w:val="260C4691"/>
    <w:rsid w:val="260D33AA"/>
    <w:rsid w:val="260D506B"/>
    <w:rsid w:val="260E0F0B"/>
    <w:rsid w:val="260E1703"/>
    <w:rsid w:val="260E7FC9"/>
    <w:rsid w:val="260F09FF"/>
    <w:rsid w:val="261063FF"/>
    <w:rsid w:val="2611492B"/>
    <w:rsid w:val="261550D4"/>
    <w:rsid w:val="26155168"/>
    <w:rsid w:val="261606B4"/>
    <w:rsid w:val="26163D94"/>
    <w:rsid w:val="26163F51"/>
    <w:rsid w:val="26165D6B"/>
    <w:rsid w:val="26171741"/>
    <w:rsid w:val="26185F57"/>
    <w:rsid w:val="261C055A"/>
    <w:rsid w:val="261D7853"/>
    <w:rsid w:val="261E1534"/>
    <w:rsid w:val="261E6923"/>
    <w:rsid w:val="261F16A9"/>
    <w:rsid w:val="261F3F85"/>
    <w:rsid w:val="261F5D33"/>
    <w:rsid w:val="262022EF"/>
    <w:rsid w:val="26211AAB"/>
    <w:rsid w:val="26234D89"/>
    <w:rsid w:val="2623731E"/>
    <w:rsid w:val="262564A4"/>
    <w:rsid w:val="26263D2D"/>
    <w:rsid w:val="262E41C8"/>
    <w:rsid w:val="26300810"/>
    <w:rsid w:val="26301074"/>
    <w:rsid w:val="263214A2"/>
    <w:rsid w:val="26321DB7"/>
    <w:rsid w:val="26325FEC"/>
    <w:rsid w:val="26336919"/>
    <w:rsid w:val="26337C4D"/>
    <w:rsid w:val="26357254"/>
    <w:rsid w:val="263700A8"/>
    <w:rsid w:val="263D098F"/>
    <w:rsid w:val="263D55E4"/>
    <w:rsid w:val="263E08AF"/>
    <w:rsid w:val="263F5A3E"/>
    <w:rsid w:val="26404489"/>
    <w:rsid w:val="2641214D"/>
    <w:rsid w:val="264173DC"/>
    <w:rsid w:val="2642319A"/>
    <w:rsid w:val="264346A3"/>
    <w:rsid w:val="264460DB"/>
    <w:rsid w:val="264516A9"/>
    <w:rsid w:val="264562B9"/>
    <w:rsid w:val="26466175"/>
    <w:rsid w:val="26466C94"/>
    <w:rsid w:val="26467763"/>
    <w:rsid w:val="264936FA"/>
    <w:rsid w:val="264B1BCC"/>
    <w:rsid w:val="264B6B28"/>
    <w:rsid w:val="264C1A99"/>
    <w:rsid w:val="264C227A"/>
    <w:rsid w:val="264D464E"/>
    <w:rsid w:val="264E519F"/>
    <w:rsid w:val="264F1D53"/>
    <w:rsid w:val="264F6D71"/>
    <w:rsid w:val="26502E0F"/>
    <w:rsid w:val="26505750"/>
    <w:rsid w:val="265276F9"/>
    <w:rsid w:val="265351F8"/>
    <w:rsid w:val="2654119B"/>
    <w:rsid w:val="265602B5"/>
    <w:rsid w:val="2658553D"/>
    <w:rsid w:val="265919AE"/>
    <w:rsid w:val="26594B10"/>
    <w:rsid w:val="265956E8"/>
    <w:rsid w:val="26596A0C"/>
    <w:rsid w:val="26597496"/>
    <w:rsid w:val="265A1C02"/>
    <w:rsid w:val="265A2734"/>
    <w:rsid w:val="265A4AAC"/>
    <w:rsid w:val="265C2B87"/>
    <w:rsid w:val="265C2CF4"/>
    <w:rsid w:val="265D759D"/>
    <w:rsid w:val="265E039D"/>
    <w:rsid w:val="265E2B90"/>
    <w:rsid w:val="265E3FD4"/>
    <w:rsid w:val="265E584E"/>
    <w:rsid w:val="265F45AB"/>
    <w:rsid w:val="265F6022"/>
    <w:rsid w:val="266008A8"/>
    <w:rsid w:val="26601CDF"/>
    <w:rsid w:val="2660475C"/>
    <w:rsid w:val="266126EB"/>
    <w:rsid w:val="2663431E"/>
    <w:rsid w:val="26652B2D"/>
    <w:rsid w:val="26653A61"/>
    <w:rsid w:val="26654D96"/>
    <w:rsid w:val="2666004D"/>
    <w:rsid w:val="26672348"/>
    <w:rsid w:val="26676C2A"/>
    <w:rsid w:val="26685FCB"/>
    <w:rsid w:val="266C380A"/>
    <w:rsid w:val="266D135A"/>
    <w:rsid w:val="266D2F42"/>
    <w:rsid w:val="266F576C"/>
    <w:rsid w:val="266F6CBA"/>
    <w:rsid w:val="267047E0"/>
    <w:rsid w:val="267178F0"/>
    <w:rsid w:val="26720558"/>
    <w:rsid w:val="267267AA"/>
    <w:rsid w:val="2673350C"/>
    <w:rsid w:val="26747E2C"/>
    <w:rsid w:val="26761723"/>
    <w:rsid w:val="26761D5F"/>
    <w:rsid w:val="267624EF"/>
    <w:rsid w:val="26773DC1"/>
    <w:rsid w:val="26775F0D"/>
    <w:rsid w:val="267970F1"/>
    <w:rsid w:val="267A6D94"/>
    <w:rsid w:val="267C5CFF"/>
    <w:rsid w:val="267D000B"/>
    <w:rsid w:val="267D680A"/>
    <w:rsid w:val="267F0C45"/>
    <w:rsid w:val="26802C75"/>
    <w:rsid w:val="26824F0A"/>
    <w:rsid w:val="268369F9"/>
    <w:rsid w:val="26851904"/>
    <w:rsid w:val="26861EFB"/>
    <w:rsid w:val="26864004"/>
    <w:rsid w:val="26864C6D"/>
    <w:rsid w:val="26866228"/>
    <w:rsid w:val="26876F0E"/>
    <w:rsid w:val="26881727"/>
    <w:rsid w:val="268838A1"/>
    <w:rsid w:val="268846B0"/>
    <w:rsid w:val="26886DAD"/>
    <w:rsid w:val="2689060F"/>
    <w:rsid w:val="268A673E"/>
    <w:rsid w:val="268C261C"/>
    <w:rsid w:val="268D2A9B"/>
    <w:rsid w:val="268D6818"/>
    <w:rsid w:val="268E18C4"/>
    <w:rsid w:val="268E415E"/>
    <w:rsid w:val="268E50C2"/>
    <w:rsid w:val="268F1E67"/>
    <w:rsid w:val="26904722"/>
    <w:rsid w:val="26915FCA"/>
    <w:rsid w:val="269209B1"/>
    <w:rsid w:val="26933E37"/>
    <w:rsid w:val="26951178"/>
    <w:rsid w:val="26957BB4"/>
    <w:rsid w:val="2696038A"/>
    <w:rsid w:val="269640B9"/>
    <w:rsid w:val="26964B07"/>
    <w:rsid w:val="26971AE9"/>
    <w:rsid w:val="26971D6D"/>
    <w:rsid w:val="269765C4"/>
    <w:rsid w:val="269970FB"/>
    <w:rsid w:val="26997893"/>
    <w:rsid w:val="269A3AE6"/>
    <w:rsid w:val="269B3DD9"/>
    <w:rsid w:val="269D6C98"/>
    <w:rsid w:val="26A2496D"/>
    <w:rsid w:val="26A31A8D"/>
    <w:rsid w:val="26A338B2"/>
    <w:rsid w:val="26A34050"/>
    <w:rsid w:val="26A61097"/>
    <w:rsid w:val="26A7363F"/>
    <w:rsid w:val="26A81D8A"/>
    <w:rsid w:val="26A902E2"/>
    <w:rsid w:val="26A95200"/>
    <w:rsid w:val="26AA02F7"/>
    <w:rsid w:val="26AA5F44"/>
    <w:rsid w:val="26AB0BB0"/>
    <w:rsid w:val="26AD5BC0"/>
    <w:rsid w:val="26AF0423"/>
    <w:rsid w:val="26B015C0"/>
    <w:rsid w:val="26B26C08"/>
    <w:rsid w:val="26B35220"/>
    <w:rsid w:val="26B37A51"/>
    <w:rsid w:val="26B425F2"/>
    <w:rsid w:val="26B460B8"/>
    <w:rsid w:val="26B521AD"/>
    <w:rsid w:val="26B54B21"/>
    <w:rsid w:val="26B54D1B"/>
    <w:rsid w:val="26B7240F"/>
    <w:rsid w:val="26B75EBC"/>
    <w:rsid w:val="26B84D63"/>
    <w:rsid w:val="26B91E68"/>
    <w:rsid w:val="26B965A4"/>
    <w:rsid w:val="26B97F35"/>
    <w:rsid w:val="26BB3CAD"/>
    <w:rsid w:val="26BB54C6"/>
    <w:rsid w:val="26BB73DE"/>
    <w:rsid w:val="26BC0E63"/>
    <w:rsid w:val="26C04166"/>
    <w:rsid w:val="26C12A90"/>
    <w:rsid w:val="26C1678C"/>
    <w:rsid w:val="26C2164D"/>
    <w:rsid w:val="26C22BE5"/>
    <w:rsid w:val="26C3256A"/>
    <w:rsid w:val="26C32CCB"/>
    <w:rsid w:val="26C34D39"/>
    <w:rsid w:val="26C35B30"/>
    <w:rsid w:val="26C37DBE"/>
    <w:rsid w:val="26C51684"/>
    <w:rsid w:val="26C6000B"/>
    <w:rsid w:val="26C73B18"/>
    <w:rsid w:val="26C73F91"/>
    <w:rsid w:val="26C74FDC"/>
    <w:rsid w:val="26C75689"/>
    <w:rsid w:val="26C92B2F"/>
    <w:rsid w:val="26C97FF4"/>
    <w:rsid w:val="26CC5EBA"/>
    <w:rsid w:val="26CC6975"/>
    <w:rsid w:val="26CD39E1"/>
    <w:rsid w:val="26CF2909"/>
    <w:rsid w:val="26CF5B70"/>
    <w:rsid w:val="26CF6A37"/>
    <w:rsid w:val="26D06B1E"/>
    <w:rsid w:val="26D32476"/>
    <w:rsid w:val="26D44D6F"/>
    <w:rsid w:val="26D55F4C"/>
    <w:rsid w:val="26D60AE7"/>
    <w:rsid w:val="26D7660D"/>
    <w:rsid w:val="26D905A2"/>
    <w:rsid w:val="26D93E69"/>
    <w:rsid w:val="26DA3B50"/>
    <w:rsid w:val="26DB0572"/>
    <w:rsid w:val="26DC7F91"/>
    <w:rsid w:val="26DE3C0C"/>
    <w:rsid w:val="26DE54A4"/>
    <w:rsid w:val="26E00C03"/>
    <w:rsid w:val="26E01CD2"/>
    <w:rsid w:val="26E07FCC"/>
    <w:rsid w:val="26E1123A"/>
    <w:rsid w:val="26E1255D"/>
    <w:rsid w:val="26E21545"/>
    <w:rsid w:val="26E21CEE"/>
    <w:rsid w:val="26E22FEA"/>
    <w:rsid w:val="26E33EAE"/>
    <w:rsid w:val="26E34A53"/>
    <w:rsid w:val="26E44BCF"/>
    <w:rsid w:val="26E56B05"/>
    <w:rsid w:val="26E56F7C"/>
    <w:rsid w:val="26E60ADE"/>
    <w:rsid w:val="26E710EC"/>
    <w:rsid w:val="26E86A6C"/>
    <w:rsid w:val="26E87E73"/>
    <w:rsid w:val="26EA089E"/>
    <w:rsid w:val="26EE0A68"/>
    <w:rsid w:val="26EF2C4E"/>
    <w:rsid w:val="26EF5A9C"/>
    <w:rsid w:val="26F20724"/>
    <w:rsid w:val="26F21066"/>
    <w:rsid w:val="26F24CAC"/>
    <w:rsid w:val="26F30CD4"/>
    <w:rsid w:val="26F472C2"/>
    <w:rsid w:val="26F60951"/>
    <w:rsid w:val="26F82484"/>
    <w:rsid w:val="26F907FB"/>
    <w:rsid w:val="26F94545"/>
    <w:rsid w:val="26FA5B4A"/>
    <w:rsid w:val="26FB054E"/>
    <w:rsid w:val="26FB22FC"/>
    <w:rsid w:val="26FB4305"/>
    <w:rsid w:val="26FC1852"/>
    <w:rsid w:val="26FC7481"/>
    <w:rsid w:val="26FD2518"/>
    <w:rsid w:val="26FE792B"/>
    <w:rsid w:val="27006145"/>
    <w:rsid w:val="270075A9"/>
    <w:rsid w:val="2701263D"/>
    <w:rsid w:val="270218DC"/>
    <w:rsid w:val="27042C3A"/>
    <w:rsid w:val="27044B57"/>
    <w:rsid w:val="2704738D"/>
    <w:rsid w:val="270517AA"/>
    <w:rsid w:val="27055E29"/>
    <w:rsid w:val="27061801"/>
    <w:rsid w:val="270631F3"/>
    <w:rsid w:val="2707711E"/>
    <w:rsid w:val="27091470"/>
    <w:rsid w:val="27095274"/>
    <w:rsid w:val="270B406A"/>
    <w:rsid w:val="270B49F8"/>
    <w:rsid w:val="270B551B"/>
    <w:rsid w:val="270B5BBD"/>
    <w:rsid w:val="270C4A34"/>
    <w:rsid w:val="270F3FF9"/>
    <w:rsid w:val="270F5DA7"/>
    <w:rsid w:val="2710758F"/>
    <w:rsid w:val="2712246C"/>
    <w:rsid w:val="27126CEE"/>
    <w:rsid w:val="271308A0"/>
    <w:rsid w:val="271308B5"/>
    <w:rsid w:val="27135897"/>
    <w:rsid w:val="27165388"/>
    <w:rsid w:val="27174C5C"/>
    <w:rsid w:val="271912DC"/>
    <w:rsid w:val="27191DB9"/>
    <w:rsid w:val="271B474C"/>
    <w:rsid w:val="271C1C0F"/>
    <w:rsid w:val="271D1FD7"/>
    <w:rsid w:val="271E40A5"/>
    <w:rsid w:val="271E5FEA"/>
    <w:rsid w:val="27204CC9"/>
    <w:rsid w:val="27233BB2"/>
    <w:rsid w:val="272379E4"/>
    <w:rsid w:val="27252BF1"/>
    <w:rsid w:val="272543D6"/>
    <w:rsid w:val="27257379"/>
    <w:rsid w:val="272659B2"/>
    <w:rsid w:val="27271343"/>
    <w:rsid w:val="27272462"/>
    <w:rsid w:val="27295064"/>
    <w:rsid w:val="272B0768"/>
    <w:rsid w:val="272D447F"/>
    <w:rsid w:val="272D6CD8"/>
    <w:rsid w:val="272E4C92"/>
    <w:rsid w:val="272F67BD"/>
    <w:rsid w:val="273121C1"/>
    <w:rsid w:val="27313F6F"/>
    <w:rsid w:val="27315D1D"/>
    <w:rsid w:val="27316FA8"/>
    <w:rsid w:val="2732214B"/>
    <w:rsid w:val="2732523B"/>
    <w:rsid w:val="273327F1"/>
    <w:rsid w:val="27346553"/>
    <w:rsid w:val="27351CB2"/>
    <w:rsid w:val="27363273"/>
    <w:rsid w:val="27366828"/>
    <w:rsid w:val="273759C5"/>
    <w:rsid w:val="273951E1"/>
    <w:rsid w:val="273A5161"/>
    <w:rsid w:val="273B1A56"/>
    <w:rsid w:val="273B358C"/>
    <w:rsid w:val="273B417A"/>
    <w:rsid w:val="273C086D"/>
    <w:rsid w:val="273D3412"/>
    <w:rsid w:val="273D3CE1"/>
    <w:rsid w:val="273D4A27"/>
    <w:rsid w:val="273E043A"/>
    <w:rsid w:val="273E3339"/>
    <w:rsid w:val="273E5906"/>
    <w:rsid w:val="27407ACE"/>
    <w:rsid w:val="27421CD9"/>
    <w:rsid w:val="274315BA"/>
    <w:rsid w:val="27446B10"/>
    <w:rsid w:val="27453073"/>
    <w:rsid w:val="274530E2"/>
    <w:rsid w:val="27487060"/>
    <w:rsid w:val="27497765"/>
    <w:rsid w:val="274A11C9"/>
    <w:rsid w:val="274A6DDF"/>
    <w:rsid w:val="274C36C4"/>
    <w:rsid w:val="274D6025"/>
    <w:rsid w:val="274E10B4"/>
    <w:rsid w:val="274F4006"/>
    <w:rsid w:val="275223FD"/>
    <w:rsid w:val="27531DF6"/>
    <w:rsid w:val="27531EBD"/>
    <w:rsid w:val="27541A82"/>
    <w:rsid w:val="27553A8D"/>
    <w:rsid w:val="27561F18"/>
    <w:rsid w:val="275634DE"/>
    <w:rsid w:val="275639D6"/>
    <w:rsid w:val="27585E8F"/>
    <w:rsid w:val="275A1509"/>
    <w:rsid w:val="275D7F2E"/>
    <w:rsid w:val="275E7A2A"/>
    <w:rsid w:val="275F01D0"/>
    <w:rsid w:val="275F6280"/>
    <w:rsid w:val="275F6D2E"/>
    <w:rsid w:val="27600573"/>
    <w:rsid w:val="276066BA"/>
    <w:rsid w:val="27617B80"/>
    <w:rsid w:val="27630C0D"/>
    <w:rsid w:val="27631529"/>
    <w:rsid w:val="276566DF"/>
    <w:rsid w:val="276571DE"/>
    <w:rsid w:val="276670F2"/>
    <w:rsid w:val="276677AE"/>
    <w:rsid w:val="27672808"/>
    <w:rsid w:val="27677991"/>
    <w:rsid w:val="27686B38"/>
    <w:rsid w:val="27690B52"/>
    <w:rsid w:val="27694E0D"/>
    <w:rsid w:val="276A1CEA"/>
    <w:rsid w:val="276C6D8F"/>
    <w:rsid w:val="276D3DA1"/>
    <w:rsid w:val="276D3EA0"/>
    <w:rsid w:val="276D792E"/>
    <w:rsid w:val="276F1304"/>
    <w:rsid w:val="276F41FD"/>
    <w:rsid w:val="276F4297"/>
    <w:rsid w:val="277125BE"/>
    <w:rsid w:val="27713610"/>
    <w:rsid w:val="27714173"/>
    <w:rsid w:val="277313D0"/>
    <w:rsid w:val="27737FA6"/>
    <w:rsid w:val="277420AE"/>
    <w:rsid w:val="27742C5B"/>
    <w:rsid w:val="27781B9E"/>
    <w:rsid w:val="277929C5"/>
    <w:rsid w:val="277A0D7B"/>
    <w:rsid w:val="277B09B3"/>
    <w:rsid w:val="277B7242"/>
    <w:rsid w:val="277C5911"/>
    <w:rsid w:val="277E4C81"/>
    <w:rsid w:val="27805F8E"/>
    <w:rsid w:val="2780760C"/>
    <w:rsid w:val="278115F9"/>
    <w:rsid w:val="27817419"/>
    <w:rsid w:val="27820362"/>
    <w:rsid w:val="27820FAB"/>
    <w:rsid w:val="27822A1D"/>
    <w:rsid w:val="27823402"/>
    <w:rsid w:val="27845A07"/>
    <w:rsid w:val="27846795"/>
    <w:rsid w:val="27847714"/>
    <w:rsid w:val="27851EF2"/>
    <w:rsid w:val="278836B6"/>
    <w:rsid w:val="2788387B"/>
    <w:rsid w:val="27885207"/>
    <w:rsid w:val="278A36AF"/>
    <w:rsid w:val="278B529D"/>
    <w:rsid w:val="278E13C2"/>
    <w:rsid w:val="278E3170"/>
    <w:rsid w:val="278E6C71"/>
    <w:rsid w:val="278F0C96"/>
    <w:rsid w:val="278F4C57"/>
    <w:rsid w:val="2791110F"/>
    <w:rsid w:val="2791418B"/>
    <w:rsid w:val="27927CB7"/>
    <w:rsid w:val="27927E97"/>
    <w:rsid w:val="27935BF6"/>
    <w:rsid w:val="279369D8"/>
    <w:rsid w:val="27936EBA"/>
    <w:rsid w:val="279462AC"/>
    <w:rsid w:val="27951069"/>
    <w:rsid w:val="279572F8"/>
    <w:rsid w:val="27964216"/>
    <w:rsid w:val="27972A2C"/>
    <w:rsid w:val="279900AD"/>
    <w:rsid w:val="27994E67"/>
    <w:rsid w:val="279A15F0"/>
    <w:rsid w:val="279D108B"/>
    <w:rsid w:val="279E28E9"/>
    <w:rsid w:val="279F35CF"/>
    <w:rsid w:val="27A10C04"/>
    <w:rsid w:val="27A13526"/>
    <w:rsid w:val="27A135B5"/>
    <w:rsid w:val="27A27E29"/>
    <w:rsid w:val="27A33D36"/>
    <w:rsid w:val="27A52D41"/>
    <w:rsid w:val="27A72484"/>
    <w:rsid w:val="27AA5B56"/>
    <w:rsid w:val="27AB1F74"/>
    <w:rsid w:val="27AB25F1"/>
    <w:rsid w:val="27AC1848"/>
    <w:rsid w:val="27AC700D"/>
    <w:rsid w:val="27AD638E"/>
    <w:rsid w:val="27AE1307"/>
    <w:rsid w:val="27B01BFC"/>
    <w:rsid w:val="27B05C90"/>
    <w:rsid w:val="27B35055"/>
    <w:rsid w:val="27B47943"/>
    <w:rsid w:val="27B729CE"/>
    <w:rsid w:val="27B8714E"/>
    <w:rsid w:val="27B92B32"/>
    <w:rsid w:val="27BA089A"/>
    <w:rsid w:val="27BA3EBB"/>
    <w:rsid w:val="27BA6F75"/>
    <w:rsid w:val="27BC2A6C"/>
    <w:rsid w:val="27BD0F59"/>
    <w:rsid w:val="27BD2558"/>
    <w:rsid w:val="27BE495C"/>
    <w:rsid w:val="27BF77CD"/>
    <w:rsid w:val="27C070A1"/>
    <w:rsid w:val="27C139FB"/>
    <w:rsid w:val="27C154A3"/>
    <w:rsid w:val="27C31B12"/>
    <w:rsid w:val="27C3502F"/>
    <w:rsid w:val="27C546B8"/>
    <w:rsid w:val="27C56FE2"/>
    <w:rsid w:val="27C608B1"/>
    <w:rsid w:val="27C6290A"/>
    <w:rsid w:val="27C702EC"/>
    <w:rsid w:val="27C807B9"/>
    <w:rsid w:val="27C83B68"/>
    <w:rsid w:val="27CA17AE"/>
    <w:rsid w:val="27CB4D62"/>
    <w:rsid w:val="27CB4DEC"/>
    <w:rsid w:val="27CC1EEA"/>
    <w:rsid w:val="27CD3A31"/>
    <w:rsid w:val="27CD690F"/>
    <w:rsid w:val="27CE6E7A"/>
    <w:rsid w:val="27CF3E43"/>
    <w:rsid w:val="27CF5B6B"/>
    <w:rsid w:val="27D05536"/>
    <w:rsid w:val="27D1299B"/>
    <w:rsid w:val="27D2638F"/>
    <w:rsid w:val="27D265D2"/>
    <w:rsid w:val="27D350F3"/>
    <w:rsid w:val="27D37A02"/>
    <w:rsid w:val="27D41ACE"/>
    <w:rsid w:val="27D5603A"/>
    <w:rsid w:val="27D668C5"/>
    <w:rsid w:val="27D72D69"/>
    <w:rsid w:val="27D80F59"/>
    <w:rsid w:val="27D84271"/>
    <w:rsid w:val="27DB0444"/>
    <w:rsid w:val="27DB5401"/>
    <w:rsid w:val="27DC33B4"/>
    <w:rsid w:val="27DD1623"/>
    <w:rsid w:val="27DD5B2C"/>
    <w:rsid w:val="27DE07D4"/>
    <w:rsid w:val="27DE267E"/>
    <w:rsid w:val="27E02351"/>
    <w:rsid w:val="27E0345D"/>
    <w:rsid w:val="27E169B1"/>
    <w:rsid w:val="27E40FE2"/>
    <w:rsid w:val="27E41E47"/>
    <w:rsid w:val="27E428E1"/>
    <w:rsid w:val="27E532D7"/>
    <w:rsid w:val="27E57737"/>
    <w:rsid w:val="27E70AD2"/>
    <w:rsid w:val="27E744E3"/>
    <w:rsid w:val="27E75CA2"/>
    <w:rsid w:val="27E76477"/>
    <w:rsid w:val="27E82D30"/>
    <w:rsid w:val="27E90024"/>
    <w:rsid w:val="27E92C02"/>
    <w:rsid w:val="27EB1597"/>
    <w:rsid w:val="27ED0DB7"/>
    <w:rsid w:val="27ED10FC"/>
    <w:rsid w:val="27ED2954"/>
    <w:rsid w:val="27EE3685"/>
    <w:rsid w:val="27EF3D12"/>
    <w:rsid w:val="27EF7B95"/>
    <w:rsid w:val="27F00AC5"/>
    <w:rsid w:val="27F023CC"/>
    <w:rsid w:val="27F16796"/>
    <w:rsid w:val="27F21951"/>
    <w:rsid w:val="27F22E6A"/>
    <w:rsid w:val="27F25BF9"/>
    <w:rsid w:val="27F47519"/>
    <w:rsid w:val="27F47854"/>
    <w:rsid w:val="27F531EF"/>
    <w:rsid w:val="27F61302"/>
    <w:rsid w:val="27F616E4"/>
    <w:rsid w:val="27F63F1D"/>
    <w:rsid w:val="27F64ECD"/>
    <w:rsid w:val="27F741C0"/>
    <w:rsid w:val="27F751B9"/>
    <w:rsid w:val="27F84A8D"/>
    <w:rsid w:val="27FA3E41"/>
    <w:rsid w:val="27FC13A7"/>
    <w:rsid w:val="27FD02F5"/>
    <w:rsid w:val="27FE280B"/>
    <w:rsid w:val="27FE6396"/>
    <w:rsid w:val="2800049F"/>
    <w:rsid w:val="28013942"/>
    <w:rsid w:val="2801645C"/>
    <w:rsid w:val="280256C0"/>
    <w:rsid w:val="280434AE"/>
    <w:rsid w:val="28043B56"/>
    <w:rsid w:val="280536E9"/>
    <w:rsid w:val="28060C67"/>
    <w:rsid w:val="280643E0"/>
    <w:rsid w:val="280833D7"/>
    <w:rsid w:val="28085C2A"/>
    <w:rsid w:val="280875FD"/>
    <w:rsid w:val="28096C9A"/>
    <w:rsid w:val="280D09ED"/>
    <w:rsid w:val="280D5256"/>
    <w:rsid w:val="280E0927"/>
    <w:rsid w:val="280F5C1D"/>
    <w:rsid w:val="280F645A"/>
    <w:rsid w:val="281101F7"/>
    <w:rsid w:val="28111290"/>
    <w:rsid w:val="2811744B"/>
    <w:rsid w:val="28117E8C"/>
    <w:rsid w:val="2812143D"/>
    <w:rsid w:val="281268AD"/>
    <w:rsid w:val="281309BB"/>
    <w:rsid w:val="28131C63"/>
    <w:rsid w:val="281401A9"/>
    <w:rsid w:val="28147979"/>
    <w:rsid w:val="28156820"/>
    <w:rsid w:val="28163F04"/>
    <w:rsid w:val="28167711"/>
    <w:rsid w:val="28180C8B"/>
    <w:rsid w:val="2818512F"/>
    <w:rsid w:val="281A4818"/>
    <w:rsid w:val="281A6037"/>
    <w:rsid w:val="281A7C8A"/>
    <w:rsid w:val="281B710B"/>
    <w:rsid w:val="281E41C7"/>
    <w:rsid w:val="281F22FE"/>
    <w:rsid w:val="281F64BE"/>
    <w:rsid w:val="282011F3"/>
    <w:rsid w:val="28223878"/>
    <w:rsid w:val="28242DB4"/>
    <w:rsid w:val="28246B07"/>
    <w:rsid w:val="28260244"/>
    <w:rsid w:val="28267DAC"/>
    <w:rsid w:val="282821F0"/>
    <w:rsid w:val="28293CA6"/>
    <w:rsid w:val="282A029D"/>
    <w:rsid w:val="282A366E"/>
    <w:rsid w:val="282D4FFC"/>
    <w:rsid w:val="282E4770"/>
    <w:rsid w:val="282F222C"/>
    <w:rsid w:val="282F32ED"/>
    <w:rsid w:val="282F39C3"/>
    <w:rsid w:val="282F4953"/>
    <w:rsid w:val="282F697C"/>
    <w:rsid w:val="28303D3D"/>
    <w:rsid w:val="28310FAC"/>
    <w:rsid w:val="2831512E"/>
    <w:rsid w:val="28326196"/>
    <w:rsid w:val="28327F9F"/>
    <w:rsid w:val="28331C1B"/>
    <w:rsid w:val="28333D17"/>
    <w:rsid w:val="28341E69"/>
    <w:rsid w:val="283422A1"/>
    <w:rsid w:val="28350662"/>
    <w:rsid w:val="28351DC9"/>
    <w:rsid w:val="2835690A"/>
    <w:rsid w:val="28390908"/>
    <w:rsid w:val="283A0D89"/>
    <w:rsid w:val="283A6824"/>
    <w:rsid w:val="283A7B68"/>
    <w:rsid w:val="283C0CCD"/>
    <w:rsid w:val="283E575F"/>
    <w:rsid w:val="28401403"/>
    <w:rsid w:val="28425D08"/>
    <w:rsid w:val="284403D1"/>
    <w:rsid w:val="2844693A"/>
    <w:rsid w:val="28450DB3"/>
    <w:rsid w:val="2845197C"/>
    <w:rsid w:val="2846012E"/>
    <w:rsid w:val="2846109F"/>
    <w:rsid w:val="28477EAB"/>
    <w:rsid w:val="2848050C"/>
    <w:rsid w:val="284A1A95"/>
    <w:rsid w:val="284B388C"/>
    <w:rsid w:val="284B671C"/>
    <w:rsid w:val="284B72B3"/>
    <w:rsid w:val="284C59E2"/>
    <w:rsid w:val="284E0E06"/>
    <w:rsid w:val="284E33D6"/>
    <w:rsid w:val="284F526C"/>
    <w:rsid w:val="284F6542"/>
    <w:rsid w:val="284F7228"/>
    <w:rsid w:val="28504E67"/>
    <w:rsid w:val="285100CD"/>
    <w:rsid w:val="285142BB"/>
    <w:rsid w:val="28525C71"/>
    <w:rsid w:val="285551D8"/>
    <w:rsid w:val="2855579C"/>
    <w:rsid w:val="285571FB"/>
    <w:rsid w:val="28557D1C"/>
    <w:rsid w:val="28577A06"/>
    <w:rsid w:val="28584D75"/>
    <w:rsid w:val="285B1AF0"/>
    <w:rsid w:val="285C41D3"/>
    <w:rsid w:val="285C501C"/>
    <w:rsid w:val="285E08FB"/>
    <w:rsid w:val="285E5A09"/>
    <w:rsid w:val="285F2D5E"/>
    <w:rsid w:val="285F4B0C"/>
    <w:rsid w:val="285F68BA"/>
    <w:rsid w:val="28615DEC"/>
    <w:rsid w:val="2862085B"/>
    <w:rsid w:val="2862220E"/>
    <w:rsid w:val="28661CFC"/>
    <w:rsid w:val="28676865"/>
    <w:rsid w:val="28687DF8"/>
    <w:rsid w:val="286D22A4"/>
    <w:rsid w:val="286D6CCE"/>
    <w:rsid w:val="286E4DBC"/>
    <w:rsid w:val="28702875"/>
    <w:rsid w:val="2870735B"/>
    <w:rsid w:val="28723F0E"/>
    <w:rsid w:val="28732366"/>
    <w:rsid w:val="28742B21"/>
    <w:rsid w:val="287457AF"/>
    <w:rsid w:val="28750C0F"/>
    <w:rsid w:val="287560DE"/>
    <w:rsid w:val="28761692"/>
    <w:rsid w:val="28782D8C"/>
    <w:rsid w:val="28785D9E"/>
    <w:rsid w:val="28794B4A"/>
    <w:rsid w:val="287A5EAD"/>
    <w:rsid w:val="287B0F24"/>
    <w:rsid w:val="287C121A"/>
    <w:rsid w:val="287E1796"/>
    <w:rsid w:val="287E3B05"/>
    <w:rsid w:val="288051AE"/>
    <w:rsid w:val="288552EF"/>
    <w:rsid w:val="2886653D"/>
    <w:rsid w:val="28871BF5"/>
    <w:rsid w:val="28874770"/>
    <w:rsid w:val="28875435"/>
    <w:rsid w:val="288770F5"/>
    <w:rsid w:val="288822B5"/>
    <w:rsid w:val="28885E11"/>
    <w:rsid w:val="2889655F"/>
    <w:rsid w:val="288A2D68"/>
    <w:rsid w:val="288A6194"/>
    <w:rsid w:val="288E27A9"/>
    <w:rsid w:val="28904894"/>
    <w:rsid w:val="2890797C"/>
    <w:rsid w:val="28922533"/>
    <w:rsid w:val="289229E4"/>
    <w:rsid w:val="289335D2"/>
    <w:rsid w:val="2894210B"/>
    <w:rsid w:val="28944843"/>
    <w:rsid w:val="28953575"/>
    <w:rsid w:val="28980B17"/>
    <w:rsid w:val="28981C97"/>
    <w:rsid w:val="28984FC9"/>
    <w:rsid w:val="289856B7"/>
    <w:rsid w:val="28994901"/>
    <w:rsid w:val="289A15A9"/>
    <w:rsid w:val="289B1FE8"/>
    <w:rsid w:val="289B73D4"/>
    <w:rsid w:val="289D0EEA"/>
    <w:rsid w:val="289D1FE1"/>
    <w:rsid w:val="289E01EA"/>
    <w:rsid w:val="289E0862"/>
    <w:rsid w:val="289E0B2B"/>
    <w:rsid w:val="28A40771"/>
    <w:rsid w:val="28A433F9"/>
    <w:rsid w:val="28A46041"/>
    <w:rsid w:val="28A721D0"/>
    <w:rsid w:val="28A8086E"/>
    <w:rsid w:val="28A86C13"/>
    <w:rsid w:val="28AA775A"/>
    <w:rsid w:val="28AA7ECE"/>
    <w:rsid w:val="28AB153D"/>
    <w:rsid w:val="28AD1BB7"/>
    <w:rsid w:val="28AE0F06"/>
    <w:rsid w:val="28AE7C47"/>
    <w:rsid w:val="28AE7D3B"/>
    <w:rsid w:val="28AF190E"/>
    <w:rsid w:val="28B01B68"/>
    <w:rsid w:val="28B10564"/>
    <w:rsid w:val="28B12DA2"/>
    <w:rsid w:val="28B20E73"/>
    <w:rsid w:val="28B210E0"/>
    <w:rsid w:val="28B45D41"/>
    <w:rsid w:val="28B47E46"/>
    <w:rsid w:val="28B5297E"/>
    <w:rsid w:val="28B52B84"/>
    <w:rsid w:val="28B53402"/>
    <w:rsid w:val="28B64369"/>
    <w:rsid w:val="28B646A3"/>
    <w:rsid w:val="28B729B0"/>
    <w:rsid w:val="28B7736C"/>
    <w:rsid w:val="28B87CDF"/>
    <w:rsid w:val="28BB45EE"/>
    <w:rsid w:val="28BE5CD7"/>
    <w:rsid w:val="28BE7A85"/>
    <w:rsid w:val="28BF50C6"/>
    <w:rsid w:val="28BF6512"/>
    <w:rsid w:val="28C033E3"/>
    <w:rsid w:val="28C44619"/>
    <w:rsid w:val="28C52187"/>
    <w:rsid w:val="28C60E75"/>
    <w:rsid w:val="28C67AC6"/>
    <w:rsid w:val="28CA01D8"/>
    <w:rsid w:val="28CA1C7C"/>
    <w:rsid w:val="28CA6AC5"/>
    <w:rsid w:val="28CB3175"/>
    <w:rsid w:val="28CC0636"/>
    <w:rsid w:val="28CC33D9"/>
    <w:rsid w:val="28CC4B91"/>
    <w:rsid w:val="28CC64D8"/>
    <w:rsid w:val="28CD2BBF"/>
    <w:rsid w:val="28CD2F8C"/>
    <w:rsid w:val="28CE0F95"/>
    <w:rsid w:val="28CF01D9"/>
    <w:rsid w:val="28D11574"/>
    <w:rsid w:val="28D23530"/>
    <w:rsid w:val="28D30610"/>
    <w:rsid w:val="28D406E9"/>
    <w:rsid w:val="28D506D6"/>
    <w:rsid w:val="28D53844"/>
    <w:rsid w:val="28D56B7C"/>
    <w:rsid w:val="28D6476B"/>
    <w:rsid w:val="28D675DF"/>
    <w:rsid w:val="28D71C91"/>
    <w:rsid w:val="28D9666D"/>
    <w:rsid w:val="28DB38CE"/>
    <w:rsid w:val="28DD1A9A"/>
    <w:rsid w:val="28DD49EF"/>
    <w:rsid w:val="28DE1AE8"/>
    <w:rsid w:val="28DF1A5E"/>
    <w:rsid w:val="28E21131"/>
    <w:rsid w:val="28E3573D"/>
    <w:rsid w:val="28E441EA"/>
    <w:rsid w:val="28E514B5"/>
    <w:rsid w:val="28EC4596"/>
    <w:rsid w:val="28ED036A"/>
    <w:rsid w:val="28ED5E2B"/>
    <w:rsid w:val="28ED7506"/>
    <w:rsid w:val="28EE0144"/>
    <w:rsid w:val="28EE3825"/>
    <w:rsid w:val="28EF76AF"/>
    <w:rsid w:val="28F0721A"/>
    <w:rsid w:val="28F1221D"/>
    <w:rsid w:val="28F211D5"/>
    <w:rsid w:val="28F33370"/>
    <w:rsid w:val="28F36F76"/>
    <w:rsid w:val="28F6616F"/>
    <w:rsid w:val="28F71235"/>
    <w:rsid w:val="28F71C2C"/>
    <w:rsid w:val="28F814B9"/>
    <w:rsid w:val="28F86B73"/>
    <w:rsid w:val="28F90B35"/>
    <w:rsid w:val="28F93369"/>
    <w:rsid w:val="28F951A2"/>
    <w:rsid w:val="28FA25F3"/>
    <w:rsid w:val="28FB0C70"/>
    <w:rsid w:val="28FB1EE9"/>
    <w:rsid w:val="28FB201F"/>
    <w:rsid w:val="28FB65E3"/>
    <w:rsid w:val="28FC0D3C"/>
    <w:rsid w:val="28FE2577"/>
    <w:rsid w:val="28FE4466"/>
    <w:rsid w:val="28FE60D3"/>
    <w:rsid w:val="28FF06DB"/>
    <w:rsid w:val="28FF265F"/>
    <w:rsid w:val="290001B9"/>
    <w:rsid w:val="29017971"/>
    <w:rsid w:val="2902208A"/>
    <w:rsid w:val="29023E15"/>
    <w:rsid w:val="29027206"/>
    <w:rsid w:val="29043603"/>
    <w:rsid w:val="290646EF"/>
    <w:rsid w:val="29064D40"/>
    <w:rsid w:val="2907142C"/>
    <w:rsid w:val="29084102"/>
    <w:rsid w:val="290A285E"/>
    <w:rsid w:val="290B259E"/>
    <w:rsid w:val="290C1872"/>
    <w:rsid w:val="290E2C3F"/>
    <w:rsid w:val="290E34D7"/>
    <w:rsid w:val="290F02E0"/>
    <w:rsid w:val="29130D29"/>
    <w:rsid w:val="29134581"/>
    <w:rsid w:val="29142C56"/>
    <w:rsid w:val="291564DB"/>
    <w:rsid w:val="29165A17"/>
    <w:rsid w:val="29171044"/>
    <w:rsid w:val="2918017B"/>
    <w:rsid w:val="29181DA8"/>
    <w:rsid w:val="29183639"/>
    <w:rsid w:val="291875E1"/>
    <w:rsid w:val="29194CBB"/>
    <w:rsid w:val="291967D6"/>
    <w:rsid w:val="291A315C"/>
    <w:rsid w:val="291B7915"/>
    <w:rsid w:val="291C4E3E"/>
    <w:rsid w:val="291C51E5"/>
    <w:rsid w:val="291C5274"/>
    <w:rsid w:val="291C7F18"/>
    <w:rsid w:val="291D29FD"/>
    <w:rsid w:val="291D5D15"/>
    <w:rsid w:val="291E2574"/>
    <w:rsid w:val="291F235B"/>
    <w:rsid w:val="291F28A7"/>
    <w:rsid w:val="29207139"/>
    <w:rsid w:val="292209DE"/>
    <w:rsid w:val="29235E37"/>
    <w:rsid w:val="29256367"/>
    <w:rsid w:val="29262F95"/>
    <w:rsid w:val="2926366B"/>
    <w:rsid w:val="29263F95"/>
    <w:rsid w:val="292715A0"/>
    <w:rsid w:val="29277365"/>
    <w:rsid w:val="292913D1"/>
    <w:rsid w:val="292A77EE"/>
    <w:rsid w:val="292C0E92"/>
    <w:rsid w:val="292F2731"/>
    <w:rsid w:val="293146D8"/>
    <w:rsid w:val="293164A9"/>
    <w:rsid w:val="29321A81"/>
    <w:rsid w:val="29325D7D"/>
    <w:rsid w:val="29332221"/>
    <w:rsid w:val="293460DB"/>
    <w:rsid w:val="29361D11"/>
    <w:rsid w:val="293623C1"/>
    <w:rsid w:val="2936694E"/>
    <w:rsid w:val="2937037F"/>
    <w:rsid w:val="29381B9B"/>
    <w:rsid w:val="293968AF"/>
    <w:rsid w:val="29396E28"/>
    <w:rsid w:val="293C5D8D"/>
    <w:rsid w:val="293D152A"/>
    <w:rsid w:val="293D53EF"/>
    <w:rsid w:val="293E014F"/>
    <w:rsid w:val="293E4722"/>
    <w:rsid w:val="293E7102"/>
    <w:rsid w:val="2940242C"/>
    <w:rsid w:val="294066EC"/>
    <w:rsid w:val="29407507"/>
    <w:rsid w:val="29413764"/>
    <w:rsid w:val="29417EE1"/>
    <w:rsid w:val="29420991"/>
    <w:rsid w:val="29422319"/>
    <w:rsid w:val="29422464"/>
    <w:rsid w:val="29423EE3"/>
    <w:rsid w:val="29431FF9"/>
    <w:rsid w:val="29436B92"/>
    <w:rsid w:val="29437541"/>
    <w:rsid w:val="294423CE"/>
    <w:rsid w:val="29455500"/>
    <w:rsid w:val="2947257D"/>
    <w:rsid w:val="294734CD"/>
    <w:rsid w:val="2947591F"/>
    <w:rsid w:val="29493441"/>
    <w:rsid w:val="294A0D31"/>
    <w:rsid w:val="294A5D62"/>
    <w:rsid w:val="294A711F"/>
    <w:rsid w:val="294D1FF0"/>
    <w:rsid w:val="294E0E09"/>
    <w:rsid w:val="294F5A21"/>
    <w:rsid w:val="295020B2"/>
    <w:rsid w:val="29522779"/>
    <w:rsid w:val="29525C1B"/>
    <w:rsid w:val="29543B1A"/>
    <w:rsid w:val="29546686"/>
    <w:rsid w:val="295543F2"/>
    <w:rsid w:val="295679E3"/>
    <w:rsid w:val="2957727A"/>
    <w:rsid w:val="295A28B5"/>
    <w:rsid w:val="295B3464"/>
    <w:rsid w:val="295B3972"/>
    <w:rsid w:val="295B50FF"/>
    <w:rsid w:val="295C1960"/>
    <w:rsid w:val="295C2DFA"/>
    <w:rsid w:val="295D33E3"/>
    <w:rsid w:val="295D34C0"/>
    <w:rsid w:val="295E1226"/>
    <w:rsid w:val="295E4DC4"/>
    <w:rsid w:val="295F1A74"/>
    <w:rsid w:val="296063CA"/>
    <w:rsid w:val="29606D8E"/>
    <w:rsid w:val="29610315"/>
    <w:rsid w:val="29613037"/>
    <w:rsid w:val="296248B4"/>
    <w:rsid w:val="296349F7"/>
    <w:rsid w:val="29641BA9"/>
    <w:rsid w:val="296479DF"/>
    <w:rsid w:val="29653F38"/>
    <w:rsid w:val="29656973"/>
    <w:rsid w:val="29661A80"/>
    <w:rsid w:val="2967011C"/>
    <w:rsid w:val="29670395"/>
    <w:rsid w:val="29671ECA"/>
    <w:rsid w:val="296818C0"/>
    <w:rsid w:val="296829D0"/>
    <w:rsid w:val="29691C77"/>
    <w:rsid w:val="29692201"/>
    <w:rsid w:val="29695641"/>
    <w:rsid w:val="29695869"/>
    <w:rsid w:val="296A7E25"/>
    <w:rsid w:val="296D0493"/>
    <w:rsid w:val="296E2A6A"/>
    <w:rsid w:val="296F0964"/>
    <w:rsid w:val="296F6F6F"/>
    <w:rsid w:val="29706E93"/>
    <w:rsid w:val="29724362"/>
    <w:rsid w:val="29737049"/>
    <w:rsid w:val="29760805"/>
    <w:rsid w:val="29760D6C"/>
    <w:rsid w:val="2976365B"/>
    <w:rsid w:val="2977469B"/>
    <w:rsid w:val="29780EB9"/>
    <w:rsid w:val="2978715D"/>
    <w:rsid w:val="29790C52"/>
    <w:rsid w:val="297A64E7"/>
    <w:rsid w:val="297A7E50"/>
    <w:rsid w:val="297C3C21"/>
    <w:rsid w:val="297D16EE"/>
    <w:rsid w:val="297D4BAB"/>
    <w:rsid w:val="297D524A"/>
    <w:rsid w:val="297E21B4"/>
    <w:rsid w:val="297F00E0"/>
    <w:rsid w:val="298318CB"/>
    <w:rsid w:val="29834F41"/>
    <w:rsid w:val="298363D1"/>
    <w:rsid w:val="29864708"/>
    <w:rsid w:val="2987431B"/>
    <w:rsid w:val="29883D69"/>
    <w:rsid w:val="29884752"/>
    <w:rsid w:val="298A3E0B"/>
    <w:rsid w:val="298C5FF3"/>
    <w:rsid w:val="298C60EC"/>
    <w:rsid w:val="298D4118"/>
    <w:rsid w:val="298F4F7D"/>
    <w:rsid w:val="298F622A"/>
    <w:rsid w:val="29905E4B"/>
    <w:rsid w:val="29911CE7"/>
    <w:rsid w:val="29915199"/>
    <w:rsid w:val="29916CAE"/>
    <w:rsid w:val="299171C1"/>
    <w:rsid w:val="29920858"/>
    <w:rsid w:val="299278E8"/>
    <w:rsid w:val="29967EF1"/>
    <w:rsid w:val="299A404E"/>
    <w:rsid w:val="299B3C94"/>
    <w:rsid w:val="299B46F7"/>
    <w:rsid w:val="299B4F7E"/>
    <w:rsid w:val="299B7DC6"/>
    <w:rsid w:val="299C3663"/>
    <w:rsid w:val="299E4DB5"/>
    <w:rsid w:val="299F5423"/>
    <w:rsid w:val="29A0156E"/>
    <w:rsid w:val="29A1463E"/>
    <w:rsid w:val="29A1636A"/>
    <w:rsid w:val="29A21154"/>
    <w:rsid w:val="29A23F75"/>
    <w:rsid w:val="29A30A29"/>
    <w:rsid w:val="29A348B4"/>
    <w:rsid w:val="29A520E4"/>
    <w:rsid w:val="29A62B53"/>
    <w:rsid w:val="29A642B6"/>
    <w:rsid w:val="29A7676B"/>
    <w:rsid w:val="29A924E3"/>
    <w:rsid w:val="29AA4214"/>
    <w:rsid w:val="29AB5873"/>
    <w:rsid w:val="29AD34DF"/>
    <w:rsid w:val="29AE7AF9"/>
    <w:rsid w:val="29AF302F"/>
    <w:rsid w:val="29B413E7"/>
    <w:rsid w:val="29B45034"/>
    <w:rsid w:val="29B46F60"/>
    <w:rsid w:val="29B54486"/>
    <w:rsid w:val="29B72B6A"/>
    <w:rsid w:val="29B757F7"/>
    <w:rsid w:val="29B7714B"/>
    <w:rsid w:val="29B824E6"/>
    <w:rsid w:val="29B87430"/>
    <w:rsid w:val="29B906C4"/>
    <w:rsid w:val="29B92731"/>
    <w:rsid w:val="29B94917"/>
    <w:rsid w:val="29BA2DCA"/>
    <w:rsid w:val="29BC5573"/>
    <w:rsid w:val="29BD5F8E"/>
    <w:rsid w:val="29C015DB"/>
    <w:rsid w:val="29C05E6C"/>
    <w:rsid w:val="29C20384"/>
    <w:rsid w:val="29C26D0A"/>
    <w:rsid w:val="29C31B54"/>
    <w:rsid w:val="29C4095E"/>
    <w:rsid w:val="29C410CB"/>
    <w:rsid w:val="29C4125E"/>
    <w:rsid w:val="29C51250"/>
    <w:rsid w:val="29C60960"/>
    <w:rsid w:val="29C61E7F"/>
    <w:rsid w:val="29C73B59"/>
    <w:rsid w:val="29C81F34"/>
    <w:rsid w:val="29C95B59"/>
    <w:rsid w:val="29C976D6"/>
    <w:rsid w:val="29CB69EE"/>
    <w:rsid w:val="29CC40FF"/>
    <w:rsid w:val="29CD2A7E"/>
    <w:rsid w:val="29D015D9"/>
    <w:rsid w:val="29D11A3A"/>
    <w:rsid w:val="29D12B98"/>
    <w:rsid w:val="29D17C38"/>
    <w:rsid w:val="29D37F3A"/>
    <w:rsid w:val="29D4444C"/>
    <w:rsid w:val="29D50F2E"/>
    <w:rsid w:val="29D72084"/>
    <w:rsid w:val="29D868B4"/>
    <w:rsid w:val="29D945FA"/>
    <w:rsid w:val="29DA121A"/>
    <w:rsid w:val="29DA1920"/>
    <w:rsid w:val="29DA194F"/>
    <w:rsid w:val="29DA4644"/>
    <w:rsid w:val="29DC2F7B"/>
    <w:rsid w:val="29DD218D"/>
    <w:rsid w:val="29DD3332"/>
    <w:rsid w:val="29E03A2B"/>
    <w:rsid w:val="29E04E10"/>
    <w:rsid w:val="29E07FFE"/>
    <w:rsid w:val="29E17ECF"/>
    <w:rsid w:val="29E35016"/>
    <w:rsid w:val="29E36A2C"/>
    <w:rsid w:val="29E4176D"/>
    <w:rsid w:val="29E47A75"/>
    <w:rsid w:val="29E47F3B"/>
    <w:rsid w:val="29E60335"/>
    <w:rsid w:val="29E70E23"/>
    <w:rsid w:val="29EE6148"/>
    <w:rsid w:val="29EF3C6E"/>
    <w:rsid w:val="29F067FC"/>
    <w:rsid w:val="29F0780F"/>
    <w:rsid w:val="29F22C79"/>
    <w:rsid w:val="29F53405"/>
    <w:rsid w:val="29F53636"/>
    <w:rsid w:val="29F554B9"/>
    <w:rsid w:val="29F574D6"/>
    <w:rsid w:val="29F61DAB"/>
    <w:rsid w:val="29F745D9"/>
    <w:rsid w:val="29F76442"/>
    <w:rsid w:val="29F77B83"/>
    <w:rsid w:val="29F84342"/>
    <w:rsid w:val="29F92838"/>
    <w:rsid w:val="29FB4852"/>
    <w:rsid w:val="29FF2103"/>
    <w:rsid w:val="29FF49E3"/>
    <w:rsid w:val="2A007AFA"/>
    <w:rsid w:val="2A007C29"/>
    <w:rsid w:val="2A01434F"/>
    <w:rsid w:val="2A015241"/>
    <w:rsid w:val="2A021804"/>
    <w:rsid w:val="2A022C2E"/>
    <w:rsid w:val="2A036979"/>
    <w:rsid w:val="2A063491"/>
    <w:rsid w:val="2A0751DB"/>
    <w:rsid w:val="2A0911D4"/>
    <w:rsid w:val="2A097DB4"/>
    <w:rsid w:val="2A0A04F1"/>
    <w:rsid w:val="2A0C5BD8"/>
    <w:rsid w:val="2A0E1AF7"/>
    <w:rsid w:val="2A0E67EA"/>
    <w:rsid w:val="2A0F0A32"/>
    <w:rsid w:val="2A0F47D4"/>
    <w:rsid w:val="2A100351"/>
    <w:rsid w:val="2A105B1D"/>
    <w:rsid w:val="2A13299A"/>
    <w:rsid w:val="2A13446C"/>
    <w:rsid w:val="2A141C00"/>
    <w:rsid w:val="2A141C7C"/>
    <w:rsid w:val="2A15541B"/>
    <w:rsid w:val="2A155853"/>
    <w:rsid w:val="2A17335C"/>
    <w:rsid w:val="2A17569E"/>
    <w:rsid w:val="2A176DA6"/>
    <w:rsid w:val="2A1965AF"/>
    <w:rsid w:val="2A197236"/>
    <w:rsid w:val="2A1A495F"/>
    <w:rsid w:val="2A1C0F07"/>
    <w:rsid w:val="2A1E46F5"/>
    <w:rsid w:val="2A20021E"/>
    <w:rsid w:val="2A203563"/>
    <w:rsid w:val="2A20564D"/>
    <w:rsid w:val="2A2116AE"/>
    <w:rsid w:val="2A2305EB"/>
    <w:rsid w:val="2A255BD3"/>
    <w:rsid w:val="2A261D85"/>
    <w:rsid w:val="2A282A72"/>
    <w:rsid w:val="2A297180"/>
    <w:rsid w:val="2A2A637C"/>
    <w:rsid w:val="2A3034C7"/>
    <w:rsid w:val="2A314283"/>
    <w:rsid w:val="2A314286"/>
    <w:rsid w:val="2A32262F"/>
    <w:rsid w:val="2A336250"/>
    <w:rsid w:val="2A337EF8"/>
    <w:rsid w:val="2A341995"/>
    <w:rsid w:val="2A344FB7"/>
    <w:rsid w:val="2A386764"/>
    <w:rsid w:val="2A3B02AD"/>
    <w:rsid w:val="2A3B26EE"/>
    <w:rsid w:val="2A3B2B66"/>
    <w:rsid w:val="2A3B6E4A"/>
    <w:rsid w:val="2A3E46B1"/>
    <w:rsid w:val="2A3E6896"/>
    <w:rsid w:val="2A421AAA"/>
    <w:rsid w:val="2A434C91"/>
    <w:rsid w:val="2A44045E"/>
    <w:rsid w:val="2A44564D"/>
    <w:rsid w:val="2A453D31"/>
    <w:rsid w:val="2A454937"/>
    <w:rsid w:val="2A461AE0"/>
    <w:rsid w:val="2A48459B"/>
    <w:rsid w:val="2A495A95"/>
    <w:rsid w:val="2A4B3B09"/>
    <w:rsid w:val="2A4C2A58"/>
    <w:rsid w:val="2A4D0968"/>
    <w:rsid w:val="2A4E11F7"/>
    <w:rsid w:val="2A4E1E0C"/>
    <w:rsid w:val="2A4E331C"/>
    <w:rsid w:val="2A4E45E0"/>
    <w:rsid w:val="2A4E4E38"/>
    <w:rsid w:val="2A4E7CF6"/>
    <w:rsid w:val="2A5334FF"/>
    <w:rsid w:val="2A545EC3"/>
    <w:rsid w:val="2A571F3F"/>
    <w:rsid w:val="2A574690"/>
    <w:rsid w:val="2A581813"/>
    <w:rsid w:val="2A58372E"/>
    <w:rsid w:val="2A59450E"/>
    <w:rsid w:val="2A5C071E"/>
    <w:rsid w:val="2A5C7555"/>
    <w:rsid w:val="2A5E151F"/>
    <w:rsid w:val="2A5F5959"/>
    <w:rsid w:val="2A611BA7"/>
    <w:rsid w:val="2A621AE1"/>
    <w:rsid w:val="2A62494D"/>
    <w:rsid w:val="2A64465C"/>
    <w:rsid w:val="2A662ED9"/>
    <w:rsid w:val="2A663FA3"/>
    <w:rsid w:val="2A66642C"/>
    <w:rsid w:val="2A6906AF"/>
    <w:rsid w:val="2A6952D3"/>
    <w:rsid w:val="2A6959DB"/>
    <w:rsid w:val="2A6976B3"/>
    <w:rsid w:val="2A6A3D25"/>
    <w:rsid w:val="2A6A6763"/>
    <w:rsid w:val="2A6B27C4"/>
    <w:rsid w:val="2A6C1E80"/>
    <w:rsid w:val="2A6D09C5"/>
    <w:rsid w:val="2A6D2ADC"/>
    <w:rsid w:val="2A6D31B1"/>
    <w:rsid w:val="2A7021F2"/>
    <w:rsid w:val="2A727B1C"/>
    <w:rsid w:val="2A74358B"/>
    <w:rsid w:val="2A7523C5"/>
    <w:rsid w:val="2A766E01"/>
    <w:rsid w:val="2A777101"/>
    <w:rsid w:val="2A790107"/>
    <w:rsid w:val="2A7B2FC6"/>
    <w:rsid w:val="2A7D3AEC"/>
    <w:rsid w:val="2A7D4187"/>
    <w:rsid w:val="2A7E571E"/>
    <w:rsid w:val="2A7F00A8"/>
    <w:rsid w:val="2A801171"/>
    <w:rsid w:val="2A8012D2"/>
    <w:rsid w:val="2A801FC9"/>
    <w:rsid w:val="2A8039A1"/>
    <w:rsid w:val="2A807095"/>
    <w:rsid w:val="2A81612B"/>
    <w:rsid w:val="2A8231BA"/>
    <w:rsid w:val="2A830F86"/>
    <w:rsid w:val="2A8750EF"/>
    <w:rsid w:val="2A891D3F"/>
    <w:rsid w:val="2A8D0E01"/>
    <w:rsid w:val="2A8D1AFD"/>
    <w:rsid w:val="2A8E5901"/>
    <w:rsid w:val="2A8F62DB"/>
    <w:rsid w:val="2A900437"/>
    <w:rsid w:val="2A91559E"/>
    <w:rsid w:val="2A9156A2"/>
    <w:rsid w:val="2A9318A4"/>
    <w:rsid w:val="2A94353F"/>
    <w:rsid w:val="2A944C5E"/>
    <w:rsid w:val="2A944F41"/>
    <w:rsid w:val="2A965A03"/>
    <w:rsid w:val="2A966EC1"/>
    <w:rsid w:val="2A97233B"/>
    <w:rsid w:val="2A981161"/>
    <w:rsid w:val="2A98735F"/>
    <w:rsid w:val="2A987420"/>
    <w:rsid w:val="2A992C71"/>
    <w:rsid w:val="2A994FFC"/>
    <w:rsid w:val="2A9B04C8"/>
    <w:rsid w:val="2A9C0162"/>
    <w:rsid w:val="2A9E6044"/>
    <w:rsid w:val="2A9E64BF"/>
    <w:rsid w:val="2A9E78DF"/>
    <w:rsid w:val="2A9F0DE2"/>
    <w:rsid w:val="2AA06C51"/>
    <w:rsid w:val="2AA131BA"/>
    <w:rsid w:val="2AA25464"/>
    <w:rsid w:val="2AA26553"/>
    <w:rsid w:val="2AA34D9A"/>
    <w:rsid w:val="2AA42CAA"/>
    <w:rsid w:val="2AA607D0"/>
    <w:rsid w:val="2AA61851"/>
    <w:rsid w:val="2AA63551"/>
    <w:rsid w:val="2AA82CC7"/>
    <w:rsid w:val="2AAA5CBA"/>
    <w:rsid w:val="2AAB1CD2"/>
    <w:rsid w:val="2AAD1B5F"/>
    <w:rsid w:val="2AB22C28"/>
    <w:rsid w:val="2AB24E2E"/>
    <w:rsid w:val="2AB3616B"/>
    <w:rsid w:val="2AB363E9"/>
    <w:rsid w:val="2AB4270C"/>
    <w:rsid w:val="2AB500D2"/>
    <w:rsid w:val="2AB57DE1"/>
    <w:rsid w:val="2AB64438"/>
    <w:rsid w:val="2AB729DE"/>
    <w:rsid w:val="2AB73344"/>
    <w:rsid w:val="2AB85D66"/>
    <w:rsid w:val="2AB91282"/>
    <w:rsid w:val="2AB91683"/>
    <w:rsid w:val="2ABA0A7A"/>
    <w:rsid w:val="2ABA0FCB"/>
    <w:rsid w:val="2ABB2386"/>
    <w:rsid w:val="2ABC2E32"/>
    <w:rsid w:val="2ABE10F5"/>
    <w:rsid w:val="2ABF11E3"/>
    <w:rsid w:val="2ABF304C"/>
    <w:rsid w:val="2AC201EF"/>
    <w:rsid w:val="2AC24A4E"/>
    <w:rsid w:val="2AC32BBA"/>
    <w:rsid w:val="2AC36E4B"/>
    <w:rsid w:val="2AC456E8"/>
    <w:rsid w:val="2AC53104"/>
    <w:rsid w:val="2AC55FB0"/>
    <w:rsid w:val="2AC745B2"/>
    <w:rsid w:val="2AC800C8"/>
    <w:rsid w:val="2AC83344"/>
    <w:rsid w:val="2AC84BEB"/>
    <w:rsid w:val="2AC86999"/>
    <w:rsid w:val="2ACA2711"/>
    <w:rsid w:val="2ACD42B1"/>
    <w:rsid w:val="2ACD7074"/>
    <w:rsid w:val="2ACE2200"/>
    <w:rsid w:val="2AD01014"/>
    <w:rsid w:val="2AD037CE"/>
    <w:rsid w:val="2AD05060"/>
    <w:rsid w:val="2AD0584D"/>
    <w:rsid w:val="2AD109C9"/>
    <w:rsid w:val="2AD16B46"/>
    <w:rsid w:val="2AD16DE9"/>
    <w:rsid w:val="2AD22CF3"/>
    <w:rsid w:val="2AD27987"/>
    <w:rsid w:val="2AD434F9"/>
    <w:rsid w:val="2AD46E63"/>
    <w:rsid w:val="2AD625CD"/>
    <w:rsid w:val="2AD66796"/>
    <w:rsid w:val="2AD749A5"/>
    <w:rsid w:val="2AD85600"/>
    <w:rsid w:val="2ADB7812"/>
    <w:rsid w:val="2ADC0696"/>
    <w:rsid w:val="2ADC0990"/>
    <w:rsid w:val="2ADC4985"/>
    <w:rsid w:val="2ADC66A6"/>
    <w:rsid w:val="2ADE10FF"/>
    <w:rsid w:val="2AE0548B"/>
    <w:rsid w:val="2AE34015"/>
    <w:rsid w:val="2AE42B12"/>
    <w:rsid w:val="2AE520FE"/>
    <w:rsid w:val="2AE708DF"/>
    <w:rsid w:val="2AE80DE9"/>
    <w:rsid w:val="2AE9314E"/>
    <w:rsid w:val="2AE93B86"/>
    <w:rsid w:val="2AE97BF9"/>
    <w:rsid w:val="2AEA37C9"/>
    <w:rsid w:val="2AEB306E"/>
    <w:rsid w:val="2AEC78F4"/>
    <w:rsid w:val="2AEF1115"/>
    <w:rsid w:val="2AF0725C"/>
    <w:rsid w:val="2AF228E9"/>
    <w:rsid w:val="2AF37417"/>
    <w:rsid w:val="2AF5102E"/>
    <w:rsid w:val="2AF54C38"/>
    <w:rsid w:val="2AF60E4D"/>
    <w:rsid w:val="2AF6223C"/>
    <w:rsid w:val="2AF717E1"/>
    <w:rsid w:val="2AF7727E"/>
    <w:rsid w:val="2AF8625E"/>
    <w:rsid w:val="2AF93349"/>
    <w:rsid w:val="2AFC0C17"/>
    <w:rsid w:val="2AFC2AE6"/>
    <w:rsid w:val="2AFD020B"/>
    <w:rsid w:val="2AFE4499"/>
    <w:rsid w:val="2AFF36C6"/>
    <w:rsid w:val="2B004385"/>
    <w:rsid w:val="2B013FDF"/>
    <w:rsid w:val="2B016C2C"/>
    <w:rsid w:val="2B037F44"/>
    <w:rsid w:val="2B065713"/>
    <w:rsid w:val="2B0705B1"/>
    <w:rsid w:val="2B07429B"/>
    <w:rsid w:val="2B0771A6"/>
    <w:rsid w:val="2B08148B"/>
    <w:rsid w:val="2B081652"/>
    <w:rsid w:val="2B0839D6"/>
    <w:rsid w:val="2B084FE7"/>
    <w:rsid w:val="2B095F5B"/>
    <w:rsid w:val="2B0B0423"/>
    <w:rsid w:val="2B0B4AD7"/>
    <w:rsid w:val="2B0D6AA1"/>
    <w:rsid w:val="2B0F25E0"/>
    <w:rsid w:val="2B10444D"/>
    <w:rsid w:val="2B112AF5"/>
    <w:rsid w:val="2B125A54"/>
    <w:rsid w:val="2B1339FD"/>
    <w:rsid w:val="2B141BDE"/>
    <w:rsid w:val="2B165533"/>
    <w:rsid w:val="2B165956"/>
    <w:rsid w:val="2B177D89"/>
    <w:rsid w:val="2B186286"/>
    <w:rsid w:val="2B195D97"/>
    <w:rsid w:val="2B19692F"/>
    <w:rsid w:val="2B1A46C4"/>
    <w:rsid w:val="2B1B2F6C"/>
    <w:rsid w:val="2B1C5969"/>
    <w:rsid w:val="2B1E480B"/>
    <w:rsid w:val="2B1F3EDC"/>
    <w:rsid w:val="2B204A27"/>
    <w:rsid w:val="2B213D29"/>
    <w:rsid w:val="2B2256D9"/>
    <w:rsid w:val="2B231E21"/>
    <w:rsid w:val="2B2349EC"/>
    <w:rsid w:val="2B245BD4"/>
    <w:rsid w:val="2B2500DD"/>
    <w:rsid w:val="2B255442"/>
    <w:rsid w:val="2B255C8B"/>
    <w:rsid w:val="2B25749C"/>
    <w:rsid w:val="2B257674"/>
    <w:rsid w:val="2B2654FC"/>
    <w:rsid w:val="2B275DB5"/>
    <w:rsid w:val="2B2838DB"/>
    <w:rsid w:val="2B286C3A"/>
    <w:rsid w:val="2B2949B8"/>
    <w:rsid w:val="2B29508C"/>
    <w:rsid w:val="2B2A1F22"/>
    <w:rsid w:val="2B2A485E"/>
    <w:rsid w:val="2B2B10ED"/>
    <w:rsid w:val="2B2C30AA"/>
    <w:rsid w:val="2B2C3DD5"/>
    <w:rsid w:val="2B2D3242"/>
    <w:rsid w:val="2B2D6FB3"/>
    <w:rsid w:val="2B2F20CB"/>
    <w:rsid w:val="2B2F4C6A"/>
    <w:rsid w:val="2B317A55"/>
    <w:rsid w:val="2B3202B6"/>
    <w:rsid w:val="2B321865"/>
    <w:rsid w:val="2B3255B7"/>
    <w:rsid w:val="2B33475A"/>
    <w:rsid w:val="2B34402E"/>
    <w:rsid w:val="2B347FE0"/>
    <w:rsid w:val="2B353AFB"/>
    <w:rsid w:val="2B36251D"/>
    <w:rsid w:val="2B364ACF"/>
    <w:rsid w:val="2B3758CC"/>
    <w:rsid w:val="2B383DF3"/>
    <w:rsid w:val="2B38763A"/>
    <w:rsid w:val="2B3A0A52"/>
    <w:rsid w:val="2B3A4EC0"/>
    <w:rsid w:val="2B3C5CD7"/>
    <w:rsid w:val="2B3D2939"/>
    <w:rsid w:val="2B3D790B"/>
    <w:rsid w:val="2B3E6C5B"/>
    <w:rsid w:val="2B3F0104"/>
    <w:rsid w:val="2B3F49E1"/>
    <w:rsid w:val="2B404D1C"/>
    <w:rsid w:val="2B4247A3"/>
    <w:rsid w:val="2B434F06"/>
    <w:rsid w:val="2B4410A2"/>
    <w:rsid w:val="2B442E19"/>
    <w:rsid w:val="2B455813"/>
    <w:rsid w:val="2B455D08"/>
    <w:rsid w:val="2B46309E"/>
    <w:rsid w:val="2B4637B2"/>
    <w:rsid w:val="2B465E3C"/>
    <w:rsid w:val="2B466B34"/>
    <w:rsid w:val="2B48203B"/>
    <w:rsid w:val="2B487ADA"/>
    <w:rsid w:val="2B4955A8"/>
    <w:rsid w:val="2B4A1C1E"/>
    <w:rsid w:val="2B4B2AFB"/>
    <w:rsid w:val="2B4B5005"/>
    <w:rsid w:val="2B4D16E3"/>
    <w:rsid w:val="2B4E3C62"/>
    <w:rsid w:val="2B4E5774"/>
    <w:rsid w:val="2B4F1381"/>
    <w:rsid w:val="2B4F46EA"/>
    <w:rsid w:val="2B512E32"/>
    <w:rsid w:val="2B525BAE"/>
    <w:rsid w:val="2B527E51"/>
    <w:rsid w:val="2B533774"/>
    <w:rsid w:val="2B534C6C"/>
    <w:rsid w:val="2B540048"/>
    <w:rsid w:val="2B546E8B"/>
    <w:rsid w:val="2B54704F"/>
    <w:rsid w:val="2B557CEB"/>
    <w:rsid w:val="2B561713"/>
    <w:rsid w:val="2B566C7A"/>
    <w:rsid w:val="2B570FA2"/>
    <w:rsid w:val="2B571819"/>
    <w:rsid w:val="2B5873FA"/>
    <w:rsid w:val="2B591D80"/>
    <w:rsid w:val="2B5961E7"/>
    <w:rsid w:val="2B597F39"/>
    <w:rsid w:val="2B5B4633"/>
    <w:rsid w:val="2B5C7036"/>
    <w:rsid w:val="2B5D08BB"/>
    <w:rsid w:val="2B5D13AB"/>
    <w:rsid w:val="2B5D628A"/>
    <w:rsid w:val="2B5E5327"/>
    <w:rsid w:val="2B5F2E7B"/>
    <w:rsid w:val="2B603A45"/>
    <w:rsid w:val="2B605F51"/>
    <w:rsid w:val="2B615CC6"/>
    <w:rsid w:val="2B62180B"/>
    <w:rsid w:val="2B626DED"/>
    <w:rsid w:val="2B62778A"/>
    <w:rsid w:val="2B634913"/>
    <w:rsid w:val="2B636361"/>
    <w:rsid w:val="2B64583C"/>
    <w:rsid w:val="2B6620C8"/>
    <w:rsid w:val="2B6640B7"/>
    <w:rsid w:val="2B674404"/>
    <w:rsid w:val="2B691DC8"/>
    <w:rsid w:val="2B692874"/>
    <w:rsid w:val="2B693C1C"/>
    <w:rsid w:val="2B6A19C9"/>
    <w:rsid w:val="2B6A40AD"/>
    <w:rsid w:val="2B6C5576"/>
    <w:rsid w:val="2B6D0292"/>
    <w:rsid w:val="2B6D7540"/>
    <w:rsid w:val="2B6D775F"/>
    <w:rsid w:val="2B6E37C0"/>
    <w:rsid w:val="2B6E6CAA"/>
    <w:rsid w:val="2B7263DC"/>
    <w:rsid w:val="2B733BFA"/>
    <w:rsid w:val="2B777082"/>
    <w:rsid w:val="2B793AD0"/>
    <w:rsid w:val="2B7B0D0E"/>
    <w:rsid w:val="2B7B18A0"/>
    <w:rsid w:val="2B7B1C5D"/>
    <w:rsid w:val="2B7B1F76"/>
    <w:rsid w:val="2B7B2D90"/>
    <w:rsid w:val="2B7B381D"/>
    <w:rsid w:val="2B7B5E65"/>
    <w:rsid w:val="2B7C05C4"/>
    <w:rsid w:val="2B7D45BD"/>
    <w:rsid w:val="2B7D534D"/>
    <w:rsid w:val="2B7E3305"/>
    <w:rsid w:val="2B7F139D"/>
    <w:rsid w:val="2B807184"/>
    <w:rsid w:val="2B81239B"/>
    <w:rsid w:val="2B822FEC"/>
    <w:rsid w:val="2B8231F3"/>
    <w:rsid w:val="2B832401"/>
    <w:rsid w:val="2B835C97"/>
    <w:rsid w:val="2B84143C"/>
    <w:rsid w:val="2B863104"/>
    <w:rsid w:val="2B8762AD"/>
    <w:rsid w:val="2B8813C2"/>
    <w:rsid w:val="2B882807"/>
    <w:rsid w:val="2B8925CC"/>
    <w:rsid w:val="2B8C029D"/>
    <w:rsid w:val="2B8C6026"/>
    <w:rsid w:val="2B906F6D"/>
    <w:rsid w:val="2B91322F"/>
    <w:rsid w:val="2B920E72"/>
    <w:rsid w:val="2B96153B"/>
    <w:rsid w:val="2B970537"/>
    <w:rsid w:val="2B97636B"/>
    <w:rsid w:val="2B980307"/>
    <w:rsid w:val="2B983E5B"/>
    <w:rsid w:val="2B983F80"/>
    <w:rsid w:val="2B991042"/>
    <w:rsid w:val="2B9944E0"/>
    <w:rsid w:val="2B9A0EA9"/>
    <w:rsid w:val="2B9A134C"/>
    <w:rsid w:val="2B9B64D4"/>
    <w:rsid w:val="2B9E4314"/>
    <w:rsid w:val="2B9F50B3"/>
    <w:rsid w:val="2BA03472"/>
    <w:rsid w:val="2BA07916"/>
    <w:rsid w:val="2BA256A1"/>
    <w:rsid w:val="2BA42D46"/>
    <w:rsid w:val="2BA430FE"/>
    <w:rsid w:val="2BA67203"/>
    <w:rsid w:val="2BA70CA4"/>
    <w:rsid w:val="2BA72EB7"/>
    <w:rsid w:val="2BA7709E"/>
    <w:rsid w:val="2BA83991"/>
    <w:rsid w:val="2BA90957"/>
    <w:rsid w:val="2BA967CA"/>
    <w:rsid w:val="2BAA2542"/>
    <w:rsid w:val="2BAB2CBB"/>
    <w:rsid w:val="2BAB5764"/>
    <w:rsid w:val="2BAC3618"/>
    <w:rsid w:val="2BAD2262"/>
    <w:rsid w:val="2BAD5947"/>
    <w:rsid w:val="2BAE0C52"/>
    <w:rsid w:val="2BAE3CF5"/>
    <w:rsid w:val="2BAE65F5"/>
    <w:rsid w:val="2BAF1907"/>
    <w:rsid w:val="2BAF236C"/>
    <w:rsid w:val="2BAF77AA"/>
    <w:rsid w:val="2BB033E1"/>
    <w:rsid w:val="2BB10349"/>
    <w:rsid w:val="2BB1567F"/>
    <w:rsid w:val="2BB217AA"/>
    <w:rsid w:val="2BB32DA6"/>
    <w:rsid w:val="2BB34E4D"/>
    <w:rsid w:val="2BB36504"/>
    <w:rsid w:val="2BB4516F"/>
    <w:rsid w:val="2BB46F1D"/>
    <w:rsid w:val="2BB51821"/>
    <w:rsid w:val="2BB7029E"/>
    <w:rsid w:val="2BB732CA"/>
    <w:rsid w:val="2BB84C5F"/>
    <w:rsid w:val="2BB92785"/>
    <w:rsid w:val="2BBC0084"/>
    <w:rsid w:val="2BBC4216"/>
    <w:rsid w:val="2BBC705B"/>
    <w:rsid w:val="2BBD5138"/>
    <w:rsid w:val="2BBE1B4A"/>
    <w:rsid w:val="2BC018D0"/>
    <w:rsid w:val="2BC047A8"/>
    <w:rsid w:val="2BC400FD"/>
    <w:rsid w:val="2BC43604"/>
    <w:rsid w:val="2BC445B9"/>
    <w:rsid w:val="2BC64156"/>
    <w:rsid w:val="2BC70368"/>
    <w:rsid w:val="2BC84331"/>
    <w:rsid w:val="2BC90A49"/>
    <w:rsid w:val="2BC90C1A"/>
    <w:rsid w:val="2BCA1B85"/>
    <w:rsid w:val="2BCB6294"/>
    <w:rsid w:val="2BCC642E"/>
    <w:rsid w:val="2BCC6BE0"/>
    <w:rsid w:val="2BCD5F22"/>
    <w:rsid w:val="2BCD78C0"/>
    <w:rsid w:val="2BCE023C"/>
    <w:rsid w:val="2BD01A9C"/>
    <w:rsid w:val="2BD15D21"/>
    <w:rsid w:val="2BD77E5E"/>
    <w:rsid w:val="2BDA2E28"/>
    <w:rsid w:val="2BDB153F"/>
    <w:rsid w:val="2BDC07AA"/>
    <w:rsid w:val="2BDC2A79"/>
    <w:rsid w:val="2BDD093D"/>
    <w:rsid w:val="2BDE6E44"/>
    <w:rsid w:val="2BE02720"/>
    <w:rsid w:val="2BE2005A"/>
    <w:rsid w:val="2BE234EB"/>
    <w:rsid w:val="2BE40A0C"/>
    <w:rsid w:val="2BE75EA9"/>
    <w:rsid w:val="2BEA293F"/>
    <w:rsid w:val="2BEA5976"/>
    <w:rsid w:val="2BEB4DA6"/>
    <w:rsid w:val="2BEB60AC"/>
    <w:rsid w:val="2BEE0713"/>
    <w:rsid w:val="2BEE12EF"/>
    <w:rsid w:val="2BEF4EFD"/>
    <w:rsid w:val="2BF1621B"/>
    <w:rsid w:val="2BF261CE"/>
    <w:rsid w:val="2BF2637D"/>
    <w:rsid w:val="2BF33C53"/>
    <w:rsid w:val="2BF35C97"/>
    <w:rsid w:val="2BF43A44"/>
    <w:rsid w:val="2BF5596C"/>
    <w:rsid w:val="2BF73439"/>
    <w:rsid w:val="2BF832AE"/>
    <w:rsid w:val="2BF90278"/>
    <w:rsid w:val="2BFA0DD4"/>
    <w:rsid w:val="2BFA1074"/>
    <w:rsid w:val="2BFA63EA"/>
    <w:rsid w:val="2BFA7026"/>
    <w:rsid w:val="2BFA7FC0"/>
    <w:rsid w:val="2BFB7259"/>
    <w:rsid w:val="2BFC681F"/>
    <w:rsid w:val="2BFE02B0"/>
    <w:rsid w:val="2BFF08E3"/>
    <w:rsid w:val="2BFF47C5"/>
    <w:rsid w:val="2C0121B7"/>
    <w:rsid w:val="2C0134D0"/>
    <w:rsid w:val="2C020A11"/>
    <w:rsid w:val="2C041C52"/>
    <w:rsid w:val="2C050BC1"/>
    <w:rsid w:val="2C054070"/>
    <w:rsid w:val="2C061259"/>
    <w:rsid w:val="2C07761F"/>
    <w:rsid w:val="2C077995"/>
    <w:rsid w:val="2C084183"/>
    <w:rsid w:val="2C087DAD"/>
    <w:rsid w:val="2C097269"/>
    <w:rsid w:val="2C0A355D"/>
    <w:rsid w:val="2C0F0D1A"/>
    <w:rsid w:val="2C100E1F"/>
    <w:rsid w:val="2C112D5D"/>
    <w:rsid w:val="2C117E34"/>
    <w:rsid w:val="2C136339"/>
    <w:rsid w:val="2C14634A"/>
    <w:rsid w:val="2C153C69"/>
    <w:rsid w:val="2C16360E"/>
    <w:rsid w:val="2C182A6F"/>
    <w:rsid w:val="2C195BCB"/>
    <w:rsid w:val="2C1A1A35"/>
    <w:rsid w:val="2C1C3440"/>
    <w:rsid w:val="2C1C54BB"/>
    <w:rsid w:val="2C1C7CD3"/>
    <w:rsid w:val="2C1E3994"/>
    <w:rsid w:val="2C1F7482"/>
    <w:rsid w:val="2C2063A3"/>
    <w:rsid w:val="2C213579"/>
    <w:rsid w:val="2C22032B"/>
    <w:rsid w:val="2C22657D"/>
    <w:rsid w:val="2C2410E7"/>
    <w:rsid w:val="2C290A3D"/>
    <w:rsid w:val="2C293D64"/>
    <w:rsid w:val="2C2B2A0E"/>
    <w:rsid w:val="2C2D6A2E"/>
    <w:rsid w:val="2C2E5FE2"/>
    <w:rsid w:val="2C31297A"/>
    <w:rsid w:val="2C3343DB"/>
    <w:rsid w:val="2C3562B0"/>
    <w:rsid w:val="2C361D0A"/>
    <w:rsid w:val="2C362C8D"/>
    <w:rsid w:val="2C3712E3"/>
    <w:rsid w:val="2C375A76"/>
    <w:rsid w:val="2C3A1229"/>
    <w:rsid w:val="2C3A1E29"/>
    <w:rsid w:val="2C3B4602"/>
    <w:rsid w:val="2C3D4E48"/>
    <w:rsid w:val="2C3E3F27"/>
    <w:rsid w:val="2C3E6800"/>
    <w:rsid w:val="2C3F50A5"/>
    <w:rsid w:val="2C443E51"/>
    <w:rsid w:val="2C44486D"/>
    <w:rsid w:val="2C447BF7"/>
    <w:rsid w:val="2C4B4E5A"/>
    <w:rsid w:val="2C4C129D"/>
    <w:rsid w:val="2C4C35F9"/>
    <w:rsid w:val="2C4D3F24"/>
    <w:rsid w:val="2C5074F4"/>
    <w:rsid w:val="2C550700"/>
    <w:rsid w:val="2C553595"/>
    <w:rsid w:val="2C561EEC"/>
    <w:rsid w:val="2C5812AA"/>
    <w:rsid w:val="2C5941DA"/>
    <w:rsid w:val="2C5B0548"/>
    <w:rsid w:val="2C5B3022"/>
    <w:rsid w:val="2C5B3259"/>
    <w:rsid w:val="2C5C47EC"/>
    <w:rsid w:val="2C5D1363"/>
    <w:rsid w:val="2C5E1048"/>
    <w:rsid w:val="2C602ECD"/>
    <w:rsid w:val="2C611306"/>
    <w:rsid w:val="2C655183"/>
    <w:rsid w:val="2C6566E2"/>
    <w:rsid w:val="2C661DC7"/>
    <w:rsid w:val="2C6721E1"/>
    <w:rsid w:val="2C692ABE"/>
    <w:rsid w:val="2C6A0BFA"/>
    <w:rsid w:val="2C6B2ED1"/>
    <w:rsid w:val="2C6B42FD"/>
    <w:rsid w:val="2C6D3166"/>
    <w:rsid w:val="2C6F0A0B"/>
    <w:rsid w:val="2C70553A"/>
    <w:rsid w:val="2C710E56"/>
    <w:rsid w:val="2C7212B2"/>
    <w:rsid w:val="2C7244A8"/>
    <w:rsid w:val="2C725257"/>
    <w:rsid w:val="2C7511FE"/>
    <w:rsid w:val="2C751549"/>
    <w:rsid w:val="2C75313C"/>
    <w:rsid w:val="2C76719D"/>
    <w:rsid w:val="2C7A05F5"/>
    <w:rsid w:val="2C7A5B1E"/>
    <w:rsid w:val="2C7B45D8"/>
    <w:rsid w:val="2C7C6DC5"/>
    <w:rsid w:val="2C7E76C3"/>
    <w:rsid w:val="2C7F3012"/>
    <w:rsid w:val="2C7F577D"/>
    <w:rsid w:val="2C802A45"/>
    <w:rsid w:val="2C8042C9"/>
    <w:rsid w:val="2C804AD2"/>
    <w:rsid w:val="2C816340"/>
    <w:rsid w:val="2C823E3A"/>
    <w:rsid w:val="2C840C86"/>
    <w:rsid w:val="2C855858"/>
    <w:rsid w:val="2C864D5D"/>
    <w:rsid w:val="2C8720BE"/>
    <w:rsid w:val="2C877AD6"/>
    <w:rsid w:val="2C881238"/>
    <w:rsid w:val="2C8A130A"/>
    <w:rsid w:val="2C8D53BF"/>
    <w:rsid w:val="2C8D5F83"/>
    <w:rsid w:val="2C8D7CF1"/>
    <w:rsid w:val="2C8E64BE"/>
    <w:rsid w:val="2C91031C"/>
    <w:rsid w:val="2C911942"/>
    <w:rsid w:val="2C913E98"/>
    <w:rsid w:val="2C92654A"/>
    <w:rsid w:val="2C93195A"/>
    <w:rsid w:val="2C9441B6"/>
    <w:rsid w:val="2C960B38"/>
    <w:rsid w:val="2C96444C"/>
    <w:rsid w:val="2C982E96"/>
    <w:rsid w:val="2C994B71"/>
    <w:rsid w:val="2C9A6060"/>
    <w:rsid w:val="2C9C1E8B"/>
    <w:rsid w:val="2C9C2683"/>
    <w:rsid w:val="2C9D7207"/>
    <w:rsid w:val="2C9E6301"/>
    <w:rsid w:val="2CA05A2F"/>
    <w:rsid w:val="2CA07AC4"/>
    <w:rsid w:val="2CA115F1"/>
    <w:rsid w:val="2CA13945"/>
    <w:rsid w:val="2CA14440"/>
    <w:rsid w:val="2CA20C53"/>
    <w:rsid w:val="2CA229B4"/>
    <w:rsid w:val="2CA23B4D"/>
    <w:rsid w:val="2CA25BEC"/>
    <w:rsid w:val="2CA36850"/>
    <w:rsid w:val="2CA429E2"/>
    <w:rsid w:val="2CA42DE2"/>
    <w:rsid w:val="2CA43C75"/>
    <w:rsid w:val="2CA63A0C"/>
    <w:rsid w:val="2CA7018B"/>
    <w:rsid w:val="2CA86A82"/>
    <w:rsid w:val="2CAA3B82"/>
    <w:rsid w:val="2CAD03B9"/>
    <w:rsid w:val="2CAE39EA"/>
    <w:rsid w:val="2CB00B30"/>
    <w:rsid w:val="2CB24DF4"/>
    <w:rsid w:val="2CB46C88"/>
    <w:rsid w:val="2CB573F1"/>
    <w:rsid w:val="2CB7203D"/>
    <w:rsid w:val="2CB80691"/>
    <w:rsid w:val="2CB80E38"/>
    <w:rsid w:val="2CB848A0"/>
    <w:rsid w:val="2CB96536"/>
    <w:rsid w:val="2CBA02AC"/>
    <w:rsid w:val="2CBB0EF6"/>
    <w:rsid w:val="2CBB79FD"/>
    <w:rsid w:val="2CBC0949"/>
    <w:rsid w:val="2CBC292C"/>
    <w:rsid w:val="2CBE1271"/>
    <w:rsid w:val="2CBF1D70"/>
    <w:rsid w:val="2CBF201D"/>
    <w:rsid w:val="2CBF55F2"/>
    <w:rsid w:val="2CBF5B79"/>
    <w:rsid w:val="2CC041A4"/>
    <w:rsid w:val="2CC06F3C"/>
    <w:rsid w:val="2CC1064B"/>
    <w:rsid w:val="2CC23E63"/>
    <w:rsid w:val="2CC25BB7"/>
    <w:rsid w:val="2CC3572C"/>
    <w:rsid w:val="2CC44727"/>
    <w:rsid w:val="2CC61D38"/>
    <w:rsid w:val="2CC639D9"/>
    <w:rsid w:val="2CC6515A"/>
    <w:rsid w:val="2CC66F08"/>
    <w:rsid w:val="2CC875CF"/>
    <w:rsid w:val="2CC94B0B"/>
    <w:rsid w:val="2CCA1B19"/>
    <w:rsid w:val="2CCA7E8A"/>
    <w:rsid w:val="2CCB7A9B"/>
    <w:rsid w:val="2CCF5C8A"/>
    <w:rsid w:val="2CCF6918"/>
    <w:rsid w:val="2CD048F2"/>
    <w:rsid w:val="2CD0540B"/>
    <w:rsid w:val="2CD077DB"/>
    <w:rsid w:val="2CD31677"/>
    <w:rsid w:val="2CD35496"/>
    <w:rsid w:val="2CD56B9F"/>
    <w:rsid w:val="2CD63174"/>
    <w:rsid w:val="2CD7244D"/>
    <w:rsid w:val="2CD812B0"/>
    <w:rsid w:val="2CD8427D"/>
    <w:rsid w:val="2CDA2DD1"/>
    <w:rsid w:val="2CDB16A0"/>
    <w:rsid w:val="2CDB3FD1"/>
    <w:rsid w:val="2CDB5176"/>
    <w:rsid w:val="2CDC497D"/>
    <w:rsid w:val="2CDD6131"/>
    <w:rsid w:val="2CDE0C6B"/>
    <w:rsid w:val="2CDE23AC"/>
    <w:rsid w:val="2CDE6947"/>
    <w:rsid w:val="2CDF1899"/>
    <w:rsid w:val="2CE1070A"/>
    <w:rsid w:val="2CE20EC6"/>
    <w:rsid w:val="2CE3364D"/>
    <w:rsid w:val="2CE35D0C"/>
    <w:rsid w:val="2CE43E5F"/>
    <w:rsid w:val="2CE4621E"/>
    <w:rsid w:val="2CE50B3E"/>
    <w:rsid w:val="2CE54F10"/>
    <w:rsid w:val="2CE55D92"/>
    <w:rsid w:val="2CE576AE"/>
    <w:rsid w:val="2CE97A50"/>
    <w:rsid w:val="2CEC66FF"/>
    <w:rsid w:val="2CED2340"/>
    <w:rsid w:val="2CF015FA"/>
    <w:rsid w:val="2CF16F22"/>
    <w:rsid w:val="2CF27CFD"/>
    <w:rsid w:val="2CF3307C"/>
    <w:rsid w:val="2CF414C4"/>
    <w:rsid w:val="2CF41CC7"/>
    <w:rsid w:val="2CF46E83"/>
    <w:rsid w:val="2CF471A3"/>
    <w:rsid w:val="2CF5279B"/>
    <w:rsid w:val="2CF732E7"/>
    <w:rsid w:val="2CF84117"/>
    <w:rsid w:val="2CFA6FE6"/>
    <w:rsid w:val="2CFC5020"/>
    <w:rsid w:val="2CFD6DC5"/>
    <w:rsid w:val="2CFF1068"/>
    <w:rsid w:val="2D000EFA"/>
    <w:rsid w:val="2D011DB9"/>
    <w:rsid w:val="2D016C6B"/>
    <w:rsid w:val="2D031F0A"/>
    <w:rsid w:val="2D040164"/>
    <w:rsid w:val="2D044FFF"/>
    <w:rsid w:val="2D06518C"/>
    <w:rsid w:val="2D073B8E"/>
    <w:rsid w:val="2D08423E"/>
    <w:rsid w:val="2D0A51B9"/>
    <w:rsid w:val="2D0C0C4B"/>
    <w:rsid w:val="2D0C22D7"/>
    <w:rsid w:val="2D0D46DC"/>
    <w:rsid w:val="2D0F4D53"/>
    <w:rsid w:val="2D0F7C9F"/>
    <w:rsid w:val="2D101C3D"/>
    <w:rsid w:val="2D10304D"/>
    <w:rsid w:val="2D1033D4"/>
    <w:rsid w:val="2D1063D5"/>
    <w:rsid w:val="2D11433C"/>
    <w:rsid w:val="2D122B4E"/>
    <w:rsid w:val="2D13667E"/>
    <w:rsid w:val="2D141108"/>
    <w:rsid w:val="2D1643D8"/>
    <w:rsid w:val="2D173C07"/>
    <w:rsid w:val="2D17417B"/>
    <w:rsid w:val="2D181C24"/>
    <w:rsid w:val="2D181DB3"/>
    <w:rsid w:val="2D182CD2"/>
    <w:rsid w:val="2D182FF0"/>
    <w:rsid w:val="2D184542"/>
    <w:rsid w:val="2D1B3143"/>
    <w:rsid w:val="2D1B3862"/>
    <w:rsid w:val="2D1B5761"/>
    <w:rsid w:val="2D1C37DD"/>
    <w:rsid w:val="2D1C4D7A"/>
    <w:rsid w:val="2D1D179A"/>
    <w:rsid w:val="2D1D5A88"/>
    <w:rsid w:val="2D1D6FE0"/>
    <w:rsid w:val="2D1F33B2"/>
    <w:rsid w:val="2D2152F3"/>
    <w:rsid w:val="2D2216F7"/>
    <w:rsid w:val="2D221C27"/>
    <w:rsid w:val="2D224336"/>
    <w:rsid w:val="2D24096E"/>
    <w:rsid w:val="2D246261"/>
    <w:rsid w:val="2D265D01"/>
    <w:rsid w:val="2D281D80"/>
    <w:rsid w:val="2D282A8B"/>
    <w:rsid w:val="2D297847"/>
    <w:rsid w:val="2D297E19"/>
    <w:rsid w:val="2D2B1E6E"/>
    <w:rsid w:val="2D2B320F"/>
    <w:rsid w:val="2D2B36CB"/>
    <w:rsid w:val="2D2B3ABD"/>
    <w:rsid w:val="2D2B46C6"/>
    <w:rsid w:val="2D2C2E15"/>
    <w:rsid w:val="2D2D7817"/>
    <w:rsid w:val="2D2E0394"/>
    <w:rsid w:val="2D2F2CFF"/>
    <w:rsid w:val="2D2F5A8D"/>
    <w:rsid w:val="2D2F6E79"/>
    <w:rsid w:val="2D2F7E73"/>
    <w:rsid w:val="2D302CEA"/>
    <w:rsid w:val="2D3105D3"/>
    <w:rsid w:val="2D3141F6"/>
    <w:rsid w:val="2D326176"/>
    <w:rsid w:val="2D3265D0"/>
    <w:rsid w:val="2D337529"/>
    <w:rsid w:val="2D353EF6"/>
    <w:rsid w:val="2D35534D"/>
    <w:rsid w:val="2D3557B3"/>
    <w:rsid w:val="2D356367"/>
    <w:rsid w:val="2D36240D"/>
    <w:rsid w:val="2D36556F"/>
    <w:rsid w:val="2D391DD0"/>
    <w:rsid w:val="2D395367"/>
    <w:rsid w:val="2D3B0E27"/>
    <w:rsid w:val="2D3B3357"/>
    <w:rsid w:val="2D3B5044"/>
    <w:rsid w:val="2D3C01F6"/>
    <w:rsid w:val="2D3D715C"/>
    <w:rsid w:val="2D3F18BC"/>
    <w:rsid w:val="2D3F2E23"/>
    <w:rsid w:val="2D3F5021"/>
    <w:rsid w:val="2D405FB1"/>
    <w:rsid w:val="2D406CBA"/>
    <w:rsid w:val="2D407B1A"/>
    <w:rsid w:val="2D414068"/>
    <w:rsid w:val="2D423CFD"/>
    <w:rsid w:val="2D4523E9"/>
    <w:rsid w:val="2D456460"/>
    <w:rsid w:val="2D46460C"/>
    <w:rsid w:val="2D4730D3"/>
    <w:rsid w:val="2D47713D"/>
    <w:rsid w:val="2D485B6F"/>
    <w:rsid w:val="2D494912"/>
    <w:rsid w:val="2D495609"/>
    <w:rsid w:val="2D4A18E7"/>
    <w:rsid w:val="2D4A1A48"/>
    <w:rsid w:val="2D4A5E6D"/>
    <w:rsid w:val="2D4A62B0"/>
    <w:rsid w:val="2D4C797B"/>
    <w:rsid w:val="2D4D0117"/>
    <w:rsid w:val="2D4D13D7"/>
    <w:rsid w:val="2D4D4C62"/>
    <w:rsid w:val="2D4D587B"/>
    <w:rsid w:val="2D4F07F3"/>
    <w:rsid w:val="2D5025A8"/>
    <w:rsid w:val="2D502C75"/>
    <w:rsid w:val="2D510B0C"/>
    <w:rsid w:val="2D512013"/>
    <w:rsid w:val="2D520C78"/>
    <w:rsid w:val="2D5371F7"/>
    <w:rsid w:val="2D5374B0"/>
    <w:rsid w:val="2D542766"/>
    <w:rsid w:val="2D547854"/>
    <w:rsid w:val="2D5922EF"/>
    <w:rsid w:val="2D59772C"/>
    <w:rsid w:val="2D5A2C02"/>
    <w:rsid w:val="2D5B0462"/>
    <w:rsid w:val="2D5B1D46"/>
    <w:rsid w:val="2D5B5815"/>
    <w:rsid w:val="2D5B590B"/>
    <w:rsid w:val="2D5B6187"/>
    <w:rsid w:val="2D5C4DA2"/>
    <w:rsid w:val="2D5C6A75"/>
    <w:rsid w:val="2D5D1A46"/>
    <w:rsid w:val="2D5E0C3F"/>
    <w:rsid w:val="2D5E3404"/>
    <w:rsid w:val="2D61371B"/>
    <w:rsid w:val="2D621327"/>
    <w:rsid w:val="2D632026"/>
    <w:rsid w:val="2D652018"/>
    <w:rsid w:val="2D675E34"/>
    <w:rsid w:val="2D681255"/>
    <w:rsid w:val="2D681DE7"/>
    <w:rsid w:val="2D684072"/>
    <w:rsid w:val="2D6858B1"/>
    <w:rsid w:val="2D686211"/>
    <w:rsid w:val="2D695159"/>
    <w:rsid w:val="2D6A0D3C"/>
    <w:rsid w:val="2D6A4923"/>
    <w:rsid w:val="2D6B0770"/>
    <w:rsid w:val="2D6B7AAF"/>
    <w:rsid w:val="2D6E52E4"/>
    <w:rsid w:val="2D6E71F0"/>
    <w:rsid w:val="2D6F57F1"/>
    <w:rsid w:val="2D7012C0"/>
    <w:rsid w:val="2D704767"/>
    <w:rsid w:val="2D707235"/>
    <w:rsid w:val="2D726D18"/>
    <w:rsid w:val="2D735992"/>
    <w:rsid w:val="2D740657"/>
    <w:rsid w:val="2D750387"/>
    <w:rsid w:val="2D751EAD"/>
    <w:rsid w:val="2D760839"/>
    <w:rsid w:val="2D776A7D"/>
    <w:rsid w:val="2D777B7A"/>
    <w:rsid w:val="2D7824C8"/>
    <w:rsid w:val="2D783C64"/>
    <w:rsid w:val="2D7904AF"/>
    <w:rsid w:val="2D7B2816"/>
    <w:rsid w:val="2D7C10D0"/>
    <w:rsid w:val="2D7C6DC5"/>
    <w:rsid w:val="2D7E268A"/>
    <w:rsid w:val="2D820F4E"/>
    <w:rsid w:val="2D832405"/>
    <w:rsid w:val="2D834DF9"/>
    <w:rsid w:val="2D842E07"/>
    <w:rsid w:val="2D847D9B"/>
    <w:rsid w:val="2D853184"/>
    <w:rsid w:val="2D856A36"/>
    <w:rsid w:val="2D85710D"/>
    <w:rsid w:val="2D862A14"/>
    <w:rsid w:val="2D865F98"/>
    <w:rsid w:val="2D86600E"/>
    <w:rsid w:val="2D873E13"/>
    <w:rsid w:val="2D880661"/>
    <w:rsid w:val="2D883C19"/>
    <w:rsid w:val="2D88708D"/>
    <w:rsid w:val="2D8D5C78"/>
    <w:rsid w:val="2D8D66F5"/>
    <w:rsid w:val="2D8E4C19"/>
    <w:rsid w:val="2D904AA1"/>
    <w:rsid w:val="2D915C9C"/>
    <w:rsid w:val="2D917830"/>
    <w:rsid w:val="2D92328E"/>
    <w:rsid w:val="2D9306BB"/>
    <w:rsid w:val="2D934B50"/>
    <w:rsid w:val="2D9371D9"/>
    <w:rsid w:val="2D937732"/>
    <w:rsid w:val="2D940CF3"/>
    <w:rsid w:val="2D945258"/>
    <w:rsid w:val="2D947006"/>
    <w:rsid w:val="2D960361"/>
    <w:rsid w:val="2D9709A5"/>
    <w:rsid w:val="2D970D3C"/>
    <w:rsid w:val="2D972170"/>
    <w:rsid w:val="2D9818DA"/>
    <w:rsid w:val="2D982987"/>
    <w:rsid w:val="2D9B3DA1"/>
    <w:rsid w:val="2D9C36AD"/>
    <w:rsid w:val="2D9C42F8"/>
    <w:rsid w:val="2D9D410D"/>
    <w:rsid w:val="2D9D4EF5"/>
    <w:rsid w:val="2D9E1C33"/>
    <w:rsid w:val="2D9E60D7"/>
    <w:rsid w:val="2D9E64E4"/>
    <w:rsid w:val="2D9F2329"/>
    <w:rsid w:val="2D9F2789"/>
    <w:rsid w:val="2D9F5695"/>
    <w:rsid w:val="2D9F7082"/>
    <w:rsid w:val="2DA12A29"/>
    <w:rsid w:val="2DA239F0"/>
    <w:rsid w:val="2DA2648B"/>
    <w:rsid w:val="2DA26FBA"/>
    <w:rsid w:val="2DA4527D"/>
    <w:rsid w:val="2DA454DE"/>
    <w:rsid w:val="2DA6689C"/>
    <w:rsid w:val="2DA74F8B"/>
    <w:rsid w:val="2DA76D39"/>
    <w:rsid w:val="2DA82AB1"/>
    <w:rsid w:val="2DA84F51"/>
    <w:rsid w:val="2DAB79E2"/>
    <w:rsid w:val="2DAB7EBB"/>
    <w:rsid w:val="2DAC75AF"/>
    <w:rsid w:val="2DAD2CC4"/>
    <w:rsid w:val="2DAF47D8"/>
    <w:rsid w:val="2DAF5F38"/>
    <w:rsid w:val="2DAF7048"/>
    <w:rsid w:val="2DB06BE4"/>
    <w:rsid w:val="2DB11966"/>
    <w:rsid w:val="2DB11C92"/>
    <w:rsid w:val="2DB150B6"/>
    <w:rsid w:val="2DB24B20"/>
    <w:rsid w:val="2DB26F99"/>
    <w:rsid w:val="2DB33DE8"/>
    <w:rsid w:val="2DB37B87"/>
    <w:rsid w:val="2DB429F6"/>
    <w:rsid w:val="2DB44BE8"/>
    <w:rsid w:val="2DB508F8"/>
    <w:rsid w:val="2DB6382A"/>
    <w:rsid w:val="2DB63CC7"/>
    <w:rsid w:val="2DB66F7C"/>
    <w:rsid w:val="2DB77D5B"/>
    <w:rsid w:val="2DB83A7B"/>
    <w:rsid w:val="2DB9081B"/>
    <w:rsid w:val="2DB9208A"/>
    <w:rsid w:val="2DBA372D"/>
    <w:rsid w:val="2DBB22EF"/>
    <w:rsid w:val="2DBC4548"/>
    <w:rsid w:val="2DBD50E7"/>
    <w:rsid w:val="2DBE11D8"/>
    <w:rsid w:val="2DBE22D5"/>
    <w:rsid w:val="2DBE5C85"/>
    <w:rsid w:val="2DC14CC4"/>
    <w:rsid w:val="2DC42F2F"/>
    <w:rsid w:val="2DC773DC"/>
    <w:rsid w:val="2DC87BFC"/>
    <w:rsid w:val="2DCA5511"/>
    <w:rsid w:val="2DCB1072"/>
    <w:rsid w:val="2DCB3979"/>
    <w:rsid w:val="2DCD3AEC"/>
    <w:rsid w:val="2DCD42C6"/>
    <w:rsid w:val="2DCD6365"/>
    <w:rsid w:val="2DCE15AF"/>
    <w:rsid w:val="2DCE571E"/>
    <w:rsid w:val="2DCF0C42"/>
    <w:rsid w:val="2DCF44E2"/>
    <w:rsid w:val="2DD02B28"/>
    <w:rsid w:val="2DD12008"/>
    <w:rsid w:val="2DD332D6"/>
    <w:rsid w:val="2DD53034"/>
    <w:rsid w:val="2DD94C15"/>
    <w:rsid w:val="2DD97731"/>
    <w:rsid w:val="2DDA2FFB"/>
    <w:rsid w:val="2DDB0D05"/>
    <w:rsid w:val="2DDC4BB8"/>
    <w:rsid w:val="2DDC7B35"/>
    <w:rsid w:val="2DDD7F45"/>
    <w:rsid w:val="2DDE17CF"/>
    <w:rsid w:val="2DDE305F"/>
    <w:rsid w:val="2DDE38EA"/>
    <w:rsid w:val="2DDE64D3"/>
    <w:rsid w:val="2DDF3B4C"/>
    <w:rsid w:val="2DDF7AA4"/>
    <w:rsid w:val="2DE00B35"/>
    <w:rsid w:val="2DE122B7"/>
    <w:rsid w:val="2DE175C3"/>
    <w:rsid w:val="2DE24C40"/>
    <w:rsid w:val="2DE43E9F"/>
    <w:rsid w:val="2DE55AB4"/>
    <w:rsid w:val="2DE735DA"/>
    <w:rsid w:val="2DE73F83"/>
    <w:rsid w:val="2DE76039"/>
    <w:rsid w:val="2DE81B39"/>
    <w:rsid w:val="2DE833C8"/>
    <w:rsid w:val="2DE85111"/>
    <w:rsid w:val="2DEA03A8"/>
    <w:rsid w:val="2DEA131C"/>
    <w:rsid w:val="2DEC7E3E"/>
    <w:rsid w:val="2DED0A92"/>
    <w:rsid w:val="2DEF16ED"/>
    <w:rsid w:val="2DF02AE0"/>
    <w:rsid w:val="2DF316F7"/>
    <w:rsid w:val="2DF3608C"/>
    <w:rsid w:val="2DF528E6"/>
    <w:rsid w:val="2DF6381D"/>
    <w:rsid w:val="2DF70628"/>
    <w:rsid w:val="2DF90E26"/>
    <w:rsid w:val="2DF90FEB"/>
    <w:rsid w:val="2DFA2D34"/>
    <w:rsid w:val="2DFB01CE"/>
    <w:rsid w:val="2DFC612D"/>
    <w:rsid w:val="2DFD104F"/>
    <w:rsid w:val="2DFD2F6E"/>
    <w:rsid w:val="2E017F16"/>
    <w:rsid w:val="2E0228D1"/>
    <w:rsid w:val="2E035226"/>
    <w:rsid w:val="2E042DED"/>
    <w:rsid w:val="2E053A60"/>
    <w:rsid w:val="2E083FAC"/>
    <w:rsid w:val="2E090704"/>
    <w:rsid w:val="2E093019"/>
    <w:rsid w:val="2E0A22B0"/>
    <w:rsid w:val="2E0C09E5"/>
    <w:rsid w:val="2E0C1B8B"/>
    <w:rsid w:val="2E0C3040"/>
    <w:rsid w:val="2E0C3D03"/>
    <w:rsid w:val="2E0D1BAB"/>
    <w:rsid w:val="2E0D6E7F"/>
    <w:rsid w:val="2E0E6DB8"/>
    <w:rsid w:val="2E0E6F4A"/>
    <w:rsid w:val="2E112C5C"/>
    <w:rsid w:val="2E114561"/>
    <w:rsid w:val="2E115F03"/>
    <w:rsid w:val="2E13082B"/>
    <w:rsid w:val="2E1435BD"/>
    <w:rsid w:val="2E15340E"/>
    <w:rsid w:val="2E1536FE"/>
    <w:rsid w:val="2E156891"/>
    <w:rsid w:val="2E1819E5"/>
    <w:rsid w:val="2E1920A8"/>
    <w:rsid w:val="2E1A01B5"/>
    <w:rsid w:val="2E1C0147"/>
    <w:rsid w:val="2E1C33FA"/>
    <w:rsid w:val="2E1D7F73"/>
    <w:rsid w:val="2E1F0FC6"/>
    <w:rsid w:val="2E200CB5"/>
    <w:rsid w:val="2E212E15"/>
    <w:rsid w:val="2E217CB1"/>
    <w:rsid w:val="2E223F5B"/>
    <w:rsid w:val="2E2272E9"/>
    <w:rsid w:val="2E235EAC"/>
    <w:rsid w:val="2E241CDC"/>
    <w:rsid w:val="2E2B4125"/>
    <w:rsid w:val="2E2D19AE"/>
    <w:rsid w:val="2E2E1974"/>
    <w:rsid w:val="2E3057BC"/>
    <w:rsid w:val="2E312C82"/>
    <w:rsid w:val="2E3215A7"/>
    <w:rsid w:val="2E326E0A"/>
    <w:rsid w:val="2E33112D"/>
    <w:rsid w:val="2E335CC7"/>
    <w:rsid w:val="2E3420A5"/>
    <w:rsid w:val="2E342663"/>
    <w:rsid w:val="2E343E4C"/>
    <w:rsid w:val="2E346C2B"/>
    <w:rsid w:val="2E350E75"/>
    <w:rsid w:val="2E3600BD"/>
    <w:rsid w:val="2E3626DF"/>
    <w:rsid w:val="2E395265"/>
    <w:rsid w:val="2E3A6E93"/>
    <w:rsid w:val="2E3B1EFB"/>
    <w:rsid w:val="2E3C0D1A"/>
    <w:rsid w:val="2E3D1F78"/>
    <w:rsid w:val="2E3D76E0"/>
    <w:rsid w:val="2E3E6332"/>
    <w:rsid w:val="2E4268C1"/>
    <w:rsid w:val="2E4270DC"/>
    <w:rsid w:val="2E434094"/>
    <w:rsid w:val="2E443666"/>
    <w:rsid w:val="2E4478E9"/>
    <w:rsid w:val="2E47051C"/>
    <w:rsid w:val="2E4805E5"/>
    <w:rsid w:val="2E4A7271"/>
    <w:rsid w:val="2E4B34EB"/>
    <w:rsid w:val="2E4C37F6"/>
    <w:rsid w:val="2E503607"/>
    <w:rsid w:val="2E527668"/>
    <w:rsid w:val="2E5302D6"/>
    <w:rsid w:val="2E565BE6"/>
    <w:rsid w:val="2E570909"/>
    <w:rsid w:val="2E570BA6"/>
    <w:rsid w:val="2E5757F3"/>
    <w:rsid w:val="2E5808BD"/>
    <w:rsid w:val="2E591CA5"/>
    <w:rsid w:val="2E5D53A8"/>
    <w:rsid w:val="2E60513A"/>
    <w:rsid w:val="2E612183"/>
    <w:rsid w:val="2E620EB2"/>
    <w:rsid w:val="2E622441"/>
    <w:rsid w:val="2E63395B"/>
    <w:rsid w:val="2E642E7C"/>
    <w:rsid w:val="2E6453B0"/>
    <w:rsid w:val="2E652F0D"/>
    <w:rsid w:val="2E6618B8"/>
    <w:rsid w:val="2E663914"/>
    <w:rsid w:val="2E671600"/>
    <w:rsid w:val="2E67410D"/>
    <w:rsid w:val="2E675E80"/>
    <w:rsid w:val="2E676267"/>
    <w:rsid w:val="2E6932C2"/>
    <w:rsid w:val="2E6B0194"/>
    <w:rsid w:val="2E6B128B"/>
    <w:rsid w:val="2E6B1D16"/>
    <w:rsid w:val="2E6B483B"/>
    <w:rsid w:val="2E6B4A1E"/>
    <w:rsid w:val="2E6B7490"/>
    <w:rsid w:val="2E6D0E74"/>
    <w:rsid w:val="2E6E3B96"/>
    <w:rsid w:val="2E6E7A59"/>
    <w:rsid w:val="2E6F2C34"/>
    <w:rsid w:val="2E700F33"/>
    <w:rsid w:val="2E701BC0"/>
    <w:rsid w:val="2E702659"/>
    <w:rsid w:val="2E707F2E"/>
    <w:rsid w:val="2E71322B"/>
    <w:rsid w:val="2E715B35"/>
    <w:rsid w:val="2E726618"/>
    <w:rsid w:val="2E732D46"/>
    <w:rsid w:val="2E756E38"/>
    <w:rsid w:val="2E7674C9"/>
    <w:rsid w:val="2E7A4C73"/>
    <w:rsid w:val="2E7B1F74"/>
    <w:rsid w:val="2E7B66E8"/>
    <w:rsid w:val="2E7C1A67"/>
    <w:rsid w:val="2E7C2423"/>
    <w:rsid w:val="2E7D5E52"/>
    <w:rsid w:val="2E7E437A"/>
    <w:rsid w:val="2E7F3812"/>
    <w:rsid w:val="2E7F7CB6"/>
    <w:rsid w:val="2E832EED"/>
    <w:rsid w:val="2E843617"/>
    <w:rsid w:val="2E853436"/>
    <w:rsid w:val="2E8664CB"/>
    <w:rsid w:val="2E877F26"/>
    <w:rsid w:val="2E883A48"/>
    <w:rsid w:val="2E88684B"/>
    <w:rsid w:val="2E890457"/>
    <w:rsid w:val="2E8D423E"/>
    <w:rsid w:val="2E8D5BB6"/>
    <w:rsid w:val="2E8E6235"/>
    <w:rsid w:val="2E8E6370"/>
    <w:rsid w:val="2E8E7DCA"/>
    <w:rsid w:val="2E901ED8"/>
    <w:rsid w:val="2E907B83"/>
    <w:rsid w:val="2E921798"/>
    <w:rsid w:val="2E94389C"/>
    <w:rsid w:val="2E951288"/>
    <w:rsid w:val="2E95347B"/>
    <w:rsid w:val="2E963A57"/>
    <w:rsid w:val="2E9665D0"/>
    <w:rsid w:val="2E98096C"/>
    <w:rsid w:val="2E99620D"/>
    <w:rsid w:val="2E9A4E00"/>
    <w:rsid w:val="2E9A689E"/>
    <w:rsid w:val="2E9B161E"/>
    <w:rsid w:val="2E9D013C"/>
    <w:rsid w:val="2E9D2CFF"/>
    <w:rsid w:val="2E9D664B"/>
    <w:rsid w:val="2E9D7F19"/>
    <w:rsid w:val="2E9F5308"/>
    <w:rsid w:val="2EA025D1"/>
    <w:rsid w:val="2EA026A0"/>
    <w:rsid w:val="2EA03B36"/>
    <w:rsid w:val="2EA119DB"/>
    <w:rsid w:val="2EA2687E"/>
    <w:rsid w:val="2EA35066"/>
    <w:rsid w:val="2EA4738B"/>
    <w:rsid w:val="2EA75652"/>
    <w:rsid w:val="2EA80FBB"/>
    <w:rsid w:val="2EA8191A"/>
    <w:rsid w:val="2EA922B0"/>
    <w:rsid w:val="2EA9401D"/>
    <w:rsid w:val="2EA9483D"/>
    <w:rsid w:val="2EA97960"/>
    <w:rsid w:val="2EAD409C"/>
    <w:rsid w:val="2EAD6702"/>
    <w:rsid w:val="2EAF30FC"/>
    <w:rsid w:val="2EB05202"/>
    <w:rsid w:val="2EB11B34"/>
    <w:rsid w:val="2EB20139"/>
    <w:rsid w:val="2EB2063D"/>
    <w:rsid w:val="2EB21E3A"/>
    <w:rsid w:val="2EB31F3A"/>
    <w:rsid w:val="2EB37960"/>
    <w:rsid w:val="2EB40924"/>
    <w:rsid w:val="2EB63FE1"/>
    <w:rsid w:val="2EB67BB3"/>
    <w:rsid w:val="2EB77731"/>
    <w:rsid w:val="2EB77877"/>
    <w:rsid w:val="2EB931C8"/>
    <w:rsid w:val="2EBA484A"/>
    <w:rsid w:val="2EBB2E4D"/>
    <w:rsid w:val="2EBD1B9A"/>
    <w:rsid w:val="2EBD7686"/>
    <w:rsid w:val="2EBE0A8E"/>
    <w:rsid w:val="2EBE24C5"/>
    <w:rsid w:val="2EC036AA"/>
    <w:rsid w:val="2EC0378C"/>
    <w:rsid w:val="2EC044BC"/>
    <w:rsid w:val="2EC12DE1"/>
    <w:rsid w:val="2EC21774"/>
    <w:rsid w:val="2EC25B60"/>
    <w:rsid w:val="2EC277C1"/>
    <w:rsid w:val="2EC351CA"/>
    <w:rsid w:val="2EC4300E"/>
    <w:rsid w:val="2EC67D1D"/>
    <w:rsid w:val="2EC75CF7"/>
    <w:rsid w:val="2EC8340B"/>
    <w:rsid w:val="2ECA3160"/>
    <w:rsid w:val="2ECC182D"/>
    <w:rsid w:val="2ECE1240"/>
    <w:rsid w:val="2ED12604"/>
    <w:rsid w:val="2ED21E21"/>
    <w:rsid w:val="2ED25604"/>
    <w:rsid w:val="2ED3490B"/>
    <w:rsid w:val="2ED35277"/>
    <w:rsid w:val="2ED40002"/>
    <w:rsid w:val="2ED41B30"/>
    <w:rsid w:val="2ED525AB"/>
    <w:rsid w:val="2ED52A2A"/>
    <w:rsid w:val="2ED574E0"/>
    <w:rsid w:val="2ED610D3"/>
    <w:rsid w:val="2ED85DFF"/>
    <w:rsid w:val="2ED92E45"/>
    <w:rsid w:val="2EDA795E"/>
    <w:rsid w:val="2EDD5216"/>
    <w:rsid w:val="2EDE117F"/>
    <w:rsid w:val="2EDE2C2F"/>
    <w:rsid w:val="2EDE57EC"/>
    <w:rsid w:val="2EDF045E"/>
    <w:rsid w:val="2EDF07AD"/>
    <w:rsid w:val="2EDF14BE"/>
    <w:rsid w:val="2EE16EB1"/>
    <w:rsid w:val="2EE205A6"/>
    <w:rsid w:val="2EE25469"/>
    <w:rsid w:val="2EE3501E"/>
    <w:rsid w:val="2EE3707D"/>
    <w:rsid w:val="2EE4447D"/>
    <w:rsid w:val="2EE6088A"/>
    <w:rsid w:val="2EE6217E"/>
    <w:rsid w:val="2EE817B0"/>
    <w:rsid w:val="2EE87529"/>
    <w:rsid w:val="2EEA4173"/>
    <w:rsid w:val="2EEA5313"/>
    <w:rsid w:val="2EEB3251"/>
    <w:rsid w:val="2EEB534C"/>
    <w:rsid w:val="2EEC2701"/>
    <w:rsid w:val="2EEE335E"/>
    <w:rsid w:val="2EEE547C"/>
    <w:rsid w:val="2EEF6BEA"/>
    <w:rsid w:val="2EF064BE"/>
    <w:rsid w:val="2EF266DA"/>
    <w:rsid w:val="2EF312C6"/>
    <w:rsid w:val="2EF32A78"/>
    <w:rsid w:val="2EF36C84"/>
    <w:rsid w:val="2EF47582"/>
    <w:rsid w:val="2EF50521"/>
    <w:rsid w:val="2EF53747"/>
    <w:rsid w:val="2EF824B7"/>
    <w:rsid w:val="2EFB3093"/>
    <w:rsid w:val="2EFB6E53"/>
    <w:rsid w:val="2EFC4B9D"/>
    <w:rsid w:val="2EFD14F8"/>
    <w:rsid w:val="2EFD4903"/>
    <w:rsid w:val="2EFE6E2D"/>
    <w:rsid w:val="2EFF1945"/>
    <w:rsid w:val="2EFF6F06"/>
    <w:rsid w:val="2EFF761A"/>
    <w:rsid w:val="2F000ED1"/>
    <w:rsid w:val="2F0116F1"/>
    <w:rsid w:val="2F012479"/>
    <w:rsid w:val="2F0160E2"/>
    <w:rsid w:val="2F0424FB"/>
    <w:rsid w:val="2F055094"/>
    <w:rsid w:val="2F063C65"/>
    <w:rsid w:val="2F083808"/>
    <w:rsid w:val="2F094A4B"/>
    <w:rsid w:val="2F096EA9"/>
    <w:rsid w:val="2F0A1F67"/>
    <w:rsid w:val="2F0B0F66"/>
    <w:rsid w:val="2F0C5571"/>
    <w:rsid w:val="2F0D3D6A"/>
    <w:rsid w:val="2F0D53F4"/>
    <w:rsid w:val="2F0E1720"/>
    <w:rsid w:val="2F10090E"/>
    <w:rsid w:val="2F106F89"/>
    <w:rsid w:val="2F120292"/>
    <w:rsid w:val="2F126434"/>
    <w:rsid w:val="2F140E80"/>
    <w:rsid w:val="2F1449B2"/>
    <w:rsid w:val="2F144C70"/>
    <w:rsid w:val="2F161D99"/>
    <w:rsid w:val="2F171E02"/>
    <w:rsid w:val="2F181B51"/>
    <w:rsid w:val="2F191055"/>
    <w:rsid w:val="2F191E58"/>
    <w:rsid w:val="2F193C67"/>
    <w:rsid w:val="2F1C004F"/>
    <w:rsid w:val="2F1C0570"/>
    <w:rsid w:val="2F1C430B"/>
    <w:rsid w:val="2F1D2E1E"/>
    <w:rsid w:val="2F1D5D1D"/>
    <w:rsid w:val="2F1D7458"/>
    <w:rsid w:val="2F1E127D"/>
    <w:rsid w:val="2F1E7104"/>
    <w:rsid w:val="2F1E74CF"/>
    <w:rsid w:val="2F1F052E"/>
    <w:rsid w:val="2F1F0986"/>
    <w:rsid w:val="2F1F0B51"/>
    <w:rsid w:val="2F1F3F49"/>
    <w:rsid w:val="2F205BE3"/>
    <w:rsid w:val="2F210593"/>
    <w:rsid w:val="2F232545"/>
    <w:rsid w:val="2F234AE5"/>
    <w:rsid w:val="2F2443BA"/>
    <w:rsid w:val="2F245151"/>
    <w:rsid w:val="2F252842"/>
    <w:rsid w:val="2F252CC5"/>
    <w:rsid w:val="2F261EE0"/>
    <w:rsid w:val="2F280A0F"/>
    <w:rsid w:val="2F2846BA"/>
    <w:rsid w:val="2F296B60"/>
    <w:rsid w:val="2F2A413F"/>
    <w:rsid w:val="2F2B1FB4"/>
    <w:rsid w:val="2F2B28F9"/>
    <w:rsid w:val="2F2B663B"/>
    <w:rsid w:val="2F2C25B8"/>
    <w:rsid w:val="2F2D0447"/>
    <w:rsid w:val="2F2E323D"/>
    <w:rsid w:val="2F2E4A11"/>
    <w:rsid w:val="2F2E6FE6"/>
    <w:rsid w:val="2F305B22"/>
    <w:rsid w:val="2F335771"/>
    <w:rsid w:val="2F3454DA"/>
    <w:rsid w:val="2F34597E"/>
    <w:rsid w:val="2F357700"/>
    <w:rsid w:val="2F367BCD"/>
    <w:rsid w:val="2F371AB7"/>
    <w:rsid w:val="2F3774E0"/>
    <w:rsid w:val="2F3779E2"/>
    <w:rsid w:val="2F377CAB"/>
    <w:rsid w:val="2F395375"/>
    <w:rsid w:val="2F3957BB"/>
    <w:rsid w:val="2F3A24C6"/>
    <w:rsid w:val="2F3D6E3D"/>
    <w:rsid w:val="2F3E1123"/>
    <w:rsid w:val="2F3E191F"/>
    <w:rsid w:val="2F3E547B"/>
    <w:rsid w:val="2F3E7229"/>
    <w:rsid w:val="2F3F65E8"/>
    <w:rsid w:val="2F407303"/>
    <w:rsid w:val="2F4308A5"/>
    <w:rsid w:val="2F432A92"/>
    <w:rsid w:val="2F432E19"/>
    <w:rsid w:val="2F433421"/>
    <w:rsid w:val="2F4709E3"/>
    <w:rsid w:val="2F482B06"/>
    <w:rsid w:val="2F485654"/>
    <w:rsid w:val="2F492BF0"/>
    <w:rsid w:val="2F4A64A5"/>
    <w:rsid w:val="2F4B1946"/>
    <w:rsid w:val="2F4C2437"/>
    <w:rsid w:val="2F4C3ED3"/>
    <w:rsid w:val="2F4C4A3D"/>
    <w:rsid w:val="2F4D56BE"/>
    <w:rsid w:val="2F4E3C0B"/>
    <w:rsid w:val="2F4E47FC"/>
    <w:rsid w:val="2F4E633D"/>
    <w:rsid w:val="2F4E7BFE"/>
    <w:rsid w:val="2F4F1437"/>
    <w:rsid w:val="2F4F3166"/>
    <w:rsid w:val="2F505B14"/>
    <w:rsid w:val="2F527C4F"/>
    <w:rsid w:val="2F53231E"/>
    <w:rsid w:val="2F532C7B"/>
    <w:rsid w:val="2F543E7A"/>
    <w:rsid w:val="2F561FC3"/>
    <w:rsid w:val="2F58127E"/>
    <w:rsid w:val="2F581506"/>
    <w:rsid w:val="2F594FA1"/>
    <w:rsid w:val="2F597710"/>
    <w:rsid w:val="2F5B2242"/>
    <w:rsid w:val="2F5C1CF0"/>
    <w:rsid w:val="2F5C1DA5"/>
    <w:rsid w:val="2F5C380D"/>
    <w:rsid w:val="2F5E5B1E"/>
    <w:rsid w:val="2F5F4A81"/>
    <w:rsid w:val="2F5F7F98"/>
    <w:rsid w:val="2F603644"/>
    <w:rsid w:val="2F61158E"/>
    <w:rsid w:val="2F621A95"/>
    <w:rsid w:val="2F626E0E"/>
    <w:rsid w:val="2F642564"/>
    <w:rsid w:val="2F642B9D"/>
    <w:rsid w:val="2F64668A"/>
    <w:rsid w:val="2F6475CD"/>
    <w:rsid w:val="2F6534D3"/>
    <w:rsid w:val="2F653AA7"/>
    <w:rsid w:val="2F662DFD"/>
    <w:rsid w:val="2F6630F3"/>
    <w:rsid w:val="2F665697"/>
    <w:rsid w:val="2F68699C"/>
    <w:rsid w:val="2F6A6270"/>
    <w:rsid w:val="2F6B3D97"/>
    <w:rsid w:val="2F6B77E5"/>
    <w:rsid w:val="2F6C0B00"/>
    <w:rsid w:val="2F6D5D61"/>
    <w:rsid w:val="2F6E7FE8"/>
    <w:rsid w:val="2F6F7C94"/>
    <w:rsid w:val="2F6F7D2B"/>
    <w:rsid w:val="2F701A22"/>
    <w:rsid w:val="2F716FEE"/>
    <w:rsid w:val="2F7346FD"/>
    <w:rsid w:val="2F7348F1"/>
    <w:rsid w:val="2F7368A7"/>
    <w:rsid w:val="2F741165"/>
    <w:rsid w:val="2F745DF3"/>
    <w:rsid w:val="2F776486"/>
    <w:rsid w:val="2F780DED"/>
    <w:rsid w:val="2F785653"/>
    <w:rsid w:val="2F787981"/>
    <w:rsid w:val="2F7C412B"/>
    <w:rsid w:val="2F7D025E"/>
    <w:rsid w:val="2F7E0504"/>
    <w:rsid w:val="2F7E16D0"/>
    <w:rsid w:val="2F7E38D7"/>
    <w:rsid w:val="2F7F3871"/>
    <w:rsid w:val="2F7F4CE7"/>
    <w:rsid w:val="2F801968"/>
    <w:rsid w:val="2F802432"/>
    <w:rsid w:val="2F8135BA"/>
    <w:rsid w:val="2F830AFE"/>
    <w:rsid w:val="2F8310E0"/>
    <w:rsid w:val="2F8446A2"/>
    <w:rsid w:val="2F846FA6"/>
    <w:rsid w:val="2F860BD0"/>
    <w:rsid w:val="2F874BBE"/>
    <w:rsid w:val="2F875074"/>
    <w:rsid w:val="2F881786"/>
    <w:rsid w:val="2F8A043E"/>
    <w:rsid w:val="2F8A09E3"/>
    <w:rsid w:val="2F8B4A44"/>
    <w:rsid w:val="2F8C268B"/>
    <w:rsid w:val="2F8E78C6"/>
    <w:rsid w:val="2F8F2BD6"/>
    <w:rsid w:val="2F9140EC"/>
    <w:rsid w:val="2F914F46"/>
    <w:rsid w:val="2F920A3A"/>
    <w:rsid w:val="2F9243ED"/>
    <w:rsid w:val="2F924ADC"/>
    <w:rsid w:val="2F9413A4"/>
    <w:rsid w:val="2F95018C"/>
    <w:rsid w:val="2F9679A1"/>
    <w:rsid w:val="2F971705"/>
    <w:rsid w:val="2F972DDE"/>
    <w:rsid w:val="2F984477"/>
    <w:rsid w:val="2F991294"/>
    <w:rsid w:val="2F99381C"/>
    <w:rsid w:val="2F9939E1"/>
    <w:rsid w:val="2F994DA8"/>
    <w:rsid w:val="2F9953DE"/>
    <w:rsid w:val="2F9A04D8"/>
    <w:rsid w:val="2F9A7C23"/>
    <w:rsid w:val="2F9B09AA"/>
    <w:rsid w:val="2F9B0B20"/>
    <w:rsid w:val="2F9C03F4"/>
    <w:rsid w:val="2F9C0445"/>
    <w:rsid w:val="2F9C18FA"/>
    <w:rsid w:val="2F9F4A06"/>
    <w:rsid w:val="2FA10F19"/>
    <w:rsid w:val="2FA12BC1"/>
    <w:rsid w:val="2FA12F82"/>
    <w:rsid w:val="2FA133CD"/>
    <w:rsid w:val="2FA5374C"/>
    <w:rsid w:val="2FA554FB"/>
    <w:rsid w:val="2FA81211"/>
    <w:rsid w:val="2FA92B3A"/>
    <w:rsid w:val="2FA9321A"/>
    <w:rsid w:val="2FA94784"/>
    <w:rsid w:val="2FA95B77"/>
    <w:rsid w:val="2FAA2D47"/>
    <w:rsid w:val="2FAA4AED"/>
    <w:rsid w:val="2FAA664A"/>
    <w:rsid w:val="2FAE2B5F"/>
    <w:rsid w:val="2FAE6B0C"/>
    <w:rsid w:val="2FAF3D59"/>
    <w:rsid w:val="2FAF4281"/>
    <w:rsid w:val="2FAF55A1"/>
    <w:rsid w:val="2FB14F22"/>
    <w:rsid w:val="2FB357C4"/>
    <w:rsid w:val="2FB43C50"/>
    <w:rsid w:val="2FB4480E"/>
    <w:rsid w:val="2FB63264"/>
    <w:rsid w:val="2FB6414F"/>
    <w:rsid w:val="2FB66AE5"/>
    <w:rsid w:val="2FB7522E"/>
    <w:rsid w:val="2FBA37D4"/>
    <w:rsid w:val="2FBB5AAA"/>
    <w:rsid w:val="2FBB6ED6"/>
    <w:rsid w:val="2FBC25A1"/>
    <w:rsid w:val="2FBD08A8"/>
    <w:rsid w:val="2FBE7790"/>
    <w:rsid w:val="2FBF7622"/>
    <w:rsid w:val="2FC0029A"/>
    <w:rsid w:val="2FC06A92"/>
    <w:rsid w:val="2FC20FDD"/>
    <w:rsid w:val="2FC35981"/>
    <w:rsid w:val="2FC37909"/>
    <w:rsid w:val="2FC40BB7"/>
    <w:rsid w:val="2FC47D4A"/>
    <w:rsid w:val="2FC63E6A"/>
    <w:rsid w:val="2FC73986"/>
    <w:rsid w:val="2FC7457B"/>
    <w:rsid w:val="2FC7536F"/>
    <w:rsid w:val="2FC75620"/>
    <w:rsid w:val="2FC7730E"/>
    <w:rsid w:val="2FC92EE1"/>
    <w:rsid w:val="2FCA0BBC"/>
    <w:rsid w:val="2FCA419D"/>
    <w:rsid w:val="2FCB409F"/>
    <w:rsid w:val="2FCC0D88"/>
    <w:rsid w:val="2FCC2A87"/>
    <w:rsid w:val="2FCD1DB8"/>
    <w:rsid w:val="2FCD436A"/>
    <w:rsid w:val="2FCE0BAC"/>
    <w:rsid w:val="2FCE2CA3"/>
    <w:rsid w:val="2FD06C0B"/>
    <w:rsid w:val="2FD06F3F"/>
    <w:rsid w:val="2FD31C0A"/>
    <w:rsid w:val="2FD361A8"/>
    <w:rsid w:val="2FD37947"/>
    <w:rsid w:val="2FD55B5A"/>
    <w:rsid w:val="2FD874C4"/>
    <w:rsid w:val="2FD87F20"/>
    <w:rsid w:val="2FDA6140"/>
    <w:rsid w:val="2FDD1B7B"/>
    <w:rsid w:val="2FDE0251"/>
    <w:rsid w:val="2FDE12AE"/>
    <w:rsid w:val="2FDE27BA"/>
    <w:rsid w:val="2FDE281A"/>
    <w:rsid w:val="2FE27199"/>
    <w:rsid w:val="2FE27920"/>
    <w:rsid w:val="2FE6448A"/>
    <w:rsid w:val="2FEC3872"/>
    <w:rsid w:val="2FEC5C68"/>
    <w:rsid w:val="2FED0C50"/>
    <w:rsid w:val="2FED2BB4"/>
    <w:rsid w:val="2FEE6EA1"/>
    <w:rsid w:val="2FEF6776"/>
    <w:rsid w:val="2FF00C83"/>
    <w:rsid w:val="2FF14FCA"/>
    <w:rsid w:val="2FF30683"/>
    <w:rsid w:val="2FF42AF5"/>
    <w:rsid w:val="2FF43D8C"/>
    <w:rsid w:val="2FF51B8E"/>
    <w:rsid w:val="2FF74010"/>
    <w:rsid w:val="2FF76558"/>
    <w:rsid w:val="2FF77A64"/>
    <w:rsid w:val="2FF80EF4"/>
    <w:rsid w:val="2FF90765"/>
    <w:rsid w:val="2FF95846"/>
    <w:rsid w:val="2FF975F4"/>
    <w:rsid w:val="2FFA7A09"/>
    <w:rsid w:val="2FFD7CE8"/>
    <w:rsid w:val="2FFE0626"/>
    <w:rsid w:val="2FFE2EDA"/>
    <w:rsid w:val="2FFE789C"/>
    <w:rsid w:val="2FFF6721"/>
    <w:rsid w:val="2FFF7A9A"/>
    <w:rsid w:val="2FFF7CF8"/>
    <w:rsid w:val="30001A87"/>
    <w:rsid w:val="3001685D"/>
    <w:rsid w:val="300316CB"/>
    <w:rsid w:val="300466C5"/>
    <w:rsid w:val="3006458B"/>
    <w:rsid w:val="300801D1"/>
    <w:rsid w:val="30090737"/>
    <w:rsid w:val="30094F39"/>
    <w:rsid w:val="300A0C6A"/>
    <w:rsid w:val="300A28E6"/>
    <w:rsid w:val="300A2EB5"/>
    <w:rsid w:val="300A6857"/>
    <w:rsid w:val="300B6073"/>
    <w:rsid w:val="300B74BF"/>
    <w:rsid w:val="300C5CDE"/>
    <w:rsid w:val="300D6634"/>
    <w:rsid w:val="300D761F"/>
    <w:rsid w:val="300E050D"/>
    <w:rsid w:val="300E12F2"/>
    <w:rsid w:val="300E26F6"/>
    <w:rsid w:val="301139A5"/>
    <w:rsid w:val="30117BA4"/>
    <w:rsid w:val="301200D9"/>
    <w:rsid w:val="30121BBD"/>
    <w:rsid w:val="301307BF"/>
    <w:rsid w:val="30133C56"/>
    <w:rsid w:val="30134B5A"/>
    <w:rsid w:val="30152317"/>
    <w:rsid w:val="30156509"/>
    <w:rsid w:val="30156A03"/>
    <w:rsid w:val="301631CF"/>
    <w:rsid w:val="30163660"/>
    <w:rsid w:val="301A694C"/>
    <w:rsid w:val="301B1C70"/>
    <w:rsid w:val="301B2755"/>
    <w:rsid w:val="301B2800"/>
    <w:rsid w:val="301B78E9"/>
    <w:rsid w:val="301B7CC2"/>
    <w:rsid w:val="301D5D37"/>
    <w:rsid w:val="301E4DC3"/>
    <w:rsid w:val="301F1190"/>
    <w:rsid w:val="30204BEF"/>
    <w:rsid w:val="3021268A"/>
    <w:rsid w:val="30224B54"/>
    <w:rsid w:val="30241E18"/>
    <w:rsid w:val="30243DF7"/>
    <w:rsid w:val="302461C0"/>
    <w:rsid w:val="302527A4"/>
    <w:rsid w:val="3026380B"/>
    <w:rsid w:val="3027122A"/>
    <w:rsid w:val="30297EDA"/>
    <w:rsid w:val="302A594E"/>
    <w:rsid w:val="302A5C70"/>
    <w:rsid w:val="302B59D4"/>
    <w:rsid w:val="302C79CA"/>
    <w:rsid w:val="302D57DB"/>
    <w:rsid w:val="302F0E08"/>
    <w:rsid w:val="302F14C5"/>
    <w:rsid w:val="302F3016"/>
    <w:rsid w:val="30317CE4"/>
    <w:rsid w:val="30340320"/>
    <w:rsid w:val="30342994"/>
    <w:rsid w:val="30345D5F"/>
    <w:rsid w:val="303748AC"/>
    <w:rsid w:val="303845C1"/>
    <w:rsid w:val="303A1923"/>
    <w:rsid w:val="303D65B7"/>
    <w:rsid w:val="303F0410"/>
    <w:rsid w:val="303F6A18"/>
    <w:rsid w:val="304401E5"/>
    <w:rsid w:val="3044188C"/>
    <w:rsid w:val="30450E9E"/>
    <w:rsid w:val="3045523F"/>
    <w:rsid w:val="30462328"/>
    <w:rsid w:val="30474804"/>
    <w:rsid w:val="30484B1E"/>
    <w:rsid w:val="304A6E61"/>
    <w:rsid w:val="304C1644"/>
    <w:rsid w:val="304C5395"/>
    <w:rsid w:val="304C5976"/>
    <w:rsid w:val="304D1233"/>
    <w:rsid w:val="304E7940"/>
    <w:rsid w:val="304F1F0D"/>
    <w:rsid w:val="304F7365"/>
    <w:rsid w:val="30550CCF"/>
    <w:rsid w:val="305538A7"/>
    <w:rsid w:val="305577A4"/>
    <w:rsid w:val="30560E0A"/>
    <w:rsid w:val="305875FE"/>
    <w:rsid w:val="30595574"/>
    <w:rsid w:val="3059654A"/>
    <w:rsid w:val="305B3E0B"/>
    <w:rsid w:val="305B593F"/>
    <w:rsid w:val="305B723E"/>
    <w:rsid w:val="305C317B"/>
    <w:rsid w:val="305D23CE"/>
    <w:rsid w:val="305D413A"/>
    <w:rsid w:val="305D4ABE"/>
    <w:rsid w:val="305D6E18"/>
    <w:rsid w:val="305E43CC"/>
    <w:rsid w:val="305E7CE8"/>
    <w:rsid w:val="305F1C1A"/>
    <w:rsid w:val="30603378"/>
    <w:rsid w:val="30610C71"/>
    <w:rsid w:val="3062006B"/>
    <w:rsid w:val="3063506F"/>
    <w:rsid w:val="3064235D"/>
    <w:rsid w:val="30645D29"/>
    <w:rsid w:val="306467A2"/>
    <w:rsid w:val="3065040E"/>
    <w:rsid w:val="30656A38"/>
    <w:rsid w:val="30662EDC"/>
    <w:rsid w:val="3066796C"/>
    <w:rsid w:val="30676D61"/>
    <w:rsid w:val="30683E50"/>
    <w:rsid w:val="306929CC"/>
    <w:rsid w:val="306B2017"/>
    <w:rsid w:val="306B4F17"/>
    <w:rsid w:val="306C7D95"/>
    <w:rsid w:val="306D24BD"/>
    <w:rsid w:val="306D4AE2"/>
    <w:rsid w:val="306E5142"/>
    <w:rsid w:val="30707957"/>
    <w:rsid w:val="3071036C"/>
    <w:rsid w:val="3071409F"/>
    <w:rsid w:val="307153DD"/>
    <w:rsid w:val="30715BF2"/>
    <w:rsid w:val="307179D2"/>
    <w:rsid w:val="30717AD3"/>
    <w:rsid w:val="30745170"/>
    <w:rsid w:val="30746947"/>
    <w:rsid w:val="3076564F"/>
    <w:rsid w:val="3078168B"/>
    <w:rsid w:val="3078546E"/>
    <w:rsid w:val="307919FF"/>
    <w:rsid w:val="307A33FC"/>
    <w:rsid w:val="307C7D33"/>
    <w:rsid w:val="307D411A"/>
    <w:rsid w:val="307F3F9D"/>
    <w:rsid w:val="307F5D4C"/>
    <w:rsid w:val="307F66DD"/>
    <w:rsid w:val="3080086A"/>
    <w:rsid w:val="30800DD3"/>
    <w:rsid w:val="3081665F"/>
    <w:rsid w:val="308275EA"/>
    <w:rsid w:val="308511BC"/>
    <w:rsid w:val="30870F7F"/>
    <w:rsid w:val="30887EF2"/>
    <w:rsid w:val="30894E1C"/>
    <w:rsid w:val="3089622F"/>
    <w:rsid w:val="308A444B"/>
    <w:rsid w:val="308A708E"/>
    <w:rsid w:val="308A7926"/>
    <w:rsid w:val="308C2216"/>
    <w:rsid w:val="308D669B"/>
    <w:rsid w:val="309054AC"/>
    <w:rsid w:val="30912155"/>
    <w:rsid w:val="3091494B"/>
    <w:rsid w:val="30920A89"/>
    <w:rsid w:val="30923A41"/>
    <w:rsid w:val="3092574C"/>
    <w:rsid w:val="30942F58"/>
    <w:rsid w:val="30944F66"/>
    <w:rsid w:val="3095731D"/>
    <w:rsid w:val="3096561A"/>
    <w:rsid w:val="309745FC"/>
    <w:rsid w:val="30982634"/>
    <w:rsid w:val="309C01A1"/>
    <w:rsid w:val="309C7C3B"/>
    <w:rsid w:val="309D08C8"/>
    <w:rsid w:val="309D2676"/>
    <w:rsid w:val="309E1814"/>
    <w:rsid w:val="309F1657"/>
    <w:rsid w:val="30A532D8"/>
    <w:rsid w:val="30A56EA8"/>
    <w:rsid w:val="30A71AE3"/>
    <w:rsid w:val="30A8209E"/>
    <w:rsid w:val="30A87A11"/>
    <w:rsid w:val="30A93A44"/>
    <w:rsid w:val="30AB2368"/>
    <w:rsid w:val="30AB37B9"/>
    <w:rsid w:val="30AC2DFC"/>
    <w:rsid w:val="30AD7399"/>
    <w:rsid w:val="30AE38E8"/>
    <w:rsid w:val="30B00338"/>
    <w:rsid w:val="30B2178C"/>
    <w:rsid w:val="30B40633"/>
    <w:rsid w:val="30B46745"/>
    <w:rsid w:val="30B5176D"/>
    <w:rsid w:val="30B66D9E"/>
    <w:rsid w:val="30B67293"/>
    <w:rsid w:val="30B71CF5"/>
    <w:rsid w:val="30B82D46"/>
    <w:rsid w:val="30B864AA"/>
    <w:rsid w:val="30B874AF"/>
    <w:rsid w:val="30B90C57"/>
    <w:rsid w:val="30B957E6"/>
    <w:rsid w:val="30B963BD"/>
    <w:rsid w:val="30BA09FB"/>
    <w:rsid w:val="30BC12CD"/>
    <w:rsid w:val="30BC19C5"/>
    <w:rsid w:val="30BD4AC6"/>
    <w:rsid w:val="30BE3F5C"/>
    <w:rsid w:val="30BE4502"/>
    <w:rsid w:val="30C10131"/>
    <w:rsid w:val="30C20FF2"/>
    <w:rsid w:val="30C25BF4"/>
    <w:rsid w:val="30C3556D"/>
    <w:rsid w:val="30C4467E"/>
    <w:rsid w:val="30C745AD"/>
    <w:rsid w:val="30C82639"/>
    <w:rsid w:val="30C827FD"/>
    <w:rsid w:val="30C906A3"/>
    <w:rsid w:val="30C96794"/>
    <w:rsid w:val="30CA5E03"/>
    <w:rsid w:val="30CB7D83"/>
    <w:rsid w:val="30CC2470"/>
    <w:rsid w:val="30CC62CE"/>
    <w:rsid w:val="30CD1AEB"/>
    <w:rsid w:val="30CD29DF"/>
    <w:rsid w:val="30CD5730"/>
    <w:rsid w:val="30CE0D08"/>
    <w:rsid w:val="30CE30FC"/>
    <w:rsid w:val="30CF5A51"/>
    <w:rsid w:val="30D10B44"/>
    <w:rsid w:val="30D22614"/>
    <w:rsid w:val="30D2710E"/>
    <w:rsid w:val="30D42A97"/>
    <w:rsid w:val="30D53FF2"/>
    <w:rsid w:val="30D54D55"/>
    <w:rsid w:val="30D64BAF"/>
    <w:rsid w:val="30D6546E"/>
    <w:rsid w:val="30D721E9"/>
    <w:rsid w:val="30D9264E"/>
    <w:rsid w:val="30D9727D"/>
    <w:rsid w:val="30DB3959"/>
    <w:rsid w:val="30DB4046"/>
    <w:rsid w:val="30DC3D95"/>
    <w:rsid w:val="30DC54D6"/>
    <w:rsid w:val="30DC7219"/>
    <w:rsid w:val="30DD6C58"/>
    <w:rsid w:val="30DD6F16"/>
    <w:rsid w:val="30DE08ED"/>
    <w:rsid w:val="30DF358A"/>
    <w:rsid w:val="30DF631F"/>
    <w:rsid w:val="30DF7082"/>
    <w:rsid w:val="30E00000"/>
    <w:rsid w:val="30E014C3"/>
    <w:rsid w:val="30E04D91"/>
    <w:rsid w:val="30E17212"/>
    <w:rsid w:val="30E327D8"/>
    <w:rsid w:val="30E42053"/>
    <w:rsid w:val="30E61159"/>
    <w:rsid w:val="30E62804"/>
    <w:rsid w:val="30E7126A"/>
    <w:rsid w:val="30E7260A"/>
    <w:rsid w:val="30E90E7B"/>
    <w:rsid w:val="30E92112"/>
    <w:rsid w:val="30EA33D3"/>
    <w:rsid w:val="30EC1D22"/>
    <w:rsid w:val="30EC3164"/>
    <w:rsid w:val="30ED0B3F"/>
    <w:rsid w:val="30ED19FC"/>
    <w:rsid w:val="30EE3201"/>
    <w:rsid w:val="30EE600C"/>
    <w:rsid w:val="30EF4AE3"/>
    <w:rsid w:val="30F027A5"/>
    <w:rsid w:val="30F063B0"/>
    <w:rsid w:val="30F1626C"/>
    <w:rsid w:val="30F2476F"/>
    <w:rsid w:val="30F36BFE"/>
    <w:rsid w:val="30F40BFA"/>
    <w:rsid w:val="30F56787"/>
    <w:rsid w:val="30F71D86"/>
    <w:rsid w:val="30F720DE"/>
    <w:rsid w:val="30F73B34"/>
    <w:rsid w:val="30F74D5F"/>
    <w:rsid w:val="30F85AFE"/>
    <w:rsid w:val="30F93E69"/>
    <w:rsid w:val="30FC01F6"/>
    <w:rsid w:val="30FD3114"/>
    <w:rsid w:val="30FD5EBE"/>
    <w:rsid w:val="31010E56"/>
    <w:rsid w:val="31021EF9"/>
    <w:rsid w:val="31044FAA"/>
    <w:rsid w:val="31045716"/>
    <w:rsid w:val="31052BC2"/>
    <w:rsid w:val="31064507"/>
    <w:rsid w:val="310821E5"/>
    <w:rsid w:val="31083AFE"/>
    <w:rsid w:val="31087012"/>
    <w:rsid w:val="31091AB9"/>
    <w:rsid w:val="310B3A83"/>
    <w:rsid w:val="310B5831"/>
    <w:rsid w:val="310D52A4"/>
    <w:rsid w:val="310E5794"/>
    <w:rsid w:val="31113709"/>
    <w:rsid w:val="31120AB3"/>
    <w:rsid w:val="31122CBD"/>
    <w:rsid w:val="31135DD1"/>
    <w:rsid w:val="31144D76"/>
    <w:rsid w:val="31182372"/>
    <w:rsid w:val="311851D5"/>
    <w:rsid w:val="311923D4"/>
    <w:rsid w:val="311A0102"/>
    <w:rsid w:val="311A1F18"/>
    <w:rsid w:val="311B4C4D"/>
    <w:rsid w:val="311B6CE3"/>
    <w:rsid w:val="311C17EC"/>
    <w:rsid w:val="311D7312"/>
    <w:rsid w:val="311F308B"/>
    <w:rsid w:val="311F7AB1"/>
    <w:rsid w:val="31202E64"/>
    <w:rsid w:val="3121235E"/>
    <w:rsid w:val="312132A7"/>
    <w:rsid w:val="31217CB3"/>
    <w:rsid w:val="312304E9"/>
    <w:rsid w:val="31230DCD"/>
    <w:rsid w:val="3123557E"/>
    <w:rsid w:val="31244B45"/>
    <w:rsid w:val="31245B34"/>
    <w:rsid w:val="312634FE"/>
    <w:rsid w:val="31266F50"/>
    <w:rsid w:val="3127052C"/>
    <w:rsid w:val="312715F8"/>
    <w:rsid w:val="31271F3F"/>
    <w:rsid w:val="31287AAA"/>
    <w:rsid w:val="312B6CA5"/>
    <w:rsid w:val="312D1C4B"/>
    <w:rsid w:val="312D1D5D"/>
    <w:rsid w:val="312D69C7"/>
    <w:rsid w:val="312E1520"/>
    <w:rsid w:val="31303416"/>
    <w:rsid w:val="31305BC9"/>
    <w:rsid w:val="31307046"/>
    <w:rsid w:val="313406C0"/>
    <w:rsid w:val="31344BC0"/>
    <w:rsid w:val="3136355C"/>
    <w:rsid w:val="31364100"/>
    <w:rsid w:val="3137233B"/>
    <w:rsid w:val="31393146"/>
    <w:rsid w:val="313A08D3"/>
    <w:rsid w:val="313A1C72"/>
    <w:rsid w:val="313A6116"/>
    <w:rsid w:val="313C0812"/>
    <w:rsid w:val="313C284C"/>
    <w:rsid w:val="313D3228"/>
    <w:rsid w:val="313F0558"/>
    <w:rsid w:val="31404E77"/>
    <w:rsid w:val="31411253"/>
    <w:rsid w:val="314121A2"/>
    <w:rsid w:val="31413001"/>
    <w:rsid w:val="314140B6"/>
    <w:rsid w:val="3142559F"/>
    <w:rsid w:val="3143009E"/>
    <w:rsid w:val="314309AE"/>
    <w:rsid w:val="314322AE"/>
    <w:rsid w:val="3143358E"/>
    <w:rsid w:val="314407FC"/>
    <w:rsid w:val="31440ED2"/>
    <w:rsid w:val="31442AF1"/>
    <w:rsid w:val="31450125"/>
    <w:rsid w:val="31453A15"/>
    <w:rsid w:val="31453FF8"/>
    <w:rsid w:val="31455897"/>
    <w:rsid w:val="31456F95"/>
    <w:rsid w:val="31464495"/>
    <w:rsid w:val="31466E58"/>
    <w:rsid w:val="31474BFA"/>
    <w:rsid w:val="31480833"/>
    <w:rsid w:val="3148107D"/>
    <w:rsid w:val="31493966"/>
    <w:rsid w:val="31496359"/>
    <w:rsid w:val="314C38B6"/>
    <w:rsid w:val="314D06F2"/>
    <w:rsid w:val="314D2B73"/>
    <w:rsid w:val="314E4A9B"/>
    <w:rsid w:val="314E7B59"/>
    <w:rsid w:val="314F0D68"/>
    <w:rsid w:val="31500CAA"/>
    <w:rsid w:val="3150593A"/>
    <w:rsid w:val="31517DE2"/>
    <w:rsid w:val="31520297"/>
    <w:rsid w:val="31523460"/>
    <w:rsid w:val="31524179"/>
    <w:rsid w:val="31524F05"/>
    <w:rsid w:val="315326A5"/>
    <w:rsid w:val="31532902"/>
    <w:rsid w:val="31532F43"/>
    <w:rsid w:val="315330CF"/>
    <w:rsid w:val="31537242"/>
    <w:rsid w:val="31550BF3"/>
    <w:rsid w:val="31551EE3"/>
    <w:rsid w:val="31552F50"/>
    <w:rsid w:val="31556AAC"/>
    <w:rsid w:val="315760F4"/>
    <w:rsid w:val="315840B2"/>
    <w:rsid w:val="315D39B8"/>
    <w:rsid w:val="315D4DA9"/>
    <w:rsid w:val="315D5BA1"/>
    <w:rsid w:val="315F198E"/>
    <w:rsid w:val="31600632"/>
    <w:rsid w:val="31621ECD"/>
    <w:rsid w:val="31627E2E"/>
    <w:rsid w:val="316311C9"/>
    <w:rsid w:val="31633CC3"/>
    <w:rsid w:val="3163417D"/>
    <w:rsid w:val="31641D7A"/>
    <w:rsid w:val="316450AF"/>
    <w:rsid w:val="31652676"/>
    <w:rsid w:val="3166515D"/>
    <w:rsid w:val="31666F0B"/>
    <w:rsid w:val="31687767"/>
    <w:rsid w:val="3169073F"/>
    <w:rsid w:val="316B15CD"/>
    <w:rsid w:val="316B62D0"/>
    <w:rsid w:val="316C45AE"/>
    <w:rsid w:val="316E7265"/>
    <w:rsid w:val="316F4012"/>
    <w:rsid w:val="316F7FF1"/>
    <w:rsid w:val="31701497"/>
    <w:rsid w:val="317057B1"/>
    <w:rsid w:val="31715241"/>
    <w:rsid w:val="31715963"/>
    <w:rsid w:val="31716284"/>
    <w:rsid w:val="3171747E"/>
    <w:rsid w:val="317203D3"/>
    <w:rsid w:val="31735628"/>
    <w:rsid w:val="31737FFF"/>
    <w:rsid w:val="317409D9"/>
    <w:rsid w:val="3175714F"/>
    <w:rsid w:val="317B0188"/>
    <w:rsid w:val="317B68C0"/>
    <w:rsid w:val="317B750B"/>
    <w:rsid w:val="317D7898"/>
    <w:rsid w:val="317E6F03"/>
    <w:rsid w:val="317F1A54"/>
    <w:rsid w:val="317F69C6"/>
    <w:rsid w:val="31802D30"/>
    <w:rsid w:val="31805AB5"/>
    <w:rsid w:val="31810675"/>
    <w:rsid w:val="318123B0"/>
    <w:rsid w:val="31820AE0"/>
    <w:rsid w:val="31833619"/>
    <w:rsid w:val="31847007"/>
    <w:rsid w:val="318721FB"/>
    <w:rsid w:val="31882BBD"/>
    <w:rsid w:val="318A1209"/>
    <w:rsid w:val="318C5775"/>
    <w:rsid w:val="319074CC"/>
    <w:rsid w:val="319148ED"/>
    <w:rsid w:val="31933BA8"/>
    <w:rsid w:val="31941321"/>
    <w:rsid w:val="31965C9F"/>
    <w:rsid w:val="3196727B"/>
    <w:rsid w:val="31974BCE"/>
    <w:rsid w:val="31992E3D"/>
    <w:rsid w:val="319B1BEE"/>
    <w:rsid w:val="319B3CAC"/>
    <w:rsid w:val="319B4849"/>
    <w:rsid w:val="319C0E7A"/>
    <w:rsid w:val="319C3C90"/>
    <w:rsid w:val="319D4C6E"/>
    <w:rsid w:val="319D6AB4"/>
    <w:rsid w:val="319E474E"/>
    <w:rsid w:val="319F06B0"/>
    <w:rsid w:val="319F0A95"/>
    <w:rsid w:val="319F6E6C"/>
    <w:rsid w:val="319F71BA"/>
    <w:rsid w:val="31A0108C"/>
    <w:rsid w:val="31A1054D"/>
    <w:rsid w:val="31A31BD8"/>
    <w:rsid w:val="31A355BE"/>
    <w:rsid w:val="31A42D41"/>
    <w:rsid w:val="31A55EC6"/>
    <w:rsid w:val="31A56340"/>
    <w:rsid w:val="31AA504A"/>
    <w:rsid w:val="31AB7CD7"/>
    <w:rsid w:val="31AC1C27"/>
    <w:rsid w:val="31AC6676"/>
    <w:rsid w:val="31AE5468"/>
    <w:rsid w:val="31AE5F62"/>
    <w:rsid w:val="31AE6ADA"/>
    <w:rsid w:val="31B0285F"/>
    <w:rsid w:val="31B053AA"/>
    <w:rsid w:val="31B163D9"/>
    <w:rsid w:val="31B34BC4"/>
    <w:rsid w:val="31B5314B"/>
    <w:rsid w:val="31B61C41"/>
    <w:rsid w:val="31B646F4"/>
    <w:rsid w:val="31B81C01"/>
    <w:rsid w:val="31B847E2"/>
    <w:rsid w:val="31B90F62"/>
    <w:rsid w:val="31B930AC"/>
    <w:rsid w:val="31B94AC6"/>
    <w:rsid w:val="31B961BC"/>
    <w:rsid w:val="31BB4B77"/>
    <w:rsid w:val="31BB689B"/>
    <w:rsid w:val="31BC6B2B"/>
    <w:rsid w:val="31BD2529"/>
    <w:rsid w:val="31BE04CC"/>
    <w:rsid w:val="31BF7247"/>
    <w:rsid w:val="31C003CA"/>
    <w:rsid w:val="31C074FF"/>
    <w:rsid w:val="31C14349"/>
    <w:rsid w:val="31C2353C"/>
    <w:rsid w:val="31C33BD9"/>
    <w:rsid w:val="31C379CC"/>
    <w:rsid w:val="31C413F6"/>
    <w:rsid w:val="31C41E8B"/>
    <w:rsid w:val="31C4412B"/>
    <w:rsid w:val="31C559E0"/>
    <w:rsid w:val="31C61758"/>
    <w:rsid w:val="31C64FD5"/>
    <w:rsid w:val="31C81974"/>
    <w:rsid w:val="31C87812"/>
    <w:rsid w:val="31C964E6"/>
    <w:rsid w:val="31CA56EC"/>
    <w:rsid w:val="31CA5C1E"/>
    <w:rsid w:val="31CC0B61"/>
    <w:rsid w:val="31CD174F"/>
    <w:rsid w:val="31CD35D1"/>
    <w:rsid w:val="31CD40BC"/>
    <w:rsid w:val="31CD7716"/>
    <w:rsid w:val="31D010A8"/>
    <w:rsid w:val="31D070D6"/>
    <w:rsid w:val="31D17D03"/>
    <w:rsid w:val="31D368C5"/>
    <w:rsid w:val="31D420C7"/>
    <w:rsid w:val="31D46537"/>
    <w:rsid w:val="31D473D9"/>
    <w:rsid w:val="31D54E29"/>
    <w:rsid w:val="31D832D4"/>
    <w:rsid w:val="31D85D37"/>
    <w:rsid w:val="31D96DE4"/>
    <w:rsid w:val="31DA66C0"/>
    <w:rsid w:val="31DC6086"/>
    <w:rsid w:val="31DC62D8"/>
    <w:rsid w:val="31DD2F72"/>
    <w:rsid w:val="31DD6EB8"/>
    <w:rsid w:val="31DE2F46"/>
    <w:rsid w:val="31E05C3F"/>
    <w:rsid w:val="31E33AFB"/>
    <w:rsid w:val="31E42732"/>
    <w:rsid w:val="31E5172B"/>
    <w:rsid w:val="31E62FE5"/>
    <w:rsid w:val="31E63BA8"/>
    <w:rsid w:val="31E85B72"/>
    <w:rsid w:val="31E9751F"/>
    <w:rsid w:val="31EC5663"/>
    <w:rsid w:val="31ED6DE4"/>
    <w:rsid w:val="31EE13DB"/>
    <w:rsid w:val="31F04F1C"/>
    <w:rsid w:val="31F24546"/>
    <w:rsid w:val="31F254CA"/>
    <w:rsid w:val="31F33DF2"/>
    <w:rsid w:val="31F55F59"/>
    <w:rsid w:val="31F57EAD"/>
    <w:rsid w:val="31F6203D"/>
    <w:rsid w:val="31F70635"/>
    <w:rsid w:val="31F723E5"/>
    <w:rsid w:val="31F84CDE"/>
    <w:rsid w:val="31F91CFD"/>
    <w:rsid w:val="31FA556E"/>
    <w:rsid w:val="31FB3707"/>
    <w:rsid w:val="31FB410C"/>
    <w:rsid w:val="31FC5365"/>
    <w:rsid w:val="31FE1A12"/>
    <w:rsid w:val="31FE6CBD"/>
    <w:rsid w:val="32004673"/>
    <w:rsid w:val="320104FF"/>
    <w:rsid w:val="32040B2A"/>
    <w:rsid w:val="32041B05"/>
    <w:rsid w:val="320475C1"/>
    <w:rsid w:val="32061D76"/>
    <w:rsid w:val="32067E15"/>
    <w:rsid w:val="3207249C"/>
    <w:rsid w:val="32081D71"/>
    <w:rsid w:val="3209068A"/>
    <w:rsid w:val="320923DF"/>
    <w:rsid w:val="320B58ED"/>
    <w:rsid w:val="320B7605"/>
    <w:rsid w:val="320D4FA9"/>
    <w:rsid w:val="320D63F0"/>
    <w:rsid w:val="320D6FA6"/>
    <w:rsid w:val="320E1ED6"/>
    <w:rsid w:val="320E3234"/>
    <w:rsid w:val="320F75A3"/>
    <w:rsid w:val="321021E6"/>
    <w:rsid w:val="321172DC"/>
    <w:rsid w:val="321253A2"/>
    <w:rsid w:val="32126FFE"/>
    <w:rsid w:val="32130E41"/>
    <w:rsid w:val="32137178"/>
    <w:rsid w:val="32143204"/>
    <w:rsid w:val="32143E4C"/>
    <w:rsid w:val="32145713"/>
    <w:rsid w:val="3216448E"/>
    <w:rsid w:val="32165638"/>
    <w:rsid w:val="3216623C"/>
    <w:rsid w:val="32171FB4"/>
    <w:rsid w:val="321A3082"/>
    <w:rsid w:val="321B2C8F"/>
    <w:rsid w:val="321C0E3D"/>
    <w:rsid w:val="321D4EE0"/>
    <w:rsid w:val="321D581C"/>
    <w:rsid w:val="321D7001"/>
    <w:rsid w:val="321E1594"/>
    <w:rsid w:val="321E350E"/>
    <w:rsid w:val="321F17FA"/>
    <w:rsid w:val="321F1C6B"/>
    <w:rsid w:val="32204EBC"/>
    <w:rsid w:val="3221173C"/>
    <w:rsid w:val="32211BAB"/>
    <w:rsid w:val="32213D0C"/>
    <w:rsid w:val="32226F92"/>
    <w:rsid w:val="322272D6"/>
    <w:rsid w:val="322342D7"/>
    <w:rsid w:val="322403FA"/>
    <w:rsid w:val="32255731"/>
    <w:rsid w:val="3227494D"/>
    <w:rsid w:val="3227669B"/>
    <w:rsid w:val="32285F6F"/>
    <w:rsid w:val="3229080B"/>
    <w:rsid w:val="322A56AE"/>
    <w:rsid w:val="322B07E3"/>
    <w:rsid w:val="322B3722"/>
    <w:rsid w:val="322C0750"/>
    <w:rsid w:val="322E543B"/>
    <w:rsid w:val="322F1DCF"/>
    <w:rsid w:val="322F2F33"/>
    <w:rsid w:val="322F554F"/>
    <w:rsid w:val="323100F1"/>
    <w:rsid w:val="32321C37"/>
    <w:rsid w:val="32324B64"/>
    <w:rsid w:val="32340DB8"/>
    <w:rsid w:val="323443A6"/>
    <w:rsid w:val="3234700A"/>
    <w:rsid w:val="32351DB0"/>
    <w:rsid w:val="32363DC9"/>
    <w:rsid w:val="323701D4"/>
    <w:rsid w:val="32384404"/>
    <w:rsid w:val="323867C0"/>
    <w:rsid w:val="323A6810"/>
    <w:rsid w:val="323B2880"/>
    <w:rsid w:val="323B41B5"/>
    <w:rsid w:val="323C1FC8"/>
    <w:rsid w:val="323C401E"/>
    <w:rsid w:val="323C7DCD"/>
    <w:rsid w:val="323D2EA7"/>
    <w:rsid w:val="323E2C96"/>
    <w:rsid w:val="323E53DB"/>
    <w:rsid w:val="323E6274"/>
    <w:rsid w:val="323F1C36"/>
    <w:rsid w:val="323F5500"/>
    <w:rsid w:val="32403E9F"/>
    <w:rsid w:val="32420E72"/>
    <w:rsid w:val="3242568C"/>
    <w:rsid w:val="32440FD5"/>
    <w:rsid w:val="324419E7"/>
    <w:rsid w:val="32454D73"/>
    <w:rsid w:val="3246702B"/>
    <w:rsid w:val="32476A1F"/>
    <w:rsid w:val="324A339B"/>
    <w:rsid w:val="324A7048"/>
    <w:rsid w:val="324C4580"/>
    <w:rsid w:val="324C6101"/>
    <w:rsid w:val="324C7B28"/>
    <w:rsid w:val="324F174E"/>
    <w:rsid w:val="324F1DCD"/>
    <w:rsid w:val="32517538"/>
    <w:rsid w:val="32545BB2"/>
    <w:rsid w:val="32560A85"/>
    <w:rsid w:val="32564E9B"/>
    <w:rsid w:val="325701DC"/>
    <w:rsid w:val="32577DB0"/>
    <w:rsid w:val="3258576C"/>
    <w:rsid w:val="32586F52"/>
    <w:rsid w:val="325925CC"/>
    <w:rsid w:val="32592833"/>
    <w:rsid w:val="325A7520"/>
    <w:rsid w:val="325B2B58"/>
    <w:rsid w:val="325C176E"/>
    <w:rsid w:val="325C5444"/>
    <w:rsid w:val="325D43BB"/>
    <w:rsid w:val="325D6858"/>
    <w:rsid w:val="325F5934"/>
    <w:rsid w:val="325F7B06"/>
    <w:rsid w:val="32607AFF"/>
    <w:rsid w:val="326121D2"/>
    <w:rsid w:val="32627778"/>
    <w:rsid w:val="3263191D"/>
    <w:rsid w:val="32643A85"/>
    <w:rsid w:val="32672C07"/>
    <w:rsid w:val="32687035"/>
    <w:rsid w:val="32690A61"/>
    <w:rsid w:val="32696CB3"/>
    <w:rsid w:val="326A5F0A"/>
    <w:rsid w:val="326B4D23"/>
    <w:rsid w:val="326B676C"/>
    <w:rsid w:val="326B739A"/>
    <w:rsid w:val="326C2300"/>
    <w:rsid w:val="326D2E9C"/>
    <w:rsid w:val="326D7632"/>
    <w:rsid w:val="326E7E26"/>
    <w:rsid w:val="326F1DF0"/>
    <w:rsid w:val="326F30D5"/>
    <w:rsid w:val="32717DD6"/>
    <w:rsid w:val="327255E2"/>
    <w:rsid w:val="32727408"/>
    <w:rsid w:val="327304D2"/>
    <w:rsid w:val="32747406"/>
    <w:rsid w:val="3276114B"/>
    <w:rsid w:val="32765441"/>
    <w:rsid w:val="32780CA4"/>
    <w:rsid w:val="327922EF"/>
    <w:rsid w:val="327B7492"/>
    <w:rsid w:val="327C1F2C"/>
    <w:rsid w:val="327C34BC"/>
    <w:rsid w:val="327C5DDD"/>
    <w:rsid w:val="327E4376"/>
    <w:rsid w:val="3281224F"/>
    <w:rsid w:val="32816997"/>
    <w:rsid w:val="32822C59"/>
    <w:rsid w:val="32825621"/>
    <w:rsid w:val="3282613D"/>
    <w:rsid w:val="328371BC"/>
    <w:rsid w:val="32855F5D"/>
    <w:rsid w:val="32862828"/>
    <w:rsid w:val="32863C7A"/>
    <w:rsid w:val="32870EE7"/>
    <w:rsid w:val="328724D0"/>
    <w:rsid w:val="32890FFB"/>
    <w:rsid w:val="32892EB1"/>
    <w:rsid w:val="3289460C"/>
    <w:rsid w:val="32897677"/>
    <w:rsid w:val="328A273D"/>
    <w:rsid w:val="328B3ABB"/>
    <w:rsid w:val="328D3E75"/>
    <w:rsid w:val="328E04C8"/>
    <w:rsid w:val="328E366A"/>
    <w:rsid w:val="328F173A"/>
    <w:rsid w:val="32905FB2"/>
    <w:rsid w:val="329335A3"/>
    <w:rsid w:val="32936192"/>
    <w:rsid w:val="32946F75"/>
    <w:rsid w:val="329531A6"/>
    <w:rsid w:val="3295408B"/>
    <w:rsid w:val="329655CE"/>
    <w:rsid w:val="32965CFD"/>
    <w:rsid w:val="329948CB"/>
    <w:rsid w:val="329B1C92"/>
    <w:rsid w:val="329B4B1E"/>
    <w:rsid w:val="329B591D"/>
    <w:rsid w:val="329C6D90"/>
    <w:rsid w:val="329D1C9A"/>
    <w:rsid w:val="329D378B"/>
    <w:rsid w:val="329D38CA"/>
    <w:rsid w:val="329E4C2A"/>
    <w:rsid w:val="329F18B1"/>
    <w:rsid w:val="329F3142"/>
    <w:rsid w:val="329F744A"/>
    <w:rsid w:val="32A0644D"/>
    <w:rsid w:val="32A16441"/>
    <w:rsid w:val="32A201DE"/>
    <w:rsid w:val="32A27980"/>
    <w:rsid w:val="32A34447"/>
    <w:rsid w:val="32A37E25"/>
    <w:rsid w:val="32A42869"/>
    <w:rsid w:val="32A45C76"/>
    <w:rsid w:val="32A45F3D"/>
    <w:rsid w:val="32A46599"/>
    <w:rsid w:val="32A503AF"/>
    <w:rsid w:val="32A55811"/>
    <w:rsid w:val="32A63E14"/>
    <w:rsid w:val="32A82BA2"/>
    <w:rsid w:val="32A93554"/>
    <w:rsid w:val="32A945C3"/>
    <w:rsid w:val="32AA29E2"/>
    <w:rsid w:val="32AA6E30"/>
    <w:rsid w:val="32AC2D2D"/>
    <w:rsid w:val="32AC6BA0"/>
    <w:rsid w:val="32AF0EA5"/>
    <w:rsid w:val="32AF17E8"/>
    <w:rsid w:val="32AF664E"/>
    <w:rsid w:val="32AF69FD"/>
    <w:rsid w:val="32B06303"/>
    <w:rsid w:val="32B118D1"/>
    <w:rsid w:val="32B15058"/>
    <w:rsid w:val="32B20CD9"/>
    <w:rsid w:val="32B25F8F"/>
    <w:rsid w:val="32B271D3"/>
    <w:rsid w:val="32B36789"/>
    <w:rsid w:val="32B4307D"/>
    <w:rsid w:val="32B63E95"/>
    <w:rsid w:val="32B87B1F"/>
    <w:rsid w:val="32B94DA6"/>
    <w:rsid w:val="32B968CE"/>
    <w:rsid w:val="32BB6DE3"/>
    <w:rsid w:val="32BC17F5"/>
    <w:rsid w:val="32C17CFF"/>
    <w:rsid w:val="32C20171"/>
    <w:rsid w:val="32C263C3"/>
    <w:rsid w:val="32C43244"/>
    <w:rsid w:val="32C455D6"/>
    <w:rsid w:val="32C575FD"/>
    <w:rsid w:val="32C739DA"/>
    <w:rsid w:val="32C75781"/>
    <w:rsid w:val="32C85386"/>
    <w:rsid w:val="32C8721F"/>
    <w:rsid w:val="32CA2987"/>
    <w:rsid w:val="32CA3CCA"/>
    <w:rsid w:val="32CA457B"/>
    <w:rsid w:val="32CD074C"/>
    <w:rsid w:val="32CD1F6C"/>
    <w:rsid w:val="32CD6714"/>
    <w:rsid w:val="32CE5FFF"/>
    <w:rsid w:val="32CF2A6C"/>
    <w:rsid w:val="32D0288E"/>
    <w:rsid w:val="32D11119"/>
    <w:rsid w:val="32D11349"/>
    <w:rsid w:val="32D26B31"/>
    <w:rsid w:val="32D3784D"/>
    <w:rsid w:val="32D57A9A"/>
    <w:rsid w:val="32D71F5C"/>
    <w:rsid w:val="32D90F76"/>
    <w:rsid w:val="32DA0069"/>
    <w:rsid w:val="32DB1233"/>
    <w:rsid w:val="32DC6068"/>
    <w:rsid w:val="32DD166E"/>
    <w:rsid w:val="32DF0D62"/>
    <w:rsid w:val="32DF0E61"/>
    <w:rsid w:val="32DF2238"/>
    <w:rsid w:val="32DF2FE1"/>
    <w:rsid w:val="32DF7ECE"/>
    <w:rsid w:val="32E0346C"/>
    <w:rsid w:val="32E12CEE"/>
    <w:rsid w:val="32E55C02"/>
    <w:rsid w:val="32E60F64"/>
    <w:rsid w:val="32E66DE5"/>
    <w:rsid w:val="32E772B2"/>
    <w:rsid w:val="32E82F4C"/>
    <w:rsid w:val="32EA40BD"/>
    <w:rsid w:val="32EB2E32"/>
    <w:rsid w:val="32EB3B6C"/>
    <w:rsid w:val="32EC24A6"/>
    <w:rsid w:val="32EC51EE"/>
    <w:rsid w:val="32ED6548"/>
    <w:rsid w:val="32ED664A"/>
    <w:rsid w:val="32EF5231"/>
    <w:rsid w:val="32F270E7"/>
    <w:rsid w:val="32F32A21"/>
    <w:rsid w:val="32F53FF6"/>
    <w:rsid w:val="32F54FEA"/>
    <w:rsid w:val="32F6361E"/>
    <w:rsid w:val="32F63A48"/>
    <w:rsid w:val="32F737A6"/>
    <w:rsid w:val="32F936E5"/>
    <w:rsid w:val="32F945AF"/>
    <w:rsid w:val="32F95F6D"/>
    <w:rsid w:val="32FA4D55"/>
    <w:rsid w:val="32FC57A4"/>
    <w:rsid w:val="32FD7E57"/>
    <w:rsid w:val="32FE0B78"/>
    <w:rsid w:val="3300183B"/>
    <w:rsid w:val="33007915"/>
    <w:rsid w:val="33037424"/>
    <w:rsid w:val="33042E0B"/>
    <w:rsid w:val="33044C2E"/>
    <w:rsid w:val="3307704E"/>
    <w:rsid w:val="33085C30"/>
    <w:rsid w:val="330959E0"/>
    <w:rsid w:val="33095DA0"/>
    <w:rsid w:val="33097B45"/>
    <w:rsid w:val="330B12A9"/>
    <w:rsid w:val="330B6594"/>
    <w:rsid w:val="330C5003"/>
    <w:rsid w:val="330D3E61"/>
    <w:rsid w:val="330E0AAD"/>
    <w:rsid w:val="33106F79"/>
    <w:rsid w:val="33112AA1"/>
    <w:rsid w:val="33123CC4"/>
    <w:rsid w:val="33127A3B"/>
    <w:rsid w:val="33130ECB"/>
    <w:rsid w:val="331402CF"/>
    <w:rsid w:val="33152997"/>
    <w:rsid w:val="33154656"/>
    <w:rsid w:val="3317029B"/>
    <w:rsid w:val="33171ACC"/>
    <w:rsid w:val="331756AB"/>
    <w:rsid w:val="331865C6"/>
    <w:rsid w:val="331A75FE"/>
    <w:rsid w:val="331C3266"/>
    <w:rsid w:val="331C5729"/>
    <w:rsid w:val="331D35FA"/>
    <w:rsid w:val="331F6CAB"/>
    <w:rsid w:val="331F7372"/>
    <w:rsid w:val="3320039F"/>
    <w:rsid w:val="33223224"/>
    <w:rsid w:val="33227143"/>
    <w:rsid w:val="332350B4"/>
    <w:rsid w:val="33241EBA"/>
    <w:rsid w:val="33260CBB"/>
    <w:rsid w:val="33263589"/>
    <w:rsid w:val="33264BA4"/>
    <w:rsid w:val="33266E6A"/>
    <w:rsid w:val="33271199"/>
    <w:rsid w:val="3327547F"/>
    <w:rsid w:val="332812F8"/>
    <w:rsid w:val="3328158A"/>
    <w:rsid w:val="332A5738"/>
    <w:rsid w:val="332D3A29"/>
    <w:rsid w:val="332E54B8"/>
    <w:rsid w:val="33305A23"/>
    <w:rsid w:val="33333591"/>
    <w:rsid w:val="3333520C"/>
    <w:rsid w:val="333429AC"/>
    <w:rsid w:val="33346D74"/>
    <w:rsid w:val="33352DD5"/>
    <w:rsid w:val="33354DE7"/>
    <w:rsid w:val="33355F1C"/>
    <w:rsid w:val="33374483"/>
    <w:rsid w:val="33390820"/>
    <w:rsid w:val="333923F5"/>
    <w:rsid w:val="333948D8"/>
    <w:rsid w:val="333A4DAE"/>
    <w:rsid w:val="333A57B7"/>
    <w:rsid w:val="333B17F8"/>
    <w:rsid w:val="333D65D8"/>
    <w:rsid w:val="333E1EEE"/>
    <w:rsid w:val="333E7CE3"/>
    <w:rsid w:val="333F17C2"/>
    <w:rsid w:val="333F68C6"/>
    <w:rsid w:val="33400B8A"/>
    <w:rsid w:val="33416B2C"/>
    <w:rsid w:val="33435756"/>
    <w:rsid w:val="3344143A"/>
    <w:rsid w:val="33441D47"/>
    <w:rsid w:val="33456E75"/>
    <w:rsid w:val="334A5789"/>
    <w:rsid w:val="334D0383"/>
    <w:rsid w:val="334D3640"/>
    <w:rsid w:val="334E5EA9"/>
    <w:rsid w:val="334E78CA"/>
    <w:rsid w:val="334E7C57"/>
    <w:rsid w:val="334F6FBE"/>
    <w:rsid w:val="335007F7"/>
    <w:rsid w:val="3350187E"/>
    <w:rsid w:val="33501AD6"/>
    <w:rsid w:val="33505AC8"/>
    <w:rsid w:val="33514428"/>
    <w:rsid w:val="33517CDC"/>
    <w:rsid w:val="33526965"/>
    <w:rsid w:val="33527635"/>
    <w:rsid w:val="335350EB"/>
    <w:rsid w:val="33537A30"/>
    <w:rsid w:val="3355678E"/>
    <w:rsid w:val="33567724"/>
    <w:rsid w:val="33570495"/>
    <w:rsid w:val="33571338"/>
    <w:rsid w:val="33574D5E"/>
    <w:rsid w:val="33576EE1"/>
    <w:rsid w:val="33594AA6"/>
    <w:rsid w:val="335A2B3F"/>
    <w:rsid w:val="335A4B4A"/>
    <w:rsid w:val="335B2455"/>
    <w:rsid w:val="335C445E"/>
    <w:rsid w:val="335C7AD8"/>
    <w:rsid w:val="335E3037"/>
    <w:rsid w:val="335F1E64"/>
    <w:rsid w:val="335F3C12"/>
    <w:rsid w:val="335F5A1F"/>
    <w:rsid w:val="3363070A"/>
    <w:rsid w:val="336456CD"/>
    <w:rsid w:val="33651873"/>
    <w:rsid w:val="33661EE5"/>
    <w:rsid w:val="33677B8F"/>
    <w:rsid w:val="3369250F"/>
    <w:rsid w:val="3369683F"/>
    <w:rsid w:val="336B44CD"/>
    <w:rsid w:val="336D1AD6"/>
    <w:rsid w:val="336D2891"/>
    <w:rsid w:val="336E03B1"/>
    <w:rsid w:val="337157E9"/>
    <w:rsid w:val="337201A6"/>
    <w:rsid w:val="337376BE"/>
    <w:rsid w:val="33743741"/>
    <w:rsid w:val="33756D31"/>
    <w:rsid w:val="33774580"/>
    <w:rsid w:val="33780C10"/>
    <w:rsid w:val="337A7F21"/>
    <w:rsid w:val="337B6B4A"/>
    <w:rsid w:val="337D37B5"/>
    <w:rsid w:val="337E3FFB"/>
    <w:rsid w:val="337E678E"/>
    <w:rsid w:val="337E68E1"/>
    <w:rsid w:val="337F1429"/>
    <w:rsid w:val="337F42B4"/>
    <w:rsid w:val="337F7039"/>
    <w:rsid w:val="33805B82"/>
    <w:rsid w:val="338137CC"/>
    <w:rsid w:val="33820E0C"/>
    <w:rsid w:val="338418CB"/>
    <w:rsid w:val="33864871"/>
    <w:rsid w:val="338667A6"/>
    <w:rsid w:val="338674D1"/>
    <w:rsid w:val="33867AAC"/>
    <w:rsid w:val="33890133"/>
    <w:rsid w:val="338962F0"/>
    <w:rsid w:val="338974F9"/>
    <w:rsid w:val="338B0EA8"/>
    <w:rsid w:val="338B2C59"/>
    <w:rsid w:val="338C38B5"/>
    <w:rsid w:val="338C505F"/>
    <w:rsid w:val="338C7FA3"/>
    <w:rsid w:val="338D16A4"/>
    <w:rsid w:val="338F52EF"/>
    <w:rsid w:val="338F5D2E"/>
    <w:rsid w:val="33916300"/>
    <w:rsid w:val="339240AF"/>
    <w:rsid w:val="3393438A"/>
    <w:rsid w:val="339367AA"/>
    <w:rsid w:val="33945FB2"/>
    <w:rsid w:val="339525B9"/>
    <w:rsid w:val="33962A97"/>
    <w:rsid w:val="3398021F"/>
    <w:rsid w:val="339823D1"/>
    <w:rsid w:val="33993ABF"/>
    <w:rsid w:val="33997124"/>
    <w:rsid w:val="339B117F"/>
    <w:rsid w:val="339C3E7C"/>
    <w:rsid w:val="339C4E66"/>
    <w:rsid w:val="33A02356"/>
    <w:rsid w:val="33A03224"/>
    <w:rsid w:val="33A104FD"/>
    <w:rsid w:val="33A15FD9"/>
    <w:rsid w:val="33A174BD"/>
    <w:rsid w:val="33A66585"/>
    <w:rsid w:val="33A67A93"/>
    <w:rsid w:val="33A727DC"/>
    <w:rsid w:val="33A8172E"/>
    <w:rsid w:val="33A8556B"/>
    <w:rsid w:val="33AA3850"/>
    <w:rsid w:val="33AB38CA"/>
    <w:rsid w:val="33AB3F7D"/>
    <w:rsid w:val="33AB7C3A"/>
    <w:rsid w:val="33AC39F7"/>
    <w:rsid w:val="33AC76FC"/>
    <w:rsid w:val="33AF3351"/>
    <w:rsid w:val="33B148B3"/>
    <w:rsid w:val="33B2369B"/>
    <w:rsid w:val="33B3775E"/>
    <w:rsid w:val="33B430E8"/>
    <w:rsid w:val="33B57215"/>
    <w:rsid w:val="33B61DCC"/>
    <w:rsid w:val="33B63F26"/>
    <w:rsid w:val="33B6701C"/>
    <w:rsid w:val="33B73A65"/>
    <w:rsid w:val="33B82047"/>
    <w:rsid w:val="33B82BEC"/>
    <w:rsid w:val="33B97A34"/>
    <w:rsid w:val="33BB508D"/>
    <w:rsid w:val="33BB76E2"/>
    <w:rsid w:val="33BC12BC"/>
    <w:rsid w:val="33BC5B9D"/>
    <w:rsid w:val="33BD7935"/>
    <w:rsid w:val="33C00B3B"/>
    <w:rsid w:val="33C03286"/>
    <w:rsid w:val="33C230D2"/>
    <w:rsid w:val="33C257A4"/>
    <w:rsid w:val="33C34D91"/>
    <w:rsid w:val="33C50846"/>
    <w:rsid w:val="33C5238D"/>
    <w:rsid w:val="33C543BD"/>
    <w:rsid w:val="33C57F19"/>
    <w:rsid w:val="33C66555"/>
    <w:rsid w:val="33C70B4D"/>
    <w:rsid w:val="33C8425E"/>
    <w:rsid w:val="33C9028D"/>
    <w:rsid w:val="33CA081D"/>
    <w:rsid w:val="33CA3782"/>
    <w:rsid w:val="33CB4EA8"/>
    <w:rsid w:val="33CB7DEA"/>
    <w:rsid w:val="33CC13C4"/>
    <w:rsid w:val="33CC6DAA"/>
    <w:rsid w:val="33CD3982"/>
    <w:rsid w:val="33CF2B46"/>
    <w:rsid w:val="33CF6FEA"/>
    <w:rsid w:val="33D0674A"/>
    <w:rsid w:val="33D13D5B"/>
    <w:rsid w:val="33D240D6"/>
    <w:rsid w:val="33D36C24"/>
    <w:rsid w:val="33D60623"/>
    <w:rsid w:val="33D62126"/>
    <w:rsid w:val="33D67385"/>
    <w:rsid w:val="33D72ED5"/>
    <w:rsid w:val="33D74D57"/>
    <w:rsid w:val="33D75E9F"/>
    <w:rsid w:val="33D91052"/>
    <w:rsid w:val="33D97E69"/>
    <w:rsid w:val="33DA2B9D"/>
    <w:rsid w:val="33DA3717"/>
    <w:rsid w:val="33DB28F1"/>
    <w:rsid w:val="33DB6DE1"/>
    <w:rsid w:val="33DB773D"/>
    <w:rsid w:val="33DC0A4B"/>
    <w:rsid w:val="33DC7718"/>
    <w:rsid w:val="33DF5888"/>
    <w:rsid w:val="33E006B7"/>
    <w:rsid w:val="33E041AD"/>
    <w:rsid w:val="33E12879"/>
    <w:rsid w:val="33E20DDF"/>
    <w:rsid w:val="33E31994"/>
    <w:rsid w:val="33E47794"/>
    <w:rsid w:val="33E57DDE"/>
    <w:rsid w:val="33E67E90"/>
    <w:rsid w:val="33EA3E0F"/>
    <w:rsid w:val="33EC1188"/>
    <w:rsid w:val="33F0120E"/>
    <w:rsid w:val="33F112C3"/>
    <w:rsid w:val="33F115E2"/>
    <w:rsid w:val="33F121FB"/>
    <w:rsid w:val="33F15653"/>
    <w:rsid w:val="33F22CD8"/>
    <w:rsid w:val="33F341D0"/>
    <w:rsid w:val="33F35F58"/>
    <w:rsid w:val="33FB160C"/>
    <w:rsid w:val="33FB1B8D"/>
    <w:rsid w:val="33FB68E1"/>
    <w:rsid w:val="33FD59BA"/>
    <w:rsid w:val="33FF3656"/>
    <w:rsid w:val="33FF738F"/>
    <w:rsid w:val="34010A18"/>
    <w:rsid w:val="34010ECD"/>
    <w:rsid w:val="34015D57"/>
    <w:rsid w:val="34017AAA"/>
    <w:rsid w:val="340261B1"/>
    <w:rsid w:val="3403482B"/>
    <w:rsid w:val="34040BC2"/>
    <w:rsid w:val="34043597"/>
    <w:rsid w:val="34050B66"/>
    <w:rsid w:val="3405748A"/>
    <w:rsid w:val="34086FDF"/>
    <w:rsid w:val="340949BC"/>
    <w:rsid w:val="340A50B0"/>
    <w:rsid w:val="340B78F6"/>
    <w:rsid w:val="340C5DD9"/>
    <w:rsid w:val="340D26DB"/>
    <w:rsid w:val="341047F2"/>
    <w:rsid w:val="34111089"/>
    <w:rsid w:val="34117602"/>
    <w:rsid w:val="34121F1A"/>
    <w:rsid w:val="341405BF"/>
    <w:rsid w:val="34145E6A"/>
    <w:rsid w:val="34151C9E"/>
    <w:rsid w:val="341576D3"/>
    <w:rsid w:val="3417284B"/>
    <w:rsid w:val="3418370E"/>
    <w:rsid w:val="34192975"/>
    <w:rsid w:val="341A3EBD"/>
    <w:rsid w:val="341B1192"/>
    <w:rsid w:val="341B328F"/>
    <w:rsid w:val="341B5D8B"/>
    <w:rsid w:val="3420011D"/>
    <w:rsid w:val="3421711A"/>
    <w:rsid w:val="342310E4"/>
    <w:rsid w:val="34232E92"/>
    <w:rsid w:val="3423600E"/>
    <w:rsid w:val="34256269"/>
    <w:rsid w:val="342804A8"/>
    <w:rsid w:val="34283517"/>
    <w:rsid w:val="34293C06"/>
    <w:rsid w:val="342C1C86"/>
    <w:rsid w:val="342C58A4"/>
    <w:rsid w:val="342D0C70"/>
    <w:rsid w:val="342D2E59"/>
    <w:rsid w:val="342E0A9A"/>
    <w:rsid w:val="342E1AA6"/>
    <w:rsid w:val="3430683D"/>
    <w:rsid w:val="34313DB5"/>
    <w:rsid w:val="343155AF"/>
    <w:rsid w:val="34317529"/>
    <w:rsid w:val="343318A7"/>
    <w:rsid w:val="34335D23"/>
    <w:rsid w:val="34337579"/>
    <w:rsid w:val="34341663"/>
    <w:rsid w:val="343435B3"/>
    <w:rsid w:val="34343BAA"/>
    <w:rsid w:val="3434509F"/>
    <w:rsid w:val="3435030B"/>
    <w:rsid w:val="3435729C"/>
    <w:rsid w:val="343601F0"/>
    <w:rsid w:val="34366C11"/>
    <w:rsid w:val="343704CB"/>
    <w:rsid w:val="34371832"/>
    <w:rsid w:val="34382116"/>
    <w:rsid w:val="34387FCB"/>
    <w:rsid w:val="343A02DA"/>
    <w:rsid w:val="343A4C25"/>
    <w:rsid w:val="343A7D68"/>
    <w:rsid w:val="343B2AE1"/>
    <w:rsid w:val="343B467F"/>
    <w:rsid w:val="343B743F"/>
    <w:rsid w:val="343D1D9B"/>
    <w:rsid w:val="343D21A6"/>
    <w:rsid w:val="343E007F"/>
    <w:rsid w:val="343E6EB9"/>
    <w:rsid w:val="344212FB"/>
    <w:rsid w:val="34432A92"/>
    <w:rsid w:val="34436C5B"/>
    <w:rsid w:val="34442F4F"/>
    <w:rsid w:val="34445480"/>
    <w:rsid w:val="34472257"/>
    <w:rsid w:val="34472436"/>
    <w:rsid w:val="34476311"/>
    <w:rsid w:val="3447774A"/>
    <w:rsid w:val="34482EEA"/>
    <w:rsid w:val="344A6A9D"/>
    <w:rsid w:val="344B7FFF"/>
    <w:rsid w:val="344C063B"/>
    <w:rsid w:val="344C5BD9"/>
    <w:rsid w:val="344E276A"/>
    <w:rsid w:val="344E43B3"/>
    <w:rsid w:val="344F2576"/>
    <w:rsid w:val="344F47AF"/>
    <w:rsid w:val="34501D28"/>
    <w:rsid w:val="3450395A"/>
    <w:rsid w:val="34513142"/>
    <w:rsid w:val="34516CB6"/>
    <w:rsid w:val="34520411"/>
    <w:rsid w:val="34541527"/>
    <w:rsid w:val="34543564"/>
    <w:rsid w:val="3457017F"/>
    <w:rsid w:val="3458222B"/>
    <w:rsid w:val="34584022"/>
    <w:rsid w:val="34597017"/>
    <w:rsid w:val="345A3301"/>
    <w:rsid w:val="345A7984"/>
    <w:rsid w:val="345C291E"/>
    <w:rsid w:val="345D0ECE"/>
    <w:rsid w:val="345D7A29"/>
    <w:rsid w:val="346076B1"/>
    <w:rsid w:val="3461450E"/>
    <w:rsid w:val="34632C77"/>
    <w:rsid w:val="346339D3"/>
    <w:rsid w:val="34650059"/>
    <w:rsid w:val="3466053C"/>
    <w:rsid w:val="34670E00"/>
    <w:rsid w:val="34684D49"/>
    <w:rsid w:val="346916E5"/>
    <w:rsid w:val="346A0AC1"/>
    <w:rsid w:val="346A42F6"/>
    <w:rsid w:val="346F13E2"/>
    <w:rsid w:val="346F4329"/>
    <w:rsid w:val="346F6E39"/>
    <w:rsid w:val="347026D7"/>
    <w:rsid w:val="34713E2B"/>
    <w:rsid w:val="34717A2E"/>
    <w:rsid w:val="34722773"/>
    <w:rsid w:val="34725000"/>
    <w:rsid w:val="34727975"/>
    <w:rsid w:val="34745E84"/>
    <w:rsid w:val="3476606D"/>
    <w:rsid w:val="34770BEC"/>
    <w:rsid w:val="34777F6D"/>
    <w:rsid w:val="347914E6"/>
    <w:rsid w:val="3479174F"/>
    <w:rsid w:val="3479697D"/>
    <w:rsid w:val="347A0E91"/>
    <w:rsid w:val="347B0F20"/>
    <w:rsid w:val="347B2A5F"/>
    <w:rsid w:val="347B398E"/>
    <w:rsid w:val="347B4C58"/>
    <w:rsid w:val="347C5115"/>
    <w:rsid w:val="347E313B"/>
    <w:rsid w:val="347E456C"/>
    <w:rsid w:val="347E50D5"/>
    <w:rsid w:val="347E663E"/>
    <w:rsid w:val="347F11B0"/>
    <w:rsid w:val="34806536"/>
    <w:rsid w:val="34822119"/>
    <w:rsid w:val="34841287"/>
    <w:rsid w:val="34851213"/>
    <w:rsid w:val="34870819"/>
    <w:rsid w:val="34871CC5"/>
    <w:rsid w:val="348757ED"/>
    <w:rsid w:val="348B09C5"/>
    <w:rsid w:val="348C0A37"/>
    <w:rsid w:val="348D7152"/>
    <w:rsid w:val="348E093D"/>
    <w:rsid w:val="348E1040"/>
    <w:rsid w:val="348E47AF"/>
    <w:rsid w:val="349024D3"/>
    <w:rsid w:val="349124F1"/>
    <w:rsid w:val="34922517"/>
    <w:rsid w:val="34932829"/>
    <w:rsid w:val="34933A4F"/>
    <w:rsid w:val="34935DD6"/>
    <w:rsid w:val="34943D90"/>
    <w:rsid w:val="349455C3"/>
    <w:rsid w:val="34965153"/>
    <w:rsid w:val="349873DC"/>
    <w:rsid w:val="34996591"/>
    <w:rsid w:val="349C2517"/>
    <w:rsid w:val="349D3E26"/>
    <w:rsid w:val="349D6F1D"/>
    <w:rsid w:val="349E076A"/>
    <w:rsid w:val="349E436A"/>
    <w:rsid w:val="349E745E"/>
    <w:rsid w:val="349F113D"/>
    <w:rsid w:val="34A05740"/>
    <w:rsid w:val="34A0626C"/>
    <w:rsid w:val="34A149B3"/>
    <w:rsid w:val="34A1735C"/>
    <w:rsid w:val="34A22009"/>
    <w:rsid w:val="34A37422"/>
    <w:rsid w:val="34A40CC4"/>
    <w:rsid w:val="34A43FD3"/>
    <w:rsid w:val="34A51AF9"/>
    <w:rsid w:val="34A52D75"/>
    <w:rsid w:val="34A60063"/>
    <w:rsid w:val="34A721CA"/>
    <w:rsid w:val="34A73A14"/>
    <w:rsid w:val="34A76AE8"/>
    <w:rsid w:val="34A858DD"/>
    <w:rsid w:val="34A85D76"/>
    <w:rsid w:val="34A85E2E"/>
    <w:rsid w:val="34AA06BF"/>
    <w:rsid w:val="34AB237F"/>
    <w:rsid w:val="34AB3464"/>
    <w:rsid w:val="34AB459F"/>
    <w:rsid w:val="34AC51A6"/>
    <w:rsid w:val="34AD6D6C"/>
    <w:rsid w:val="34AD78A4"/>
    <w:rsid w:val="34AE0EA0"/>
    <w:rsid w:val="34AE28E6"/>
    <w:rsid w:val="34AE54EF"/>
    <w:rsid w:val="34AF401B"/>
    <w:rsid w:val="34AF4236"/>
    <w:rsid w:val="34AF4725"/>
    <w:rsid w:val="34B157F7"/>
    <w:rsid w:val="34B166F0"/>
    <w:rsid w:val="34B306BA"/>
    <w:rsid w:val="34B46682"/>
    <w:rsid w:val="34B47F8E"/>
    <w:rsid w:val="34B51617"/>
    <w:rsid w:val="34B52527"/>
    <w:rsid w:val="34B601B7"/>
    <w:rsid w:val="34B6203A"/>
    <w:rsid w:val="34B952A1"/>
    <w:rsid w:val="34BA37F6"/>
    <w:rsid w:val="34BD6E42"/>
    <w:rsid w:val="34BE2568"/>
    <w:rsid w:val="34BE49CE"/>
    <w:rsid w:val="34BF55AF"/>
    <w:rsid w:val="34BF705E"/>
    <w:rsid w:val="34C04B85"/>
    <w:rsid w:val="34C10EE9"/>
    <w:rsid w:val="34C2222C"/>
    <w:rsid w:val="34C24CC3"/>
    <w:rsid w:val="34C300F8"/>
    <w:rsid w:val="34C3662B"/>
    <w:rsid w:val="34C46423"/>
    <w:rsid w:val="34C47322"/>
    <w:rsid w:val="34C57244"/>
    <w:rsid w:val="34C76150"/>
    <w:rsid w:val="34C775F9"/>
    <w:rsid w:val="34C77CC1"/>
    <w:rsid w:val="34C91C8B"/>
    <w:rsid w:val="34CA0803"/>
    <w:rsid w:val="34CB012C"/>
    <w:rsid w:val="34CC6CA9"/>
    <w:rsid w:val="34CD2C18"/>
    <w:rsid w:val="34CE34EA"/>
    <w:rsid w:val="34CE54F3"/>
    <w:rsid w:val="34CF5EB0"/>
    <w:rsid w:val="34D0301A"/>
    <w:rsid w:val="34D07722"/>
    <w:rsid w:val="34D07954"/>
    <w:rsid w:val="34D1155A"/>
    <w:rsid w:val="34D31570"/>
    <w:rsid w:val="34D55671"/>
    <w:rsid w:val="34D6485D"/>
    <w:rsid w:val="34D82053"/>
    <w:rsid w:val="34D83C7C"/>
    <w:rsid w:val="34DA19A7"/>
    <w:rsid w:val="34DA4106"/>
    <w:rsid w:val="34DB19BE"/>
    <w:rsid w:val="34DB1C6D"/>
    <w:rsid w:val="34DB376C"/>
    <w:rsid w:val="34DC09D9"/>
    <w:rsid w:val="34DC6A1B"/>
    <w:rsid w:val="34DD2E52"/>
    <w:rsid w:val="34DF325D"/>
    <w:rsid w:val="34DF5160"/>
    <w:rsid w:val="34E00D83"/>
    <w:rsid w:val="34E02D31"/>
    <w:rsid w:val="34E05800"/>
    <w:rsid w:val="34E1066E"/>
    <w:rsid w:val="34E142FD"/>
    <w:rsid w:val="34E2005A"/>
    <w:rsid w:val="34E30298"/>
    <w:rsid w:val="34E459DD"/>
    <w:rsid w:val="34E750D8"/>
    <w:rsid w:val="34E95E89"/>
    <w:rsid w:val="34EA0642"/>
    <w:rsid w:val="34EC39BB"/>
    <w:rsid w:val="34ED32A6"/>
    <w:rsid w:val="34F03044"/>
    <w:rsid w:val="34F135AE"/>
    <w:rsid w:val="34F20C90"/>
    <w:rsid w:val="34F36D08"/>
    <w:rsid w:val="34F547BB"/>
    <w:rsid w:val="34F56C2F"/>
    <w:rsid w:val="34F671ED"/>
    <w:rsid w:val="34F71568"/>
    <w:rsid w:val="34F71A81"/>
    <w:rsid w:val="34F979E7"/>
    <w:rsid w:val="34F97D92"/>
    <w:rsid w:val="34FA0BAE"/>
    <w:rsid w:val="34FA3BF3"/>
    <w:rsid w:val="34FA43E3"/>
    <w:rsid w:val="34FA53CD"/>
    <w:rsid w:val="34FA70A0"/>
    <w:rsid w:val="34FC1F63"/>
    <w:rsid w:val="34FE1E7F"/>
    <w:rsid w:val="34FF56AD"/>
    <w:rsid w:val="350066D7"/>
    <w:rsid w:val="3501109D"/>
    <w:rsid w:val="35042629"/>
    <w:rsid w:val="350471F1"/>
    <w:rsid w:val="3505165F"/>
    <w:rsid w:val="35055E28"/>
    <w:rsid w:val="35057907"/>
    <w:rsid w:val="3506258D"/>
    <w:rsid w:val="35071D38"/>
    <w:rsid w:val="350727B3"/>
    <w:rsid w:val="3508367E"/>
    <w:rsid w:val="350A7810"/>
    <w:rsid w:val="350C2E6E"/>
    <w:rsid w:val="350C626C"/>
    <w:rsid w:val="350D0ED8"/>
    <w:rsid w:val="350D5758"/>
    <w:rsid w:val="350E4053"/>
    <w:rsid w:val="350E58DE"/>
    <w:rsid w:val="35113525"/>
    <w:rsid w:val="35123632"/>
    <w:rsid w:val="3513391B"/>
    <w:rsid w:val="35136F24"/>
    <w:rsid w:val="35137050"/>
    <w:rsid w:val="351409BE"/>
    <w:rsid w:val="35141A9E"/>
    <w:rsid w:val="35170C48"/>
    <w:rsid w:val="35175577"/>
    <w:rsid w:val="35177F8F"/>
    <w:rsid w:val="351822C7"/>
    <w:rsid w:val="3518688A"/>
    <w:rsid w:val="351A0017"/>
    <w:rsid w:val="351A24E7"/>
    <w:rsid w:val="351A4295"/>
    <w:rsid w:val="351A4B0B"/>
    <w:rsid w:val="351B1DBB"/>
    <w:rsid w:val="351B46E8"/>
    <w:rsid w:val="351B7189"/>
    <w:rsid w:val="351C18C5"/>
    <w:rsid w:val="351C4C22"/>
    <w:rsid w:val="351D0320"/>
    <w:rsid w:val="351E1A43"/>
    <w:rsid w:val="351E70CD"/>
    <w:rsid w:val="351E7C6C"/>
    <w:rsid w:val="351F18AB"/>
    <w:rsid w:val="351F3657"/>
    <w:rsid w:val="351F7394"/>
    <w:rsid w:val="35201FE0"/>
    <w:rsid w:val="35224A99"/>
    <w:rsid w:val="352267FD"/>
    <w:rsid w:val="35252281"/>
    <w:rsid w:val="35271032"/>
    <w:rsid w:val="35291590"/>
    <w:rsid w:val="352C106B"/>
    <w:rsid w:val="352C7DC4"/>
    <w:rsid w:val="352E1AEE"/>
    <w:rsid w:val="352E389B"/>
    <w:rsid w:val="352E4369"/>
    <w:rsid w:val="352E55A5"/>
    <w:rsid w:val="352E7232"/>
    <w:rsid w:val="352E7CE7"/>
    <w:rsid w:val="352F6829"/>
    <w:rsid w:val="353006C9"/>
    <w:rsid w:val="35301D0A"/>
    <w:rsid w:val="35307CB9"/>
    <w:rsid w:val="35310A84"/>
    <w:rsid w:val="3532685B"/>
    <w:rsid w:val="35327452"/>
    <w:rsid w:val="3535380E"/>
    <w:rsid w:val="353816FC"/>
    <w:rsid w:val="35397B18"/>
    <w:rsid w:val="353A310D"/>
    <w:rsid w:val="353C799D"/>
    <w:rsid w:val="353D6197"/>
    <w:rsid w:val="353E2A70"/>
    <w:rsid w:val="35401DE5"/>
    <w:rsid w:val="3542118B"/>
    <w:rsid w:val="354237EC"/>
    <w:rsid w:val="35446E64"/>
    <w:rsid w:val="35447464"/>
    <w:rsid w:val="354548D0"/>
    <w:rsid w:val="3546508C"/>
    <w:rsid w:val="3548749A"/>
    <w:rsid w:val="35496928"/>
    <w:rsid w:val="354B524C"/>
    <w:rsid w:val="354B7043"/>
    <w:rsid w:val="354E7982"/>
    <w:rsid w:val="354F00B5"/>
    <w:rsid w:val="354F5E13"/>
    <w:rsid w:val="35505F08"/>
    <w:rsid w:val="35507CB7"/>
    <w:rsid w:val="35521215"/>
    <w:rsid w:val="355212B5"/>
    <w:rsid w:val="35525A98"/>
    <w:rsid w:val="35530D5A"/>
    <w:rsid w:val="355359F9"/>
    <w:rsid w:val="355377A7"/>
    <w:rsid w:val="355425EB"/>
    <w:rsid w:val="35556C54"/>
    <w:rsid w:val="355679F7"/>
    <w:rsid w:val="355A4030"/>
    <w:rsid w:val="355B78AA"/>
    <w:rsid w:val="355B7F36"/>
    <w:rsid w:val="355D14AF"/>
    <w:rsid w:val="355D18A7"/>
    <w:rsid w:val="355D1C4A"/>
    <w:rsid w:val="355D41B7"/>
    <w:rsid w:val="355E0625"/>
    <w:rsid w:val="355F1216"/>
    <w:rsid w:val="35614CF6"/>
    <w:rsid w:val="3566287D"/>
    <w:rsid w:val="35674CCB"/>
    <w:rsid w:val="356822A0"/>
    <w:rsid w:val="35683DE9"/>
    <w:rsid w:val="356910D3"/>
    <w:rsid w:val="356935C8"/>
    <w:rsid w:val="356A5BA0"/>
    <w:rsid w:val="356A62CC"/>
    <w:rsid w:val="356A6D5C"/>
    <w:rsid w:val="356D5162"/>
    <w:rsid w:val="356E146C"/>
    <w:rsid w:val="356F62F6"/>
    <w:rsid w:val="35703BE5"/>
    <w:rsid w:val="357052B1"/>
    <w:rsid w:val="35707597"/>
    <w:rsid w:val="35715799"/>
    <w:rsid w:val="35723701"/>
    <w:rsid w:val="3573167E"/>
    <w:rsid w:val="35735AB9"/>
    <w:rsid w:val="35742218"/>
    <w:rsid w:val="35776378"/>
    <w:rsid w:val="3577772D"/>
    <w:rsid w:val="35781E67"/>
    <w:rsid w:val="357851D3"/>
    <w:rsid w:val="35792149"/>
    <w:rsid w:val="3579479B"/>
    <w:rsid w:val="35794FDD"/>
    <w:rsid w:val="357A3236"/>
    <w:rsid w:val="357A3683"/>
    <w:rsid w:val="357B39A0"/>
    <w:rsid w:val="357D0C50"/>
    <w:rsid w:val="357D54F7"/>
    <w:rsid w:val="357E7178"/>
    <w:rsid w:val="357F059C"/>
    <w:rsid w:val="35803815"/>
    <w:rsid w:val="3581052C"/>
    <w:rsid w:val="35824CBB"/>
    <w:rsid w:val="35861357"/>
    <w:rsid w:val="358A065E"/>
    <w:rsid w:val="358B18CB"/>
    <w:rsid w:val="358B3002"/>
    <w:rsid w:val="358D7083"/>
    <w:rsid w:val="358E583E"/>
    <w:rsid w:val="35911153"/>
    <w:rsid w:val="35917F75"/>
    <w:rsid w:val="359202CF"/>
    <w:rsid w:val="35925B41"/>
    <w:rsid w:val="35930DF1"/>
    <w:rsid w:val="35931E1A"/>
    <w:rsid w:val="359406ED"/>
    <w:rsid w:val="3594164E"/>
    <w:rsid w:val="35941D23"/>
    <w:rsid w:val="35942486"/>
    <w:rsid w:val="35950512"/>
    <w:rsid w:val="359758E5"/>
    <w:rsid w:val="35986AE3"/>
    <w:rsid w:val="359B0108"/>
    <w:rsid w:val="359B675B"/>
    <w:rsid w:val="359C114E"/>
    <w:rsid w:val="359C7DFE"/>
    <w:rsid w:val="359D3243"/>
    <w:rsid w:val="359E4B45"/>
    <w:rsid w:val="359F040C"/>
    <w:rsid w:val="359F479A"/>
    <w:rsid w:val="35A2533B"/>
    <w:rsid w:val="35A27F45"/>
    <w:rsid w:val="35A30F47"/>
    <w:rsid w:val="35A3138F"/>
    <w:rsid w:val="35A561EB"/>
    <w:rsid w:val="35A666CE"/>
    <w:rsid w:val="35A66707"/>
    <w:rsid w:val="35A724A3"/>
    <w:rsid w:val="35A729BD"/>
    <w:rsid w:val="35A736FB"/>
    <w:rsid w:val="35A87AF3"/>
    <w:rsid w:val="35AA1027"/>
    <w:rsid w:val="35AD5B5E"/>
    <w:rsid w:val="35AD64CB"/>
    <w:rsid w:val="35AD7627"/>
    <w:rsid w:val="35B03903"/>
    <w:rsid w:val="35B07218"/>
    <w:rsid w:val="35B11A4A"/>
    <w:rsid w:val="35B13B6D"/>
    <w:rsid w:val="35B20EF4"/>
    <w:rsid w:val="35B2271F"/>
    <w:rsid w:val="35B24305"/>
    <w:rsid w:val="35B36039"/>
    <w:rsid w:val="35B46497"/>
    <w:rsid w:val="35B5079A"/>
    <w:rsid w:val="35B5088A"/>
    <w:rsid w:val="35B51E9E"/>
    <w:rsid w:val="35B63CBE"/>
    <w:rsid w:val="35B778E1"/>
    <w:rsid w:val="35B91115"/>
    <w:rsid w:val="35BB6AA8"/>
    <w:rsid w:val="35BD195A"/>
    <w:rsid w:val="35BE5422"/>
    <w:rsid w:val="35BF08CC"/>
    <w:rsid w:val="35C05806"/>
    <w:rsid w:val="35C10BB4"/>
    <w:rsid w:val="35C12962"/>
    <w:rsid w:val="35C22AF6"/>
    <w:rsid w:val="35C27393"/>
    <w:rsid w:val="35C30488"/>
    <w:rsid w:val="35C360C5"/>
    <w:rsid w:val="35C361BF"/>
    <w:rsid w:val="35C41EE5"/>
    <w:rsid w:val="35C44C2A"/>
    <w:rsid w:val="35C470FD"/>
    <w:rsid w:val="35C47281"/>
    <w:rsid w:val="35C92D04"/>
    <w:rsid w:val="35CA67FD"/>
    <w:rsid w:val="35CB187F"/>
    <w:rsid w:val="35CD0E47"/>
    <w:rsid w:val="35CD34E9"/>
    <w:rsid w:val="35CD6CB8"/>
    <w:rsid w:val="35CE04B5"/>
    <w:rsid w:val="35CF10FB"/>
    <w:rsid w:val="35D00DF7"/>
    <w:rsid w:val="35D11918"/>
    <w:rsid w:val="35D15B47"/>
    <w:rsid w:val="35D17C92"/>
    <w:rsid w:val="35D24B6F"/>
    <w:rsid w:val="35D62830"/>
    <w:rsid w:val="35D63FD1"/>
    <w:rsid w:val="35D703D8"/>
    <w:rsid w:val="35D74205"/>
    <w:rsid w:val="35D8463D"/>
    <w:rsid w:val="35DA3A24"/>
    <w:rsid w:val="35DA3E43"/>
    <w:rsid w:val="35DC154A"/>
    <w:rsid w:val="35DC1926"/>
    <w:rsid w:val="35DD4F9A"/>
    <w:rsid w:val="35DF0B77"/>
    <w:rsid w:val="35DF1B64"/>
    <w:rsid w:val="35DF511D"/>
    <w:rsid w:val="35E022B4"/>
    <w:rsid w:val="35E04D99"/>
    <w:rsid w:val="35E05CB4"/>
    <w:rsid w:val="35E210D6"/>
    <w:rsid w:val="35E328D9"/>
    <w:rsid w:val="35E36D7D"/>
    <w:rsid w:val="35E5212A"/>
    <w:rsid w:val="35E60653"/>
    <w:rsid w:val="35E67CDB"/>
    <w:rsid w:val="35E77E4F"/>
    <w:rsid w:val="35E81E0F"/>
    <w:rsid w:val="35E85FE8"/>
    <w:rsid w:val="35EA1EB9"/>
    <w:rsid w:val="35EB5CD8"/>
    <w:rsid w:val="35EB604C"/>
    <w:rsid w:val="35EC5998"/>
    <w:rsid w:val="35ED7BFB"/>
    <w:rsid w:val="35EE2F59"/>
    <w:rsid w:val="35EE7A10"/>
    <w:rsid w:val="35EF127D"/>
    <w:rsid w:val="35EF76A6"/>
    <w:rsid w:val="35F24588"/>
    <w:rsid w:val="35F441C7"/>
    <w:rsid w:val="35F46D41"/>
    <w:rsid w:val="35F478E5"/>
    <w:rsid w:val="35F745D6"/>
    <w:rsid w:val="35F86203"/>
    <w:rsid w:val="35F86456"/>
    <w:rsid w:val="35FB7349"/>
    <w:rsid w:val="35FD75B5"/>
    <w:rsid w:val="35FE5964"/>
    <w:rsid w:val="35FF348B"/>
    <w:rsid w:val="36003843"/>
    <w:rsid w:val="3600655A"/>
    <w:rsid w:val="36023300"/>
    <w:rsid w:val="36023379"/>
    <w:rsid w:val="360407D0"/>
    <w:rsid w:val="3605258A"/>
    <w:rsid w:val="360549B1"/>
    <w:rsid w:val="36056D0C"/>
    <w:rsid w:val="360626C9"/>
    <w:rsid w:val="36080591"/>
    <w:rsid w:val="360825FB"/>
    <w:rsid w:val="36085CF8"/>
    <w:rsid w:val="36086690"/>
    <w:rsid w:val="360867E3"/>
    <w:rsid w:val="36087150"/>
    <w:rsid w:val="360A2B8B"/>
    <w:rsid w:val="360B09C0"/>
    <w:rsid w:val="360B48E2"/>
    <w:rsid w:val="360B6197"/>
    <w:rsid w:val="360D5BA8"/>
    <w:rsid w:val="360E1327"/>
    <w:rsid w:val="360E3C43"/>
    <w:rsid w:val="360F778D"/>
    <w:rsid w:val="36101C06"/>
    <w:rsid w:val="36104FF7"/>
    <w:rsid w:val="361104EB"/>
    <w:rsid w:val="36111F56"/>
    <w:rsid w:val="36131B57"/>
    <w:rsid w:val="3613376A"/>
    <w:rsid w:val="36133CE5"/>
    <w:rsid w:val="36147113"/>
    <w:rsid w:val="36147E72"/>
    <w:rsid w:val="361502FC"/>
    <w:rsid w:val="36150A24"/>
    <w:rsid w:val="361532A6"/>
    <w:rsid w:val="36176D33"/>
    <w:rsid w:val="3618457B"/>
    <w:rsid w:val="361E1B63"/>
    <w:rsid w:val="361F517C"/>
    <w:rsid w:val="36200A61"/>
    <w:rsid w:val="36203B2D"/>
    <w:rsid w:val="36204F82"/>
    <w:rsid w:val="362058DB"/>
    <w:rsid w:val="36250560"/>
    <w:rsid w:val="362527B2"/>
    <w:rsid w:val="36264AC5"/>
    <w:rsid w:val="36270A9E"/>
    <w:rsid w:val="36271315"/>
    <w:rsid w:val="36274FEC"/>
    <w:rsid w:val="36276456"/>
    <w:rsid w:val="36281F27"/>
    <w:rsid w:val="36282D4D"/>
    <w:rsid w:val="362974AF"/>
    <w:rsid w:val="362A29CA"/>
    <w:rsid w:val="362A5965"/>
    <w:rsid w:val="362A6094"/>
    <w:rsid w:val="362B5026"/>
    <w:rsid w:val="362C64D7"/>
    <w:rsid w:val="362D4537"/>
    <w:rsid w:val="362F5B1E"/>
    <w:rsid w:val="362F6FEA"/>
    <w:rsid w:val="3630167F"/>
    <w:rsid w:val="3630370A"/>
    <w:rsid w:val="36323860"/>
    <w:rsid w:val="36334691"/>
    <w:rsid w:val="36342144"/>
    <w:rsid w:val="363645F4"/>
    <w:rsid w:val="363761CA"/>
    <w:rsid w:val="36376EAD"/>
    <w:rsid w:val="363862B7"/>
    <w:rsid w:val="36392E40"/>
    <w:rsid w:val="363A3866"/>
    <w:rsid w:val="363C4993"/>
    <w:rsid w:val="363C648D"/>
    <w:rsid w:val="363D0D07"/>
    <w:rsid w:val="363D1414"/>
    <w:rsid w:val="363D40BB"/>
    <w:rsid w:val="363D6799"/>
    <w:rsid w:val="3640409C"/>
    <w:rsid w:val="3641737F"/>
    <w:rsid w:val="36435E6F"/>
    <w:rsid w:val="36457293"/>
    <w:rsid w:val="364610BA"/>
    <w:rsid w:val="36472C31"/>
    <w:rsid w:val="3647376A"/>
    <w:rsid w:val="36477E3E"/>
    <w:rsid w:val="36494B95"/>
    <w:rsid w:val="364A6F3B"/>
    <w:rsid w:val="364B035D"/>
    <w:rsid w:val="364C0C4B"/>
    <w:rsid w:val="364C0E2D"/>
    <w:rsid w:val="364C5A72"/>
    <w:rsid w:val="364D1F1A"/>
    <w:rsid w:val="364E28A2"/>
    <w:rsid w:val="364F2AB0"/>
    <w:rsid w:val="364F647B"/>
    <w:rsid w:val="3650100C"/>
    <w:rsid w:val="365256CD"/>
    <w:rsid w:val="36536A47"/>
    <w:rsid w:val="36550E6A"/>
    <w:rsid w:val="36553C12"/>
    <w:rsid w:val="36557AB7"/>
    <w:rsid w:val="36557C1C"/>
    <w:rsid w:val="365923E8"/>
    <w:rsid w:val="36592B9B"/>
    <w:rsid w:val="365944A3"/>
    <w:rsid w:val="365B0C19"/>
    <w:rsid w:val="365B7EC0"/>
    <w:rsid w:val="365D5F63"/>
    <w:rsid w:val="365D71F0"/>
    <w:rsid w:val="3660217B"/>
    <w:rsid w:val="36611C66"/>
    <w:rsid w:val="36621C85"/>
    <w:rsid w:val="36631C6B"/>
    <w:rsid w:val="36690512"/>
    <w:rsid w:val="366924C4"/>
    <w:rsid w:val="36696690"/>
    <w:rsid w:val="366A3C87"/>
    <w:rsid w:val="366A4E04"/>
    <w:rsid w:val="366B0015"/>
    <w:rsid w:val="366B1DBC"/>
    <w:rsid w:val="366C1077"/>
    <w:rsid w:val="366C5657"/>
    <w:rsid w:val="366C59F2"/>
    <w:rsid w:val="366D1A51"/>
    <w:rsid w:val="366D1C16"/>
    <w:rsid w:val="366E2AEA"/>
    <w:rsid w:val="366E2ED3"/>
    <w:rsid w:val="366E6E57"/>
    <w:rsid w:val="366F0610"/>
    <w:rsid w:val="366F19D7"/>
    <w:rsid w:val="366F1F2A"/>
    <w:rsid w:val="366F4C2B"/>
    <w:rsid w:val="36700F3B"/>
    <w:rsid w:val="36704443"/>
    <w:rsid w:val="36704EAB"/>
    <w:rsid w:val="36707142"/>
    <w:rsid w:val="367077C6"/>
    <w:rsid w:val="36710FC4"/>
    <w:rsid w:val="36712734"/>
    <w:rsid w:val="367142FE"/>
    <w:rsid w:val="36714543"/>
    <w:rsid w:val="36723C5D"/>
    <w:rsid w:val="367250E2"/>
    <w:rsid w:val="36743E79"/>
    <w:rsid w:val="36750F75"/>
    <w:rsid w:val="36751F3D"/>
    <w:rsid w:val="367540AD"/>
    <w:rsid w:val="36767BF1"/>
    <w:rsid w:val="36783969"/>
    <w:rsid w:val="367873E8"/>
    <w:rsid w:val="36796162"/>
    <w:rsid w:val="367A6DA2"/>
    <w:rsid w:val="367B6FB5"/>
    <w:rsid w:val="367C3665"/>
    <w:rsid w:val="367E6AA5"/>
    <w:rsid w:val="367F7FED"/>
    <w:rsid w:val="36825ED6"/>
    <w:rsid w:val="3682747C"/>
    <w:rsid w:val="36857E34"/>
    <w:rsid w:val="36872EC2"/>
    <w:rsid w:val="3687595A"/>
    <w:rsid w:val="368A71F8"/>
    <w:rsid w:val="368C042F"/>
    <w:rsid w:val="368E7C0F"/>
    <w:rsid w:val="368F6420"/>
    <w:rsid w:val="368F7018"/>
    <w:rsid w:val="36922951"/>
    <w:rsid w:val="369242A1"/>
    <w:rsid w:val="369254F5"/>
    <w:rsid w:val="36954C07"/>
    <w:rsid w:val="369805DD"/>
    <w:rsid w:val="36986092"/>
    <w:rsid w:val="36997E62"/>
    <w:rsid w:val="369A554F"/>
    <w:rsid w:val="369D111E"/>
    <w:rsid w:val="369E09A5"/>
    <w:rsid w:val="369F5ED2"/>
    <w:rsid w:val="369F68A5"/>
    <w:rsid w:val="36A23F29"/>
    <w:rsid w:val="36A422C5"/>
    <w:rsid w:val="36A42CDE"/>
    <w:rsid w:val="36A45CAD"/>
    <w:rsid w:val="36A65F5F"/>
    <w:rsid w:val="36A75621"/>
    <w:rsid w:val="36A834FA"/>
    <w:rsid w:val="36A93DA5"/>
    <w:rsid w:val="36AA2A19"/>
    <w:rsid w:val="36AB4D47"/>
    <w:rsid w:val="36AC0A91"/>
    <w:rsid w:val="36AD2EE7"/>
    <w:rsid w:val="36AE22F7"/>
    <w:rsid w:val="36AE2339"/>
    <w:rsid w:val="36AE429C"/>
    <w:rsid w:val="36AF37C9"/>
    <w:rsid w:val="36B07771"/>
    <w:rsid w:val="36B10DAC"/>
    <w:rsid w:val="36B1666C"/>
    <w:rsid w:val="36B46DA2"/>
    <w:rsid w:val="36B478E0"/>
    <w:rsid w:val="36B50719"/>
    <w:rsid w:val="36B52ACB"/>
    <w:rsid w:val="36B5678E"/>
    <w:rsid w:val="36B636AE"/>
    <w:rsid w:val="36B657D5"/>
    <w:rsid w:val="36BD5B41"/>
    <w:rsid w:val="36BE339B"/>
    <w:rsid w:val="36BE3744"/>
    <w:rsid w:val="36BE445D"/>
    <w:rsid w:val="36BF0D4F"/>
    <w:rsid w:val="36BF3412"/>
    <w:rsid w:val="36C00E6C"/>
    <w:rsid w:val="36C17897"/>
    <w:rsid w:val="36C41B99"/>
    <w:rsid w:val="36C4455F"/>
    <w:rsid w:val="36C44A1E"/>
    <w:rsid w:val="36C50230"/>
    <w:rsid w:val="36C52E09"/>
    <w:rsid w:val="36C61791"/>
    <w:rsid w:val="36C652FD"/>
    <w:rsid w:val="36C6698D"/>
    <w:rsid w:val="36C87ABF"/>
    <w:rsid w:val="36C9054A"/>
    <w:rsid w:val="36CA64AC"/>
    <w:rsid w:val="36CD1408"/>
    <w:rsid w:val="36CE03B8"/>
    <w:rsid w:val="36CE1162"/>
    <w:rsid w:val="36CF1460"/>
    <w:rsid w:val="36D06DE0"/>
    <w:rsid w:val="36D06DFD"/>
    <w:rsid w:val="36D11B49"/>
    <w:rsid w:val="36D14E27"/>
    <w:rsid w:val="36D24776"/>
    <w:rsid w:val="36D3462E"/>
    <w:rsid w:val="36D7032C"/>
    <w:rsid w:val="36D72EDD"/>
    <w:rsid w:val="36D74020"/>
    <w:rsid w:val="36D81DC5"/>
    <w:rsid w:val="36DA0F6A"/>
    <w:rsid w:val="36DA13B2"/>
    <w:rsid w:val="36DC3293"/>
    <w:rsid w:val="36DC4C77"/>
    <w:rsid w:val="36DD3259"/>
    <w:rsid w:val="36DD5289"/>
    <w:rsid w:val="36DE12F2"/>
    <w:rsid w:val="36DE6663"/>
    <w:rsid w:val="36DF5285"/>
    <w:rsid w:val="36E00139"/>
    <w:rsid w:val="36E051C8"/>
    <w:rsid w:val="36E31FC8"/>
    <w:rsid w:val="36E55F4C"/>
    <w:rsid w:val="36E62C0E"/>
    <w:rsid w:val="36E745A2"/>
    <w:rsid w:val="36E7464B"/>
    <w:rsid w:val="36E779FB"/>
    <w:rsid w:val="36E8434B"/>
    <w:rsid w:val="36E84870"/>
    <w:rsid w:val="36EB413B"/>
    <w:rsid w:val="36EC3572"/>
    <w:rsid w:val="36EC6AFA"/>
    <w:rsid w:val="36EE34D7"/>
    <w:rsid w:val="36EE5C17"/>
    <w:rsid w:val="36EF034E"/>
    <w:rsid w:val="36EF19E3"/>
    <w:rsid w:val="36F0781C"/>
    <w:rsid w:val="36F079A3"/>
    <w:rsid w:val="36F20447"/>
    <w:rsid w:val="36F22B3E"/>
    <w:rsid w:val="36F45D80"/>
    <w:rsid w:val="36F47B2C"/>
    <w:rsid w:val="36F47CE2"/>
    <w:rsid w:val="36F5432B"/>
    <w:rsid w:val="36F754CB"/>
    <w:rsid w:val="36F8552D"/>
    <w:rsid w:val="36F94515"/>
    <w:rsid w:val="36FB73EA"/>
    <w:rsid w:val="36FC3260"/>
    <w:rsid w:val="36FF263E"/>
    <w:rsid w:val="36FF4C08"/>
    <w:rsid w:val="36FF6AA0"/>
    <w:rsid w:val="37006DE7"/>
    <w:rsid w:val="3701073A"/>
    <w:rsid w:val="370137E2"/>
    <w:rsid w:val="3702282A"/>
    <w:rsid w:val="37081C4D"/>
    <w:rsid w:val="37087B40"/>
    <w:rsid w:val="37091630"/>
    <w:rsid w:val="370945C1"/>
    <w:rsid w:val="370A2FF4"/>
    <w:rsid w:val="370A4895"/>
    <w:rsid w:val="370B4681"/>
    <w:rsid w:val="370D3F0F"/>
    <w:rsid w:val="370D7ED1"/>
    <w:rsid w:val="370E1BD7"/>
    <w:rsid w:val="37102824"/>
    <w:rsid w:val="37104E51"/>
    <w:rsid w:val="3711163C"/>
    <w:rsid w:val="3712595D"/>
    <w:rsid w:val="37141055"/>
    <w:rsid w:val="37146B1C"/>
    <w:rsid w:val="3715031F"/>
    <w:rsid w:val="371616B7"/>
    <w:rsid w:val="371735F5"/>
    <w:rsid w:val="3718337B"/>
    <w:rsid w:val="37184804"/>
    <w:rsid w:val="37185842"/>
    <w:rsid w:val="371A057C"/>
    <w:rsid w:val="371A2E98"/>
    <w:rsid w:val="371A7A05"/>
    <w:rsid w:val="371B09FA"/>
    <w:rsid w:val="371B0E37"/>
    <w:rsid w:val="371B3C93"/>
    <w:rsid w:val="371B73EA"/>
    <w:rsid w:val="371C38A7"/>
    <w:rsid w:val="371C5292"/>
    <w:rsid w:val="371D006C"/>
    <w:rsid w:val="371D5DB7"/>
    <w:rsid w:val="371F4BBF"/>
    <w:rsid w:val="371F73AC"/>
    <w:rsid w:val="372008CF"/>
    <w:rsid w:val="37207AE9"/>
    <w:rsid w:val="37210FC5"/>
    <w:rsid w:val="37212A4D"/>
    <w:rsid w:val="372147B9"/>
    <w:rsid w:val="37215DAE"/>
    <w:rsid w:val="372318F0"/>
    <w:rsid w:val="3725447B"/>
    <w:rsid w:val="372607CF"/>
    <w:rsid w:val="37262F09"/>
    <w:rsid w:val="372633C5"/>
    <w:rsid w:val="37274335"/>
    <w:rsid w:val="37284C42"/>
    <w:rsid w:val="372B3DC2"/>
    <w:rsid w:val="372C4553"/>
    <w:rsid w:val="372D5679"/>
    <w:rsid w:val="372D6E3F"/>
    <w:rsid w:val="372E0AD4"/>
    <w:rsid w:val="372E1EF2"/>
    <w:rsid w:val="372E370D"/>
    <w:rsid w:val="372E3E24"/>
    <w:rsid w:val="372F0988"/>
    <w:rsid w:val="37314050"/>
    <w:rsid w:val="37325CC3"/>
    <w:rsid w:val="3733163E"/>
    <w:rsid w:val="3733316B"/>
    <w:rsid w:val="373534EF"/>
    <w:rsid w:val="37353DC3"/>
    <w:rsid w:val="37354718"/>
    <w:rsid w:val="373569B9"/>
    <w:rsid w:val="37361358"/>
    <w:rsid w:val="37362089"/>
    <w:rsid w:val="37372007"/>
    <w:rsid w:val="373726F5"/>
    <w:rsid w:val="37377815"/>
    <w:rsid w:val="373C3D5D"/>
    <w:rsid w:val="373C4433"/>
    <w:rsid w:val="373E66EC"/>
    <w:rsid w:val="37402D47"/>
    <w:rsid w:val="37405600"/>
    <w:rsid w:val="37416CC8"/>
    <w:rsid w:val="37421881"/>
    <w:rsid w:val="37431878"/>
    <w:rsid w:val="37441C73"/>
    <w:rsid w:val="37450CB1"/>
    <w:rsid w:val="37472501"/>
    <w:rsid w:val="37476E97"/>
    <w:rsid w:val="374976AC"/>
    <w:rsid w:val="374B6A79"/>
    <w:rsid w:val="374C482B"/>
    <w:rsid w:val="374C4D3F"/>
    <w:rsid w:val="374D2051"/>
    <w:rsid w:val="374E2ACA"/>
    <w:rsid w:val="374E7005"/>
    <w:rsid w:val="37507426"/>
    <w:rsid w:val="37521922"/>
    <w:rsid w:val="375535EA"/>
    <w:rsid w:val="37567DBD"/>
    <w:rsid w:val="37575D80"/>
    <w:rsid w:val="375D490D"/>
    <w:rsid w:val="375E4F1A"/>
    <w:rsid w:val="375E631E"/>
    <w:rsid w:val="375F3051"/>
    <w:rsid w:val="37604154"/>
    <w:rsid w:val="376120D5"/>
    <w:rsid w:val="37614B2E"/>
    <w:rsid w:val="37614E7E"/>
    <w:rsid w:val="3764341B"/>
    <w:rsid w:val="37656E71"/>
    <w:rsid w:val="37657211"/>
    <w:rsid w:val="37664CAB"/>
    <w:rsid w:val="37682FD3"/>
    <w:rsid w:val="376848E9"/>
    <w:rsid w:val="376943AE"/>
    <w:rsid w:val="376B3E86"/>
    <w:rsid w:val="376B4243"/>
    <w:rsid w:val="376C4B50"/>
    <w:rsid w:val="376C66F6"/>
    <w:rsid w:val="376F1D79"/>
    <w:rsid w:val="376F4CE4"/>
    <w:rsid w:val="377038F8"/>
    <w:rsid w:val="37703A1F"/>
    <w:rsid w:val="37706D56"/>
    <w:rsid w:val="37735914"/>
    <w:rsid w:val="37746CE7"/>
    <w:rsid w:val="37757EA8"/>
    <w:rsid w:val="37760883"/>
    <w:rsid w:val="377624C6"/>
    <w:rsid w:val="3777728F"/>
    <w:rsid w:val="3778396A"/>
    <w:rsid w:val="377C1237"/>
    <w:rsid w:val="377E4FAF"/>
    <w:rsid w:val="3780797C"/>
    <w:rsid w:val="37824373"/>
    <w:rsid w:val="37824E39"/>
    <w:rsid w:val="378508D2"/>
    <w:rsid w:val="3786033A"/>
    <w:rsid w:val="3788748B"/>
    <w:rsid w:val="378955B8"/>
    <w:rsid w:val="378A0991"/>
    <w:rsid w:val="378A59C1"/>
    <w:rsid w:val="378A731C"/>
    <w:rsid w:val="378B2AA5"/>
    <w:rsid w:val="378B4EC7"/>
    <w:rsid w:val="378C062D"/>
    <w:rsid w:val="378C6314"/>
    <w:rsid w:val="378C7FEA"/>
    <w:rsid w:val="378D4BDD"/>
    <w:rsid w:val="378D5AE2"/>
    <w:rsid w:val="378E45D5"/>
    <w:rsid w:val="37903FFB"/>
    <w:rsid w:val="3790548B"/>
    <w:rsid w:val="37907D63"/>
    <w:rsid w:val="3791133E"/>
    <w:rsid w:val="37936580"/>
    <w:rsid w:val="37945201"/>
    <w:rsid w:val="3795529C"/>
    <w:rsid w:val="37964E0D"/>
    <w:rsid w:val="379717E2"/>
    <w:rsid w:val="37976191"/>
    <w:rsid w:val="379876F3"/>
    <w:rsid w:val="37991E68"/>
    <w:rsid w:val="379A16BD"/>
    <w:rsid w:val="379A73A4"/>
    <w:rsid w:val="379B1FF0"/>
    <w:rsid w:val="379C3687"/>
    <w:rsid w:val="379D5E97"/>
    <w:rsid w:val="379E11AD"/>
    <w:rsid w:val="379E4EA4"/>
    <w:rsid w:val="379F3EED"/>
    <w:rsid w:val="37A04D56"/>
    <w:rsid w:val="37A04D9E"/>
    <w:rsid w:val="37A05953"/>
    <w:rsid w:val="37A367C3"/>
    <w:rsid w:val="37A37FB8"/>
    <w:rsid w:val="37A4253C"/>
    <w:rsid w:val="37A44A78"/>
    <w:rsid w:val="37A44CBB"/>
    <w:rsid w:val="37A47388"/>
    <w:rsid w:val="37A966BC"/>
    <w:rsid w:val="37AB41E8"/>
    <w:rsid w:val="37AC4688"/>
    <w:rsid w:val="37AD04B5"/>
    <w:rsid w:val="37AD18D4"/>
    <w:rsid w:val="37AD2FA9"/>
    <w:rsid w:val="37AF6638"/>
    <w:rsid w:val="37B02C8E"/>
    <w:rsid w:val="37B06B2D"/>
    <w:rsid w:val="37B07132"/>
    <w:rsid w:val="37B135B4"/>
    <w:rsid w:val="37B15860"/>
    <w:rsid w:val="37B2219A"/>
    <w:rsid w:val="37B3205C"/>
    <w:rsid w:val="37B3277F"/>
    <w:rsid w:val="37B5564E"/>
    <w:rsid w:val="37B57A82"/>
    <w:rsid w:val="37B81AC6"/>
    <w:rsid w:val="37B81C9C"/>
    <w:rsid w:val="37B85195"/>
    <w:rsid w:val="37B918FC"/>
    <w:rsid w:val="37B92CF3"/>
    <w:rsid w:val="37B936F6"/>
    <w:rsid w:val="37B95FE7"/>
    <w:rsid w:val="37BB0F1D"/>
    <w:rsid w:val="37BE182B"/>
    <w:rsid w:val="37C02B01"/>
    <w:rsid w:val="37C07B1C"/>
    <w:rsid w:val="37C13CCB"/>
    <w:rsid w:val="37C404E8"/>
    <w:rsid w:val="37C449D1"/>
    <w:rsid w:val="37C47A43"/>
    <w:rsid w:val="37C62757"/>
    <w:rsid w:val="37C9180B"/>
    <w:rsid w:val="37CB1E60"/>
    <w:rsid w:val="37CB2170"/>
    <w:rsid w:val="37CB2FA6"/>
    <w:rsid w:val="37CB5547"/>
    <w:rsid w:val="37CB61E4"/>
    <w:rsid w:val="37CC5460"/>
    <w:rsid w:val="37CC6CEC"/>
    <w:rsid w:val="37CD3D42"/>
    <w:rsid w:val="37CD55EE"/>
    <w:rsid w:val="37CE052A"/>
    <w:rsid w:val="37CE30A6"/>
    <w:rsid w:val="37CE692C"/>
    <w:rsid w:val="37D01356"/>
    <w:rsid w:val="37D06FD7"/>
    <w:rsid w:val="37D24FD0"/>
    <w:rsid w:val="37D34A84"/>
    <w:rsid w:val="37D42E21"/>
    <w:rsid w:val="37D56466"/>
    <w:rsid w:val="37D57F4F"/>
    <w:rsid w:val="37D87A19"/>
    <w:rsid w:val="37DB42E9"/>
    <w:rsid w:val="37DC6BAA"/>
    <w:rsid w:val="37DE011E"/>
    <w:rsid w:val="37DE1836"/>
    <w:rsid w:val="37DE37E1"/>
    <w:rsid w:val="37DF17C6"/>
    <w:rsid w:val="37E27046"/>
    <w:rsid w:val="37E4238A"/>
    <w:rsid w:val="37E55495"/>
    <w:rsid w:val="37E6081F"/>
    <w:rsid w:val="37E656E3"/>
    <w:rsid w:val="37E754EC"/>
    <w:rsid w:val="37E92754"/>
    <w:rsid w:val="37E9382A"/>
    <w:rsid w:val="37E93A2C"/>
    <w:rsid w:val="37EB78DA"/>
    <w:rsid w:val="37EE1763"/>
    <w:rsid w:val="37F039D3"/>
    <w:rsid w:val="37F04274"/>
    <w:rsid w:val="37F11279"/>
    <w:rsid w:val="37F13787"/>
    <w:rsid w:val="37F232A7"/>
    <w:rsid w:val="37F25055"/>
    <w:rsid w:val="37F261A2"/>
    <w:rsid w:val="37F30C49"/>
    <w:rsid w:val="37F30DCD"/>
    <w:rsid w:val="37F45271"/>
    <w:rsid w:val="37F544C0"/>
    <w:rsid w:val="37F9231C"/>
    <w:rsid w:val="37F97FCE"/>
    <w:rsid w:val="37FB50A4"/>
    <w:rsid w:val="37FE0F46"/>
    <w:rsid w:val="37FE2480"/>
    <w:rsid w:val="37FE3CC2"/>
    <w:rsid w:val="37FF2F9C"/>
    <w:rsid w:val="37FF6BE3"/>
    <w:rsid w:val="380127BC"/>
    <w:rsid w:val="38020739"/>
    <w:rsid w:val="38073014"/>
    <w:rsid w:val="380755BE"/>
    <w:rsid w:val="38077644"/>
    <w:rsid w:val="3808173B"/>
    <w:rsid w:val="380819DB"/>
    <w:rsid w:val="3808778B"/>
    <w:rsid w:val="38090F3A"/>
    <w:rsid w:val="38091838"/>
    <w:rsid w:val="38092DEA"/>
    <w:rsid w:val="380A6843"/>
    <w:rsid w:val="380B1527"/>
    <w:rsid w:val="380C59BB"/>
    <w:rsid w:val="380C6174"/>
    <w:rsid w:val="380D2F48"/>
    <w:rsid w:val="380E2899"/>
    <w:rsid w:val="380F2DDF"/>
    <w:rsid w:val="381301D1"/>
    <w:rsid w:val="38135D20"/>
    <w:rsid w:val="3814116C"/>
    <w:rsid w:val="38161052"/>
    <w:rsid w:val="38163439"/>
    <w:rsid w:val="38172CE4"/>
    <w:rsid w:val="381821A7"/>
    <w:rsid w:val="38193155"/>
    <w:rsid w:val="3819530F"/>
    <w:rsid w:val="38196A86"/>
    <w:rsid w:val="381970BF"/>
    <w:rsid w:val="381B0A50"/>
    <w:rsid w:val="381B2F0F"/>
    <w:rsid w:val="381C175F"/>
    <w:rsid w:val="381C4571"/>
    <w:rsid w:val="381E5787"/>
    <w:rsid w:val="382113B7"/>
    <w:rsid w:val="38211DDE"/>
    <w:rsid w:val="3821769A"/>
    <w:rsid w:val="38240907"/>
    <w:rsid w:val="38244B3F"/>
    <w:rsid w:val="3824688C"/>
    <w:rsid w:val="3826083F"/>
    <w:rsid w:val="38262B84"/>
    <w:rsid w:val="38264283"/>
    <w:rsid w:val="3826657A"/>
    <w:rsid w:val="38274BA9"/>
    <w:rsid w:val="38277040"/>
    <w:rsid w:val="382877F5"/>
    <w:rsid w:val="38295D87"/>
    <w:rsid w:val="382A2A41"/>
    <w:rsid w:val="382D42DF"/>
    <w:rsid w:val="382F2D1B"/>
    <w:rsid w:val="382F44FB"/>
    <w:rsid w:val="38303DCF"/>
    <w:rsid w:val="38337319"/>
    <w:rsid w:val="383375B1"/>
    <w:rsid w:val="38343A38"/>
    <w:rsid w:val="383457A4"/>
    <w:rsid w:val="383668BD"/>
    <w:rsid w:val="38367638"/>
    <w:rsid w:val="38372136"/>
    <w:rsid w:val="3837515E"/>
    <w:rsid w:val="38383CED"/>
    <w:rsid w:val="383A69FC"/>
    <w:rsid w:val="383B53FB"/>
    <w:rsid w:val="383D1162"/>
    <w:rsid w:val="383D319D"/>
    <w:rsid w:val="384122EC"/>
    <w:rsid w:val="3843431D"/>
    <w:rsid w:val="384446AF"/>
    <w:rsid w:val="38447DF9"/>
    <w:rsid w:val="38454682"/>
    <w:rsid w:val="3845579E"/>
    <w:rsid w:val="3847114E"/>
    <w:rsid w:val="38472697"/>
    <w:rsid w:val="38472D48"/>
    <w:rsid w:val="3848736B"/>
    <w:rsid w:val="38493439"/>
    <w:rsid w:val="3849616E"/>
    <w:rsid w:val="384964DB"/>
    <w:rsid w:val="384A1CD1"/>
    <w:rsid w:val="384A6059"/>
    <w:rsid w:val="384A6C3F"/>
    <w:rsid w:val="384D3CF2"/>
    <w:rsid w:val="384D4981"/>
    <w:rsid w:val="384E1CC5"/>
    <w:rsid w:val="384E378D"/>
    <w:rsid w:val="38507F7D"/>
    <w:rsid w:val="38523D46"/>
    <w:rsid w:val="385330B0"/>
    <w:rsid w:val="3855529C"/>
    <w:rsid w:val="3858261B"/>
    <w:rsid w:val="385826FD"/>
    <w:rsid w:val="38584A3E"/>
    <w:rsid w:val="38593326"/>
    <w:rsid w:val="385B26AC"/>
    <w:rsid w:val="385B78FA"/>
    <w:rsid w:val="385D11D0"/>
    <w:rsid w:val="385D6EA6"/>
    <w:rsid w:val="385F0069"/>
    <w:rsid w:val="38602168"/>
    <w:rsid w:val="3862042D"/>
    <w:rsid w:val="3862102F"/>
    <w:rsid w:val="38621FBC"/>
    <w:rsid w:val="38642F74"/>
    <w:rsid w:val="38651CCB"/>
    <w:rsid w:val="3866768E"/>
    <w:rsid w:val="386775A0"/>
    <w:rsid w:val="38683569"/>
    <w:rsid w:val="386C17A3"/>
    <w:rsid w:val="386C187A"/>
    <w:rsid w:val="386C70B8"/>
    <w:rsid w:val="386D6DD1"/>
    <w:rsid w:val="386E0B07"/>
    <w:rsid w:val="386E4498"/>
    <w:rsid w:val="38704940"/>
    <w:rsid w:val="3871195E"/>
    <w:rsid w:val="38711D79"/>
    <w:rsid w:val="387168C2"/>
    <w:rsid w:val="38747024"/>
    <w:rsid w:val="3875661F"/>
    <w:rsid w:val="38761300"/>
    <w:rsid w:val="38771CDA"/>
    <w:rsid w:val="387A3C2D"/>
    <w:rsid w:val="387A419F"/>
    <w:rsid w:val="387B29AE"/>
    <w:rsid w:val="387B2BB3"/>
    <w:rsid w:val="387B3EC6"/>
    <w:rsid w:val="387B4990"/>
    <w:rsid w:val="387B7CB7"/>
    <w:rsid w:val="387C734F"/>
    <w:rsid w:val="387E0FDF"/>
    <w:rsid w:val="387E7977"/>
    <w:rsid w:val="3881290B"/>
    <w:rsid w:val="38812BE2"/>
    <w:rsid w:val="38821F74"/>
    <w:rsid w:val="38832151"/>
    <w:rsid w:val="38833910"/>
    <w:rsid w:val="3888607F"/>
    <w:rsid w:val="38893E11"/>
    <w:rsid w:val="38897A29"/>
    <w:rsid w:val="388B0DDA"/>
    <w:rsid w:val="388B5DE1"/>
    <w:rsid w:val="388C0020"/>
    <w:rsid w:val="388C7B14"/>
    <w:rsid w:val="388C7CC2"/>
    <w:rsid w:val="388F71A6"/>
    <w:rsid w:val="38906FDB"/>
    <w:rsid w:val="389308E0"/>
    <w:rsid w:val="3893317E"/>
    <w:rsid w:val="38933477"/>
    <w:rsid w:val="38933908"/>
    <w:rsid w:val="38940D4C"/>
    <w:rsid w:val="38973C3B"/>
    <w:rsid w:val="38986509"/>
    <w:rsid w:val="389B3100"/>
    <w:rsid w:val="389C791D"/>
    <w:rsid w:val="389D50A0"/>
    <w:rsid w:val="38A041DC"/>
    <w:rsid w:val="38A171BA"/>
    <w:rsid w:val="38A24363"/>
    <w:rsid w:val="38A25B4B"/>
    <w:rsid w:val="38A44C4B"/>
    <w:rsid w:val="38A6226A"/>
    <w:rsid w:val="38A74BE1"/>
    <w:rsid w:val="38A75959"/>
    <w:rsid w:val="38A7698B"/>
    <w:rsid w:val="38A905ED"/>
    <w:rsid w:val="38A94E31"/>
    <w:rsid w:val="38AA327E"/>
    <w:rsid w:val="38AA60E7"/>
    <w:rsid w:val="38AB4B5A"/>
    <w:rsid w:val="38AB7897"/>
    <w:rsid w:val="38AC1685"/>
    <w:rsid w:val="38AC47E0"/>
    <w:rsid w:val="38AC6B3A"/>
    <w:rsid w:val="38AE254E"/>
    <w:rsid w:val="38AF3B82"/>
    <w:rsid w:val="38B04D25"/>
    <w:rsid w:val="38B21A10"/>
    <w:rsid w:val="38B22A8D"/>
    <w:rsid w:val="38B43D6A"/>
    <w:rsid w:val="38B5530D"/>
    <w:rsid w:val="38B601E4"/>
    <w:rsid w:val="38B61B6D"/>
    <w:rsid w:val="38B661EB"/>
    <w:rsid w:val="38B84141"/>
    <w:rsid w:val="38B86A17"/>
    <w:rsid w:val="38B955D1"/>
    <w:rsid w:val="38B95617"/>
    <w:rsid w:val="38B965A7"/>
    <w:rsid w:val="38BC0165"/>
    <w:rsid w:val="38BD4A2B"/>
    <w:rsid w:val="38BD6432"/>
    <w:rsid w:val="38BE1EDD"/>
    <w:rsid w:val="38BE5886"/>
    <w:rsid w:val="38C311C3"/>
    <w:rsid w:val="38C4432B"/>
    <w:rsid w:val="38C5252E"/>
    <w:rsid w:val="38C60534"/>
    <w:rsid w:val="38C61316"/>
    <w:rsid w:val="38C66C08"/>
    <w:rsid w:val="38C70290"/>
    <w:rsid w:val="38C74D44"/>
    <w:rsid w:val="38C7724C"/>
    <w:rsid w:val="38C809AB"/>
    <w:rsid w:val="38C9744D"/>
    <w:rsid w:val="38CB2E0B"/>
    <w:rsid w:val="38CC1DA9"/>
    <w:rsid w:val="38CD2966"/>
    <w:rsid w:val="38CF05AB"/>
    <w:rsid w:val="38CF2505"/>
    <w:rsid w:val="38D07EFD"/>
    <w:rsid w:val="38D10A83"/>
    <w:rsid w:val="38D20978"/>
    <w:rsid w:val="38D24F7D"/>
    <w:rsid w:val="38D33CF5"/>
    <w:rsid w:val="38D3775E"/>
    <w:rsid w:val="38D53970"/>
    <w:rsid w:val="38D74AC6"/>
    <w:rsid w:val="38D750CD"/>
    <w:rsid w:val="38D84EE7"/>
    <w:rsid w:val="38DA428B"/>
    <w:rsid w:val="38DB01DF"/>
    <w:rsid w:val="38DC2A34"/>
    <w:rsid w:val="38DE0EC6"/>
    <w:rsid w:val="38DE657D"/>
    <w:rsid w:val="38DF671D"/>
    <w:rsid w:val="38E04AF5"/>
    <w:rsid w:val="38E15C86"/>
    <w:rsid w:val="38E17072"/>
    <w:rsid w:val="38E250CA"/>
    <w:rsid w:val="38E36E06"/>
    <w:rsid w:val="38E45713"/>
    <w:rsid w:val="38E52E0C"/>
    <w:rsid w:val="38E76906"/>
    <w:rsid w:val="38E76B84"/>
    <w:rsid w:val="38E77747"/>
    <w:rsid w:val="38E928FC"/>
    <w:rsid w:val="38EA4E78"/>
    <w:rsid w:val="38EA6674"/>
    <w:rsid w:val="38EB010C"/>
    <w:rsid w:val="38EC2E34"/>
    <w:rsid w:val="38ED6A4C"/>
    <w:rsid w:val="38EE1CC0"/>
    <w:rsid w:val="38EF1907"/>
    <w:rsid w:val="38EF70B5"/>
    <w:rsid w:val="38F022F8"/>
    <w:rsid w:val="38F04065"/>
    <w:rsid w:val="38F117B0"/>
    <w:rsid w:val="38F15A12"/>
    <w:rsid w:val="38F246F8"/>
    <w:rsid w:val="38F33028"/>
    <w:rsid w:val="38F350EB"/>
    <w:rsid w:val="38F60B75"/>
    <w:rsid w:val="38F67C4D"/>
    <w:rsid w:val="38F82835"/>
    <w:rsid w:val="38F8669B"/>
    <w:rsid w:val="38F913A2"/>
    <w:rsid w:val="38FB0FD7"/>
    <w:rsid w:val="38FB2E90"/>
    <w:rsid w:val="38FB4865"/>
    <w:rsid w:val="38FB5558"/>
    <w:rsid w:val="38FE02F0"/>
    <w:rsid w:val="38FE3E8C"/>
    <w:rsid w:val="38FF3ECD"/>
    <w:rsid w:val="390037A2"/>
    <w:rsid w:val="39006D7A"/>
    <w:rsid w:val="39017A8D"/>
    <w:rsid w:val="39033292"/>
    <w:rsid w:val="3904719D"/>
    <w:rsid w:val="39056EA6"/>
    <w:rsid w:val="39062BB4"/>
    <w:rsid w:val="390A3C06"/>
    <w:rsid w:val="390A6409"/>
    <w:rsid w:val="390C0CA3"/>
    <w:rsid w:val="390C7507"/>
    <w:rsid w:val="390C7982"/>
    <w:rsid w:val="390D62C6"/>
    <w:rsid w:val="390E177D"/>
    <w:rsid w:val="390F001A"/>
    <w:rsid w:val="391172BA"/>
    <w:rsid w:val="39125312"/>
    <w:rsid w:val="39127FEB"/>
    <w:rsid w:val="39131688"/>
    <w:rsid w:val="391334D5"/>
    <w:rsid w:val="39141F8C"/>
    <w:rsid w:val="39142098"/>
    <w:rsid w:val="391425D5"/>
    <w:rsid w:val="3914549F"/>
    <w:rsid w:val="3914766B"/>
    <w:rsid w:val="39182D54"/>
    <w:rsid w:val="39186488"/>
    <w:rsid w:val="391920FA"/>
    <w:rsid w:val="391B246E"/>
    <w:rsid w:val="391B4A49"/>
    <w:rsid w:val="391B6254"/>
    <w:rsid w:val="391C70D4"/>
    <w:rsid w:val="391D4354"/>
    <w:rsid w:val="391D76E1"/>
    <w:rsid w:val="391E2CE2"/>
    <w:rsid w:val="391F4424"/>
    <w:rsid w:val="392164DD"/>
    <w:rsid w:val="3922266C"/>
    <w:rsid w:val="39222977"/>
    <w:rsid w:val="392350DC"/>
    <w:rsid w:val="39243BA7"/>
    <w:rsid w:val="3925145A"/>
    <w:rsid w:val="39266FA8"/>
    <w:rsid w:val="39275AE1"/>
    <w:rsid w:val="392842A9"/>
    <w:rsid w:val="392A34F7"/>
    <w:rsid w:val="392A3862"/>
    <w:rsid w:val="392A5822"/>
    <w:rsid w:val="392B3079"/>
    <w:rsid w:val="392B4462"/>
    <w:rsid w:val="392C0A3B"/>
    <w:rsid w:val="392C10D2"/>
    <w:rsid w:val="392E030F"/>
    <w:rsid w:val="392F04F0"/>
    <w:rsid w:val="392F5A86"/>
    <w:rsid w:val="39307C5B"/>
    <w:rsid w:val="39323E2E"/>
    <w:rsid w:val="393253AF"/>
    <w:rsid w:val="393514CA"/>
    <w:rsid w:val="393671C3"/>
    <w:rsid w:val="393722B2"/>
    <w:rsid w:val="393804C7"/>
    <w:rsid w:val="39381E27"/>
    <w:rsid w:val="393914A7"/>
    <w:rsid w:val="39397EF6"/>
    <w:rsid w:val="393A3157"/>
    <w:rsid w:val="393C6877"/>
    <w:rsid w:val="393F076E"/>
    <w:rsid w:val="393F4DC4"/>
    <w:rsid w:val="39406294"/>
    <w:rsid w:val="39414EC5"/>
    <w:rsid w:val="394400B2"/>
    <w:rsid w:val="394826C9"/>
    <w:rsid w:val="39484B11"/>
    <w:rsid w:val="39486648"/>
    <w:rsid w:val="394965ED"/>
    <w:rsid w:val="394A20DC"/>
    <w:rsid w:val="394A289C"/>
    <w:rsid w:val="394A4A8C"/>
    <w:rsid w:val="394B2972"/>
    <w:rsid w:val="394C2E8B"/>
    <w:rsid w:val="394C46CD"/>
    <w:rsid w:val="394C4C39"/>
    <w:rsid w:val="394D45D7"/>
    <w:rsid w:val="394D4C9E"/>
    <w:rsid w:val="394D6F17"/>
    <w:rsid w:val="394E275F"/>
    <w:rsid w:val="3950297B"/>
    <w:rsid w:val="395104A1"/>
    <w:rsid w:val="3951606E"/>
    <w:rsid w:val="39537ED6"/>
    <w:rsid w:val="39550605"/>
    <w:rsid w:val="39571194"/>
    <w:rsid w:val="39571656"/>
    <w:rsid w:val="395A19E8"/>
    <w:rsid w:val="395D1835"/>
    <w:rsid w:val="395D258B"/>
    <w:rsid w:val="395E3DBA"/>
    <w:rsid w:val="395F496C"/>
    <w:rsid w:val="39600B43"/>
    <w:rsid w:val="39607F48"/>
    <w:rsid w:val="39620592"/>
    <w:rsid w:val="39621CD3"/>
    <w:rsid w:val="39624D5A"/>
    <w:rsid w:val="39632B85"/>
    <w:rsid w:val="39651C20"/>
    <w:rsid w:val="39653FE8"/>
    <w:rsid w:val="39672100"/>
    <w:rsid w:val="396924FA"/>
    <w:rsid w:val="39693679"/>
    <w:rsid w:val="39697E31"/>
    <w:rsid w:val="396A131E"/>
    <w:rsid w:val="396A50BF"/>
    <w:rsid w:val="396C0E37"/>
    <w:rsid w:val="396C2FF9"/>
    <w:rsid w:val="396C38E2"/>
    <w:rsid w:val="396C4215"/>
    <w:rsid w:val="396E1381"/>
    <w:rsid w:val="396E6407"/>
    <w:rsid w:val="39700E21"/>
    <w:rsid w:val="39702153"/>
    <w:rsid w:val="397228F1"/>
    <w:rsid w:val="39730381"/>
    <w:rsid w:val="39730417"/>
    <w:rsid w:val="39754190"/>
    <w:rsid w:val="39772A69"/>
    <w:rsid w:val="397748F5"/>
    <w:rsid w:val="39775958"/>
    <w:rsid w:val="397A5E48"/>
    <w:rsid w:val="397A629B"/>
    <w:rsid w:val="397A7F5A"/>
    <w:rsid w:val="397B70F5"/>
    <w:rsid w:val="397D215D"/>
    <w:rsid w:val="397D3BF9"/>
    <w:rsid w:val="397F444A"/>
    <w:rsid w:val="397F6DBC"/>
    <w:rsid w:val="39800AFC"/>
    <w:rsid w:val="39810D86"/>
    <w:rsid w:val="3982604D"/>
    <w:rsid w:val="39842625"/>
    <w:rsid w:val="3986293F"/>
    <w:rsid w:val="3988287A"/>
    <w:rsid w:val="3989330C"/>
    <w:rsid w:val="398966C8"/>
    <w:rsid w:val="398D69D5"/>
    <w:rsid w:val="398E1E73"/>
    <w:rsid w:val="3990274B"/>
    <w:rsid w:val="39902D77"/>
    <w:rsid w:val="3990672A"/>
    <w:rsid w:val="399540CF"/>
    <w:rsid w:val="3995541D"/>
    <w:rsid w:val="399602BB"/>
    <w:rsid w:val="39980BBE"/>
    <w:rsid w:val="399812E2"/>
    <w:rsid w:val="39993196"/>
    <w:rsid w:val="3999669D"/>
    <w:rsid w:val="399B2F3D"/>
    <w:rsid w:val="399B7293"/>
    <w:rsid w:val="399D25E4"/>
    <w:rsid w:val="399D7242"/>
    <w:rsid w:val="399D79E6"/>
    <w:rsid w:val="399E51CF"/>
    <w:rsid w:val="399E6C41"/>
    <w:rsid w:val="399F0F4E"/>
    <w:rsid w:val="399F16B8"/>
    <w:rsid w:val="399F67AF"/>
    <w:rsid w:val="399F7A55"/>
    <w:rsid w:val="39A07F34"/>
    <w:rsid w:val="39A1285E"/>
    <w:rsid w:val="39A31482"/>
    <w:rsid w:val="39A3297E"/>
    <w:rsid w:val="39A4356C"/>
    <w:rsid w:val="39A43B03"/>
    <w:rsid w:val="39A44A75"/>
    <w:rsid w:val="39A45740"/>
    <w:rsid w:val="39A52621"/>
    <w:rsid w:val="39A53678"/>
    <w:rsid w:val="39A5530B"/>
    <w:rsid w:val="39A559E5"/>
    <w:rsid w:val="39A64349"/>
    <w:rsid w:val="39A71E6F"/>
    <w:rsid w:val="39A8101E"/>
    <w:rsid w:val="39A81897"/>
    <w:rsid w:val="39A81F53"/>
    <w:rsid w:val="39A84565"/>
    <w:rsid w:val="39A865E9"/>
    <w:rsid w:val="39A87318"/>
    <w:rsid w:val="39A95F2D"/>
    <w:rsid w:val="39AA6B1B"/>
    <w:rsid w:val="39AC0218"/>
    <w:rsid w:val="39AC6848"/>
    <w:rsid w:val="39AD58C4"/>
    <w:rsid w:val="39AD68AE"/>
    <w:rsid w:val="39AE1151"/>
    <w:rsid w:val="39AE2732"/>
    <w:rsid w:val="39AE5204"/>
    <w:rsid w:val="39AE5D30"/>
    <w:rsid w:val="39AF50B6"/>
    <w:rsid w:val="39B203A1"/>
    <w:rsid w:val="39B32F2E"/>
    <w:rsid w:val="39B46E05"/>
    <w:rsid w:val="39B76556"/>
    <w:rsid w:val="39B8407C"/>
    <w:rsid w:val="39BB084F"/>
    <w:rsid w:val="39BC2840"/>
    <w:rsid w:val="39BC38E8"/>
    <w:rsid w:val="39BC6487"/>
    <w:rsid w:val="39BE7182"/>
    <w:rsid w:val="39C03C67"/>
    <w:rsid w:val="39C11E5A"/>
    <w:rsid w:val="39C142C3"/>
    <w:rsid w:val="39C15FE6"/>
    <w:rsid w:val="39C27D18"/>
    <w:rsid w:val="39C33BBB"/>
    <w:rsid w:val="39C3492C"/>
    <w:rsid w:val="39C36761"/>
    <w:rsid w:val="39C42A21"/>
    <w:rsid w:val="39C62C3D"/>
    <w:rsid w:val="39C76B0B"/>
    <w:rsid w:val="39C91AC9"/>
    <w:rsid w:val="39CA35A5"/>
    <w:rsid w:val="39CB5B77"/>
    <w:rsid w:val="39CD1864"/>
    <w:rsid w:val="39CD7B28"/>
    <w:rsid w:val="39CF2452"/>
    <w:rsid w:val="39D03F66"/>
    <w:rsid w:val="39D050F8"/>
    <w:rsid w:val="39D10AC3"/>
    <w:rsid w:val="39D12297"/>
    <w:rsid w:val="39D13637"/>
    <w:rsid w:val="39D670BE"/>
    <w:rsid w:val="39D76BE6"/>
    <w:rsid w:val="39D84378"/>
    <w:rsid w:val="39D94BEF"/>
    <w:rsid w:val="39DA1A46"/>
    <w:rsid w:val="39DA3FF3"/>
    <w:rsid w:val="39DB4726"/>
    <w:rsid w:val="39DC39B1"/>
    <w:rsid w:val="39DC6679"/>
    <w:rsid w:val="39DD2526"/>
    <w:rsid w:val="39DD7374"/>
    <w:rsid w:val="39DE1D44"/>
    <w:rsid w:val="39DF6E5D"/>
    <w:rsid w:val="39E07176"/>
    <w:rsid w:val="39E0771A"/>
    <w:rsid w:val="39E10598"/>
    <w:rsid w:val="39E14F1F"/>
    <w:rsid w:val="39E16086"/>
    <w:rsid w:val="39E51924"/>
    <w:rsid w:val="39E519D8"/>
    <w:rsid w:val="39E84962"/>
    <w:rsid w:val="39E91A66"/>
    <w:rsid w:val="39EA697C"/>
    <w:rsid w:val="39EB1C01"/>
    <w:rsid w:val="39EB26A4"/>
    <w:rsid w:val="39EC6351"/>
    <w:rsid w:val="39ED01CA"/>
    <w:rsid w:val="39ED170C"/>
    <w:rsid w:val="39ED38D0"/>
    <w:rsid w:val="39EE01F9"/>
    <w:rsid w:val="39EF3CD8"/>
    <w:rsid w:val="39F01A06"/>
    <w:rsid w:val="39F05568"/>
    <w:rsid w:val="39F1794B"/>
    <w:rsid w:val="39F2610F"/>
    <w:rsid w:val="39F350B4"/>
    <w:rsid w:val="39F3665B"/>
    <w:rsid w:val="39F37C92"/>
    <w:rsid w:val="39F404BC"/>
    <w:rsid w:val="39F63A08"/>
    <w:rsid w:val="39F8349A"/>
    <w:rsid w:val="39F91339"/>
    <w:rsid w:val="39FA0974"/>
    <w:rsid w:val="39FE4EE8"/>
    <w:rsid w:val="39FE5653"/>
    <w:rsid w:val="39FF1CFC"/>
    <w:rsid w:val="39FF5A97"/>
    <w:rsid w:val="3A012727"/>
    <w:rsid w:val="3A033932"/>
    <w:rsid w:val="3A046706"/>
    <w:rsid w:val="3A073FB5"/>
    <w:rsid w:val="3A080B60"/>
    <w:rsid w:val="3A082459"/>
    <w:rsid w:val="3A086DB2"/>
    <w:rsid w:val="3A09167E"/>
    <w:rsid w:val="3A0A2AAE"/>
    <w:rsid w:val="3A0A5DB4"/>
    <w:rsid w:val="3A0B2360"/>
    <w:rsid w:val="3A0B357E"/>
    <w:rsid w:val="3A0B4E4F"/>
    <w:rsid w:val="3A0F3643"/>
    <w:rsid w:val="3A112E04"/>
    <w:rsid w:val="3A117AC6"/>
    <w:rsid w:val="3A123F31"/>
    <w:rsid w:val="3A135DAD"/>
    <w:rsid w:val="3A137F81"/>
    <w:rsid w:val="3A144C83"/>
    <w:rsid w:val="3A145757"/>
    <w:rsid w:val="3A14681D"/>
    <w:rsid w:val="3A147BFF"/>
    <w:rsid w:val="3A156DA2"/>
    <w:rsid w:val="3A1811D4"/>
    <w:rsid w:val="3A1846C8"/>
    <w:rsid w:val="3A184B1B"/>
    <w:rsid w:val="3A1A6AE5"/>
    <w:rsid w:val="3A1C4E17"/>
    <w:rsid w:val="3A1D7D60"/>
    <w:rsid w:val="3A1E1B68"/>
    <w:rsid w:val="3A1E65D5"/>
    <w:rsid w:val="3A22034B"/>
    <w:rsid w:val="3A2334B0"/>
    <w:rsid w:val="3A234969"/>
    <w:rsid w:val="3A256A47"/>
    <w:rsid w:val="3A265910"/>
    <w:rsid w:val="3A2678B8"/>
    <w:rsid w:val="3A2801BE"/>
    <w:rsid w:val="3A29595F"/>
    <w:rsid w:val="3A2C5DDB"/>
    <w:rsid w:val="3A2E1596"/>
    <w:rsid w:val="3A2F6D7D"/>
    <w:rsid w:val="3A304E6C"/>
    <w:rsid w:val="3A3145A9"/>
    <w:rsid w:val="3A32526F"/>
    <w:rsid w:val="3A3431C5"/>
    <w:rsid w:val="3A347BA7"/>
    <w:rsid w:val="3A351647"/>
    <w:rsid w:val="3A383AE9"/>
    <w:rsid w:val="3A38593F"/>
    <w:rsid w:val="3A3902FC"/>
    <w:rsid w:val="3A392444"/>
    <w:rsid w:val="3A3B4348"/>
    <w:rsid w:val="3A3C6D96"/>
    <w:rsid w:val="3A3E0EE2"/>
    <w:rsid w:val="3A3E6EE5"/>
    <w:rsid w:val="3A4113E1"/>
    <w:rsid w:val="3A4138D4"/>
    <w:rsid w:val="3A41569E"/>
    <w:rsid w:val="3A417D4F"/>
    <w:rsid w:val="3A4233A8"/>
    <w:rsid w:val="3A436B28"/>
    <w:rsid w:val="3A456E91"/>
    <w:rsid w:val="3A456EFA"/>
    <w:rsid w:val="3A473401"/>
    <w:rsid w:val="3A476DC0"/>
    <w:rsid w:val="3A480176"/>
    <w:rsid w:val="3A4B4EF0"/>
    <w:rsid w:val="3A4E0551"/>
    <w:rsid w:val="3A4E5453"/>
    <w:rsid w:val="3A4F2B54"/>
    <w:rsid w:val="3A502DB2"/>
    <w:rsid w:val="3A502F3D"/>
    <w:rsid w:val="3A504741"/>
    <w:rsid w:val="3A52002D"/>
    <w:rsid w:val="3A52627F"/>
    <w:rsid w:val="3A540410"/>
    <w:rsid w:val="3A54640C"/>
    <w:rsid w:val="3A5573AC"/>
    <w:rsid w:val="3A557ABF"/>
    <w:rsid w:val="3A5626EB"/>
    <w:rsid w:val="3A570030"/>
    <w:rsid w:val="3A575AF9"/>
    <w:rsid w:val="3A584A7F"/>
    <w:rsid w:val="3A585D76"/>
    <w:rsid w:val="3A586350"/>
    <w:rsid w:val="3A5877A5"/>
    <w:rsid w:val="3A5B704B"/>
    <w:rsid w:val="3A5C3E46"/>
    <w:rsid w:val="3A5C64B4"/>
    <w:rsid w:val="3A5D4ACF"/>
    <w:rsid w:val="3A5E1C16"/>
    <w:rsid w:val="3A611FAB"/>
    <w:rsid w:val="3A61539B"/>
    <w:rsid w:val="3A615E35"/>
    <w:rsid w:val="3A63640C"/>
    <w:rsid w:val="3A636B78"/>
    <w:rsid w:val="3A661D2A"/>
    <w:rsid w:val="3A6839E8"/>
    <w:rsid w:val="3A6B10EF"/>
    <w:rsid w:val="3A6B550B"/>
    <w:rsid w:val="3A6B5D97"/>
    <w:rsid w:val="3A6C5593"/>
    <w:rsid w:val="3A6D1460"/>
    <w:rsid w:val="3A6D4E67"/>
    <w:rsid w:val="3A6E2608"/>
    <w:rsid w:val="3A6E4D96"/>
    <w:rsid w:val="3A6F009A"/>
    <w:rsid w:val="3A6F435C"/>
    <w:rsid w:val="3A702B98"/>
    <w:rsid w:val="3A704D37"/>
    <w:rsid w:val="3A723179"/>
    <w:rsid w:val="3A7341FC"/>
    <w:rsid w:val="3A7403C7"/>
    <w:rsid w:val="3A767013"/>
    <w:rsid w:val="3A7676A0"/>
    <w:rsid w:val="3A770978"/>
    <w:rsid w:val="3A77515E"/>
    <w:rsid w:val="3A7765C8"/>
    <w:rsid w:val="3A777A93"/>
    <w:rsid w:val="3A7906BF"/>
    <w:rsid w:val="3A791A5E"/>
    <w:rsid w:val="3A7A4D9B"/>
    <w:rsid w:val="3A7A72A7"/>
    <w:rsid w:val="3A7C154E"/>
    <w:rsid w:val="3A7C2292"/>
    <w:rsid w:val="3A7D1FEA"/>
    <w:rsid w:val="3A7D3904"/>
    <w:rsid w:val="3A7D7122"/>
    <w:rsid w:val="3A7E5CF0"/>
    <w:rsid w:val="3A80236E"/>
    <w:rsid w:val="3A8076E9"/>
    <w:rsid w:val="3A854144"/>
    <w:rsid w:val="3A860E49"/>
    <w:rsid w:val="3A864D0B"/>
    <w:rsid w:val="3A8655F3"/>
    <w:rsid w:val="3A867632"/>
    <w:rsid w:val="3A873B57"/>
    <w:rsid w:val="3A882310"/>
    <w:rsid w:val="3A886145"/>
    <w:rsid w:val="3A897BE5"/>
    <w:rsid w:val="3A897FA5"/>
    <w:rsid w:val="3A8B23A8"/>
    <w:rsid w:val="3A8C0854"/>
    <w:rsid w:val="3A8D3B6A"/>
    <w:rsid w:val="3A8D5509"/>
    <w:rsid w:val="3A8D7309"/>
    <w:rsid w:val="3A8E3775"/>
    <w:rsid w:val="3A8F12A9"/>
    <w:rsid w:val="3A8F4182"/>
    <w:rsid w:val="3A9163E1"/>
    <w:rsid w:val="3A9419CD"/>
    <w:rsid w:val="3A9474A1"/>
    <w:rsid w:val="3A955D37"/>
    <w:rsid w:val="3A960E9B"/>
    <w:rsid w:val="3A970136"/>
    <w:rsid w:val="3A971DD2"/>
    <w:rsid w:val="3A9C74FA"/>
    <w:rsid w:val="3A9D0CB0"/>
    <w:rsid w:val="3A9E14C4"/>
    <w:rsid w:val="3A9E1693"/>
    <w:rsid w:val="3A9F388E"/>
    <w:rsid w:val="3AA007DD"/>
    <w:rsid w:val="3AA009A1"/>
    <w:rsid w:val="3AA0523C"/>
    <w:rsid w:val="3AA05DBB"/>
    <w:rsid w:val="3AA06196"/>
    <w:rsid w:val="3AA06FEA"/>
    <w:rsid w:val="3AA14F55"/>
    <w:rsid w:val="3AA15293"/>
    <w:rsid w:val="3AA32AB9"/>
    <w:rsid w:val="3AA36C63"/>
    <w:rsid w:val="3AA45E25"/>
    <w:rsid w:val="3AA502EC"/>
    <w:rsid w:val="3AA52BDB"/>
    <w:rsid w:val="3AA73D14"/>
    <w:rsid w:val="3AA761D2"/>
    <w:rsid w:val="3AA90857"/>
    <w:rsid w:val="3AA976C2"/>
    <w:rsid w:val="3AAB42DD"/>
    <w:rsid w:val="3AAC09B4"/>
    <w:rsid w:val="3AAC1F74"/>
    <w:rsid w:val="3AAC45C1"/>
    <w:rsid w:val="3AAC6550"/>
    <w:rsid w:val="3AAC6B47"/>
    <w:rsid w:val="3AAD0FC0"/>
    <w:rsid w:val="3AAD4101"/>
    <w:rsid w:val="3AAD4858"/>
    <w:rsid w:val="3AAD4CC5"/>
    <w:rsid w:val="3AAE2D52"/>
    <w:rsid w:val="3AAE3B05"/>
    <w:rsid w:val="3AAF1BD6"/>
    <w:rsid w:val="3AAF36D1"/>
    <w:rsid w:val="3AAF547F"/>
    <w:rsid w:val="3AB25388"/>
    <w:rsid w:val="3AB33BF5"/>
    <w:rsid w:val="3AB40624"/>
    <w:rsid w:val="3AB40CE8"/>
    <w:rsid w:val="3AB567AE"/>
    <w:rsid w:val="3AB5795C"/>
    <w:rsid w:val="3AB818B3"/>
    <w:rsid w:val="3ABA6F29"/>
    <w:rsid w:val="3ABC0139"/>
    <w:rsid w:val="3ABE28E8"/>
    <w:rsid w:val="3ABE56C2"/>
    <w:rsid w:val="3AC0768C"/>
    <w:rsid w:val="3AC24D89"/>
    <w:rsid w:val="3AC40043"/>
    <w:rsid w:val="3AC52EF5"/>
    <w:rsid w:val="3AC70A1B"/>
    <w:rsid w:val="3AC7365F"/>
    <w:rsid w:val="3AC74E92"/>
    <w:rsid w:val="3AC75562"/>
    <w:rsid w:val="3AC76C6D"/>
    <w:rsid w:val="3AC96C9F"/>
    <w:rsid w:val="3ACA22B9"/>
    <w:rsid w:val="3ACC2A06"/>
    <w:rsid w:val="3ACC4283"/>
    <w:rsid w:val="3ACD1DA9"/>
    <w:rsid w:val="3ACE78EA"/>
    <w:rsid w:val="3AD07E3B"/>
    <w:rsid w:val="3AD15E6A"/>
    <w:rsid w:val="3AD23825"/>
    <w:rsid w:val="3AD273C0"/>
    <w:rsid w:val="3AD277CE"/>
    <w:rsid w:val="3AD4709C"/>
    <w:rsid w:val="3AD640FF"/>
    <w:rsid w:val="3AD849D6"/>
    <w:rsid w:val="3AD925C9"/>
    <w:rsid w:val="3AD97F75"/>
    <w:rsid w:val="3ADB0022"/>
    <w:rsid w:val="3ADD27D5"/>
    <w:rsid w:val="3ADD5F71"/>
    <w:rsid w:val="3ADE7B13"/>
    <w:rsid w:val="3ADF714E"/>
    <w:rsid w:val="3AE0752F"/>
    <w:rsid w:val="3AE140A2"/>
    <w:rsid w:val="3AE50338"/>
    <w:rsid w:val="3AE72E6B"/>
    <w:rsid w:val="3AE830DD"/>
    <w:rsid w:val="3AE83332"/>
    <w:rsid w:val="3AE83F75"/>
    <w:rsid w:val="3AE96F87"/>
    <w:rsid w:val="3AEA7478"/>
    <w:rsid w:val="3AEB7631"/>
    <w:rsid w:val="3AEC66D3"/>
    <w:rsid w:val="3AED4B7F"/>
    <w:rsid w:val="3AF05A68"/>
    <w:rsid w:val="3AF10CB9"/>
    <w:rsid w:val="3AF37AD3"/>
    <w:rsid w:val="3AF4641E"/>
    <w:rsid w:val="3AF47BCB"/>
    <w:rsid w:val="3AF6185F"/>
    <w:rsid w:val="3AF77A81"/>
    <w:rsid w:val="3AF92B9E"/>
    <w:rsid w:val="3AFA311F"/>
    <w:rsid w:val="3AFB3969"/>
    <w:rsid w:val="3AFD63B2"/>
    <w:rsid w:val="3AFE7AC5"/>
    <w:rsid w:val="3AFF7002"/>
    <w:rsid w:val="3B005BA8"/>
    <w:rsid w:val="3B030A0D"/>
    <w:rsid w:val="3B032ED0"/>
    <w:rsid w:val="3B037370"/>
    <w:rsid w:val="3B056EFE"/>
    <w:rsid w:val="3B0633B9"/>
    <w:rsid w:val="3B066997"/>
    <w:rsid w:val="3B066B81"/>
    <w:rsid w:val="3B070E17"/>
    <w:rsid w:val="3B072BD8"/>
    <w:rsid w:val="3B07444E"/>
    <w:rsid w:val="3B081C8C"/>
    <w:rsid w:val="3B0932AE"/>
    <w:rsid w:val="3B0B0B85"/>
    <w:rsid w:val="3B0C034B"/>
    <w:rsid w:val="3B0C05C8"/>
    <w:rsid w:val="3B0E5C90"/>
    <w:rsid w:val="3B0F229E"/>
    <w:rsid w:val="3B111A40"/>
    <w:rsid w:val="3B121BA3"/>
    <w:rsid w:val="3B12309C"/>
    <w:rsid w:val="3B1326F6"/>
    <w:rsid w:val="3B135A0E"/>
    <w:rsid w:val="3B135AA1"/>
    <w:rsid w:val="3B144638"/>
    <w:rsid w:val="3B15482C"/>
    <w:rsid w:val="3B1672AC"/>
    <w:rsid w:val="3B176FF3"/>
    <w:rsid w:val="3B183024"/>
    <w:rsid w:val="3B1A3400"/>
    <w:rsid w:val="3B1B0D67"/>
    <w:rsid w:val="3B1B7E94"/>
    <w:rsid w:val="3B1E51EE"/>
    <w:rsid w:val="3B1E53B3"/>
    <w:rsid w:val="3B21011B"/>
    <w:rsid w:val="3B2157DC"/>
    <w:rsid w:val="3B23087F"/>
    <w:rsid w:val="3B23727C"/>
    <w:rsid w:val="3B247EB6"/>
    <w:rsid w:val="3B255741"/>
    <w:rsid w:val="3B292648"/>
    <w:rsid w:val="3B2A0459"/>
    <w:rsid w:val="3B2A3D28"/>
    <w:rsid w:val="3B2A4DE6"/>
    <w:rsid w:val="3B2B0729"/>
    <w:rsid w:val="3B2D16C0"/>
    <w:rsid w:val="3B2D22F3"/>
    <w:rsid w:val="3B2D2B9E"/>
    <w:rsid w:val="3B2D43E9"/>
    <w:rsid w:val="3B2F0E83"/>
    <w:rsid w:val="3B300635"/>
    <w:rsid w:val="3B3078EC"/>
    <w:rsid w:val="3B326110"/>
    <w:rsid w:val="3B331317"/>
    <w:rsid w:val="3B342994"/>
    <w:rsid w:val="3B346703"/>
    <w:rsid w:val="3B3711EB"/>
    <w:rsid w:val="3B374E9C"/>
    <w:rsid w:val="3B3B31B7"/>
    <w:rsid w:val="3B3C1B9D"/>
    <w:rsid w:val="3B3C37B7"/>
    <w:rsid w:val="3B3E435B"/>
    <w:rsid w:val="3B3F0555"/>
    <w:rsid w:val="3B3F528E"/>
    <w:rsid w:val="3B401F03"/>
    <w:rsid w:val="3B42274E"/>
    <w:rsid w:val="3B4253B9"/>
    <w:rsid w:val="3B434C68"/>
    <w:rsid w:val="3B44358E"/>
    <w:rsid w:val="3B451022"/>
    <w:rsid w:val="3B451940"/>
    <w:rsid w:val="3B452070"/>
    <w:rsid w:val="3B452CFE"/>
    <w:rsid w:val="3B464036"/>
    <w:rsid w:val="3B48012B"/>
    <w:rsid w:val="3B483EC7"/>
    <w:rsid w:val="3B4958D4"/>
    <w:rsid w:val="3B4960D5"/>
    <w:rsid w:val="3B4A1BD1"/>
    <w:rsid w:val="3B4B52F1"/>
    <w:rsid w:val="3B4E2A47"/>
    <w:rsid w:val="3B4F58A8"/>
    <w:rsid w:val="3B510BAF"/>
    <w:rsid w:val="3B514788"/>
    <w:rsid w:val="3B5314BE"/>
    <w:rsid w:val="3B550998"/>
    <w:rsid w:val="3B56085F"/>
    <w:rsid w:val="3B5906BD"/>
    <w:rsid w:val="3B5A363D"/>
    <w:rsid w:val="3B5A5C52"/>
    <w:rsid w:val="3B5B73B5"/>
    <w:rsid w:val="3B5C2C7C"/>
    <w:rsid w:val="3B5E2708"/>
    <w:rsid w:val="3B5F0C53"/>
    <w:rsid w:val="3B612ACA"/>
    <w:rsid w:val="3B620215"/>
    <w:rsid w:val="3B621EEF"/>
    <w:rsid w:val="3B62230A"/>
    <w:rsid w:val="3B631480"/>
    <w:rsid w:val="3B6444BC"/>
    <w:rsid w:val="3B69376B"/>
    <w:rsid w:val="3B6A13A1"/>
    <w:rsid w:val="3B6C3370"/>
    <w:rsid w:val="3B6C34B6"/>
    <w:rsid w:val="3B6C3ADB"/>
    <w:rsid w:val="3B6E46FF"/>
    <w:rsid w:val="3B70021C"/>
    <w:rsid w:val="3B701357"/>
    <w:rsid w:val="3B710987"/>
    <w:rsid w:val="3B715A02"/>
    <w:rsid w:val="3B7213F4"/>
    <w:rsid w:val="3B725E37"/>
    <w:rsid w:val="3B725FEC"/>
    <w:rsid w:val="3B73164C"/>
    <w:rsid w:val="3B7346FF"/>
    <w:rsid w:val="3B740936"/>
    <w:rsid w:val="3B742225"/>
    <w:rsid w:val="3B756CE0"/>
    <w:rsid w:val="3B7823A5"/>
    <w:rsid w:val="3B7A35AB"/>
    <w:rsid w:val="3B7B2D0F"/>
    <w:rsid w:val="3B7C157E"/>
    <w:rsid w:val="3B7C16BF"/>
    <w:rsid w:val="3B7D732B"/>
    <w:rsid w:val="3B7F1C4D"/>
    <w:rsid w:val="3B7F30A4"/>
    <w:rsid w:val="3B815E78"/>
    <w:rsid w:val="3B815FB2"/>
    <w:rsid w:val="3B822519"/>
    <w:rsid w:val="3B831518"/>
    <w:rsid w:val="3B850284"/>
    <w:rsid w:val="3B854432"/>
    <w:rsid w:val="3B8647C9"/>
    <w:rsid w:val="3B8669F9"/>
    <w:rsid w:val="3B872A81"/>
    <w:rsid w:val="3B8738E2"/>
    <w:rsid w:val="3B8C03D4"/>
    <w:rsid w:val="3B903503"/>
    <w:rsid w:val="3B90709B"/>
    <w:rsid w:val="3B917733"/>
    <w:rsid w:val="3B921747"/>
    <w:rsid w:val="3B9259C0"/>
    <w:rsid w:val="3B936B6B"/>
    <w:rsid w:val="3B945B80"/>
    <w:rsid w:val="3B946236"/>
    <w:rsid w:val="3B9528C7"/>
    <w:rsid w:val="3B95762E"/>
    <w:rsid w:val="3B967BC8"/>
    <w:rsid w:val="3B985A22"/>
    <w:rsid w:val="3B9924F6"/>
    <w:rsid w:val="3B9939EB"/>
    <w:rsid w:val="3B9A2379"/>
    <w:rsid w:val="3B9A3184"/>
    <w:rsid w:val="3B9A68C9"/>
    <w:rsid w:val="3B9B1417"/>
    <w:rsid w:val="3B9C68DB"/>
    <w:rsid w:val="3B9C6C07"/>
    <w:rsid w:val="3B9D4728"/>
    <w:rsid w:val="3B9E70B5"/>
    <w:rsid w:val="3BA140E5"/>
    <w:rsid w:val="3BA24FE4"/>
    <w:rsid w:val="3BA37E03"/>
    <w:rsid w:val="3BA555E0"/>
    <w:rsid w:val="3BA67334"/>
    <w:rsid w:val="3BA6736E"/>
    <w:rsid w:val="3BA70309"/>
    <w:rsid w:val="3BA725FA"/>
    <w:rsid w:val="3BA82BFD"/>
    <w:rsid w:val="3BA8428B"/>
    <w:rsid w:val="3BAC0042"/>
    <w:rsid w:val="3BAC56EF"/>
    <w:rsid w:val="3BAC736A"/>
    <w:rsid w:val="3BAC7886"/>
    <w:rsid w:val="3BAD1C8A"/>
    <w:rsid w:val="3BB059EC"/>
    <w:rsid w:val="3BB074B1"/>
    <w:rsid w:val="3BB224BC"/>
    <w:rsid w:val="3BB227C9"/>
    <w:rsid w:val="3BB2349B"/>
    <w:rsid w:val="3BB24593"/>
    <w:rsid w:val="3BB30B9B"/>
    <w:rsid w:val="3BB353BA"/>
    <w:rsid w:val="3BB35FC5"/>
    <w:rsid w:val="3BB46B78"/>
    <w:rsid w:val="3BB55014"/>
    <w:rsid w:val="3BB72853"/>
    <w:rsid w:val="3BB80C52"/>
    <w:rsid w:val="3BB82AA1"/>
    <w:rsid w:val="3BB90DDF"/>
    <w:rsid w:val="3BB947C9"/>
    <w:rsid w:val="3BBA0580"/>
    <w:rsid w:val="3BBB5CD9"/>
    <w:rsid w:val="3BBC57A6"/>
    <w:rsid w:val="3BBC7104"/>
    <w:rsid w:val="3BBD1E1E"/>
    <w:rsid w:val="3BBF1326"/>
    <w:rsid w:val="3BC00339"/>
    <w:rsid w:val="3BC06454"/>
    <w:rsid w:val="3BC2183B"/>
    <w:rsid w:val="3BC25DE6"/>
    <w:rsid w:val="3BC32759"/>
    <w:rsid w:val="3BC50684"/>
    <w:rsid w:val="3BC57B8F"/>
    <w:rsid w:val="3BC57D88"/>
    <w:rsid w:val="3BC71477"/>
    <w:rsid w:val="3BC767F9"/>
    <w:rsid w:val="3BC779A0"/>
    <w:rsid w:val="3BC80FC4"/>
    <w:rsid w:val="3BC8585A"/>
    <w:rsid w:val="3BC9416E"/>
    <w:rsid w:val="3BC9431F"/>
    <w:rsid w:val="3BC9502C"/>
    <w:rsid w:val="3BC97F6B"/>
    <w:rsid w:val="3BCA2E89"/>
    <w:rsid w:val="3BCA412D"/>
    <w:rsid w:val="3BCB453B"/>
    <w:rsid w:val="3BCB7A9A"/>
    <w:rsid w:val="3BCD3B2E"/>
    <w:rsid w:val="3BCE19ED"/>
    <w:rsid w:val="3BD50F16"/>
    <w:rsid w:val="3BD51050"/>
    <w:rsid w:val="3BD57167"/>
    <w:rsid w:val="3BD62F72"/>
    <w:rsid w:val="3BD648D2"/>
    <w:rsid w:val="3BD648E1"/>
    <w:rsid w:val="3BD8163B"/>
    <w:rsid w:val="3BD86FEC"/>
    <w:rsid w:val="3BDA44C7"/>
    <w:rsid w:val="3BDB07BA"/>
    <w:rsid w:val="3BDB4052"/>
    <w:rsid w:val="3BDB4FD0"/>
    <w:rsid w:val="3BDB5B18"/>
    <w:rsid w:val="3BDC3532"/>
    <w:rsid w:val="3BDC53B4"/>
    <w:rsid w:val="3BDD601C"/>
    <w:rsid w:val="3BDE2D51"/>
    <w:rsid w:val="3BDF30E8"/>
    <w:rsid w:val="3BE0777E"/>
    <w:rsid w:val="3BE1036C"/>
    <w:rsid w:val="3BE13381"/>
    <w:rsid w:val="3BE13D5E"/>
    <w:rsid w:val="3BE159A5"/>
    <w:rsid w:val="3BE23534"/>
    <w:rsid w:val="3BE41159"/>
    <w:rsid w:val="3BE4288F"/>
    <w:rsid w:val="3BE47A60"/>
    <w:rsid w:val="3BE526C4"/>
    <w:rsid w:val="3BE72235"/>
    <w:rsid w:val="3BE72836"/>
    <w:rsid w:val="3BE825E9"/>
    <w:rsid w:val="3BE949C1"/>
    <w:rsid w:val="3BE94C92"/>
    <w:rsid w:val="3BEC5A1E"/>
    <w:rsid w:val="3BEC66DA"/>
    <w:rsid w:val="3BED5A28"/>
    <w:rsid w:val="3BEE0229"/>
    <w:rsid w:val="3BF03194"/>
    <w:rsid w:val="3BF176A1"/>
    <w:rsid w:val="3BF27ADE"/>
    <w:rsid w:val="3BF3170A"/>
    <w:rsid w:val="3BF70E8C"/>
    <w:rsid w:val="3BF81D69"/>
    <w:rsid w:val="3BF84CC8"/>
    <w:rsid w:val="3BF93292"/>
    <w:rsid w:val="3BF9343C"/>
    <w:rsid w:val="3BF96B98"/>
    <w:rsid w:val="3BFC23F3"/>
    <w:rsid w:val="3BFC68FB"/>
    <w:rsid w:val="3C000C85"/>
    <w:rsid w:val="3C006EC8"/>
    <w:rsid w:val="3C0217FC"/>
    <w:rsid w:val="3C025A83"/>
    <w:rsid w:val="3C026603"/>
    <w:rsid w:val="3C0454EB"/>
    <w:rsid w:val="3C0637C5"/>
    <w:rsid w:val="3C0748C2"/>
    <w:rsid w:val="3C0815AA"/>
    <w:rsid w:val="3C08177B"/>
    <w:rsid w:val="3C0839FD"/>
    <w:rsid w:val="3C097F9F"/>
    <w:rsid w:val="3C0C1CC3"/>
    <w:rsid w:val="3C0D3479"/>
    <w:rsid w:val="3C0D7067"/>
    <w:rsid w:val="3C0F16A5"/>
    <w:rsid w:val="3C0F436B"/>
    <w:rsid w:val="3C101F4E"/>
    <w:rsid w:val="3C107D91"/>
    <w:rsid w:val="3C11070A"/>
    <w:rsid w:val="3C112EB7"/>
    <w:rsid w:val="3C12216A"/>
    <w:rsid w:val="3C125304"/>
    <w:rsid w:val="3C13085A"/>
    <w:rsid w:val="3C131844"/>
    <w:rsid w:val="3C144D18"/>
    <w:rsid w:val="3C1543CA"/>
    <w:rsid w:val="3C157564"/>
    <w:rsid w:val="3C16395B"/>
    <w:rsid w:val="3C17152E"/>
    <w:rsid w:val="3C172AFD"/>
    <w:rsid w:val="3C1A101E"/>
    <w:rsid w:val="3C1A69AE"/>
    <w:rsid w:val="3C1B088D"/>
    <w:rsid w:val="3C1B2B3E"/>
    <w:rsid w:val="3C1B517B"/>
    <w:rsid w:val="3C1C14E1"/>
    <w:rsid w:val="3C1D5E95"/>
    <w:rsid w:val="3C1F03E3"/>
    <w:rsid w:val="3C1F3E60"/>
    <w:rsid w:val="3C211D00"/>
    <w:rsid w:val="3C211DCF"/>
    <w:rsid w:val="3C2412AC"/>
    <w:rsid w:val="3C241E9D"/>
    <w:rsid w:val="3C247732"/>
    <w:rsid w:val="3C253626"/>
    <w:rsid w:val="3C256F4E"/>
    <w:rsid w:val="3C265C15"/>
    <w:rsid w:val="3C26744A"/>
    <w:rsid w:val="3C2701A9"/>
    <w:rsid w:val="3C275078"/>
    <w:rsid w:val="3C294020"/>
    <w:rsid w:val="3C2C4685"/>
    <w:rsid w:val="3C2E4B9A"/>
    <w:rsid w:val="3C2F3CE5"/>
    <w:rsid w:val="3C2F632F"/>
    <w:rsid w:val="3C3140F9"/>
    <w:rsid w:val="3C315BF1"/>
    <w:rsid w:val="3C320844"/>
    <w:rsid w:val="3C3245BA"/>
    <w:rsid w:val="3C324854"/>
    <w:rsid w:val="3C326368"/>
    <w:rsid w:val="3C332ADB"/>
    <w:rsid w:val="3C334F54"/>
    <w:rsid w:val="3C335AFF"/>
    <w:rsid w:val="3C34315C"/>
    <w:rsid w:val="3C35239A"/>
    <w:rsid w:val="3C36352B"/>
    <w:rsid w:val="3C367516"/>
    <w:rsid w:val="3C396F70"/>
    <w:rsid w:val="3C397908"/>
    <w:rsid w:val="3C397F0C"/>
    <w:rsid w:val="3C3A346E"/>
    <w:rsid w:val="3C3B4B5A"/>
    <w:rsid w:val="3C3B53EC"/>
    <w:rsid w:val="3C3C0F95"/>
    <w:rsid w:val="3C3D31E9"/>
    <w:rsid w:val="3C3E26B3"/>
    <w:rsid w:val="3C42664F"/>
    <w:rsid w:val="3C4473B2"/>
    <w:rsid w:val="3C447AF0"/>
    <w:rsid w:val="3C454CB2"/>
    <w:rsid w:val="3C46382D"/>
    <w:rsid w:val="3C470E08"/>
    <w:rsid w:val="3C492FE9"/>
    <w:rsid w:val="3C4B0B6B"/>
    <w:rsid w:val="3C4B4638"/>
    <w:rsid w:val="3C4D18B0"/>
    <w:rsid w:val="3C4D3898"/>
    <w:rsid w:val="3C4D7BDB"/>
    <w:rsid w:val="3C4F0B4F"/>
    <w:rsid w:val="3C4F2E05"/>
    <w:rsid w:val="3C505FF8"/>
    <w:rsid w:val="3C510607"/>
    <w:rsid w:val="3C522566"/>
    <w:rsid w:val="3C5600FC"/>
    <w:rsid w:val="3C561796"/>
    <w:rsid w:val="3C564B97"/>
    <w:rsid w:val="3C575DCE"/>
    <w:rsid w:val="3C581DE7"/>
    <w:rsid w:val="3C5938F5"/>
    <w:rsid w:val="3C595E14"/>
    <w:rsid w:val="3C597D99"/>
    <w:rsid w:val="3C5A0ACB"/>
    <w:rsid w:val="3C5A141B"/>
    <w:rsid w:val="3C5C324C"/>
    <w:rsid w:val="3C5D07B3"/>
    <w:rsid w:val="3C5F0D24"/>
    <w:rsid w:val="3C604984"/>
    <w:rsid w:val="3C60733E"/>
    <w:rsid w:val="3C622294"/>
    <w:rsid w:val="3C625F9F"/>
    <w:rsid w:val="3C627F63"/>
    <w:rsid w:val="3C6367BF"/>
    <w:rsid w:val="3C642545"/>
    <w:rsid w:val="3C67232D"/>
    <w:rsid w:val="3C672A7C"/>
    <w:rsid w:val="3C67348A"/>
    <w:rsid w:val="3C6779A4"/>
    <w:rsid w:val="3C686F62"/>
    <w:rsid w:val="3C687483"/>
    <w:rsid w:val="3C695373"/>
    <w:rsid w:val="3C69674F"/>
    <w:rsid w:val="3C6C3DF4"/>
    <w:rsid w:val="3C6C6155"/>
    <w:rsid w:val="3C6E4B61"/>
    <w:rsid w:val="3C700C3E"/>
    <w:rsid w:val="3C707D32"/>
    <w:rsid w:val="3C711AD8"/>
    <w:rsid w:val="3C71444E"/>
    <w:rsid w:val="3C737846"/>
    <w:rsid w:val="3C741B70"/>
    <w:rsid w:val="3C74483B"/>
    <w:rsid w:val="3C74776C"/>
    <w:rsid w:val="3C7526A2"/>
    <w:rsid w:val="3C7624AD"/>
    <w:rsid w:val="3C76652A"/>
    <w:rsid w:val="3C770B48"/>
    <w:rsid w:val="3C777FD9"/>
    <w:rsid w:val="3C793CDB"/>
    <w:rsid w:val="3C7962D9"/>
    <w:rsid w:val="3C797AF3"/>
    <w:rsid w:val="3C7B51D1"/>
    <w:rsid w:val="3C7B738B"/>
    <w:rsid w:val="3C7D1610"/>
    <w:rsid w:val="3C7D5D4A"/>
    <w:rsid w:val="3C7D7C75"/>
    <w:rsid w:val="3C7E77FF"/>
    <w:rsid w:val="3C7F0F9A"/>
    <w:rsid w:val="3C7F26B0"/>
    <w:rsid w:val="3C812106"/>
    <w:rsid w:val="3C814BF9"/>
    <w:rsid w:val="3C822EEC"/>
    <w:rsid w:val="3C824A1B"/>
    <w:rsid w:val="3C825373"/>
    <w:rsid w:val="3C830972"/>
    <w:rsid w:val="3C834E15"/>
    <w:rsid w:val="3C8365B5"/>
    <w:rsid w:val="3C8446EA"/>
    <w:rsid w:val="3C845BD5"/>
    <w:rsid w:val="3C847DBD"/>
    <w:rsid w:val="3C85293C"/>
    <w:rsid w:val="3C85783B"/>
    <w:rsid w:val="3C870DEA"/>
    <w:rsid w:val="3C876795"/>
    <w:rsid w:val="3C88242C"/>
    <w:rsid w:val="3C894412"/>
    <w:rsid w:val="3C8A4367"/>
    <w:rsid w:val="3C8A646B"/>
    <w:rsid w:val="3C8B310E"/>
    <w:rsid w:val="3C8C3CF3"/>
    <w:rsid w:val="3C8E4782"/>
    <w:rsid w:val="3C8F2D11"/>
    <w:rsid w:val="3C8F37BA"/>
    <w:rsid w:val="3C901337"/>
    <w:rsid w:val="3C902DE4"/>
    <w:rsid w:val="3C9074B5"/>
    <w:rsid w:val="3C917532"/>
    <w:rsid w:val="3C954946"/>
    <w:rsid w:val="3C954D3B"/>
    <w:rsid w:val="3C96112F"/>
    <w:rsid w:val="3C964B49"/>
    <w:rsid w:val="3C9708C1"/>
    <w:rsid w:val="3C986BD5"/>
    <w:rsid w:val="3C991F43"/>
    <w:rsid w:val="3C9A059E"/>
    <w:rsid w:val="3CA00D87"/>
    <w:rsid w:val="3CA05045"/>
    <w:rsid w:val="3CA115AD"/>
    <w:rsid w:val="3CA14F3D"/>
    <w:rsid w:val="3CA228E3"/>
    <w:rsid w:val="3CA27DBE"/>
    <w:rsid w:val="3CA371C7"/>
    <w:rsid w:val="3CA43E5C"/>
    <w:rsid w:val="3CA475F1"/>
    <w:rsid w:val="3CA57044"/>
    <w:rsid w:val="3CA676A0"/>
    <w:rsid w:val="3CA80306"/>
    <w:rsid w:val="3CA8317C"/>
    <w:rsid w:val="3CA87FDB"/>
    <w:rsid w:val="3CAB0FD6"/>
    <w:rsid w:val="3CAB59FD"/>
    <w:rsid w:val="3CAB6378"/>
    <w:rsid w:val="3CAC606F"/>
    <w:rsid w:val="3CAD0090"/>
    <w:rsid w:val="3CAE371B"/>
    <w:rsid w:val="3CAE4D92"/>
    <w:rsid w:val="3CAE632F"/>
    <w:rsid w:val="3CAF1767"/>
    <w:rsid w:val="3CAF40F6"/>
    <w:rsid w:val="3CB469EB"/>
    <w:rsid w:val="3CB541F2"/>
    <w:rsid w:val="3CB54EE8"/>
    <w:rsid w:val="3CB6098D"/>
    <w:rsid w:val="3CB626E5"/>
    <w:rsid w:val="3CB77315"/>
    <w:rsid w:val="3CB9220C"/>
    <w:rsid w:val="3CBA248A"/>
    <w:rsid w:val="3CBB075B"/>
    <w:rsid w:val="3CBC2BD6"/>
    <w:rsid w:val="3CBC30DD"/>
    <w:rsid w:val="3CBC5C91"/>
    <w:rsid w:val="3CBE0C4E"/>
    <w:rsid w:val="3CBE0F98"/>
    <w:rsid w:val="3CBF4A61"/>
    <w:rsid w:val="3CC04337"/>
    <w:rsid w:val="3CC06CD3"/>
    <w:rsid w:val="3CC10AAC"/>
    <w:rsid w:val="3CC302C9"/>
    <w:rsid w:val="3CC50F8A"/>
    <w:rsid w:val="3CC74410"/>
    <w:rsid w:val="3CC82417"/>
    <w:rsid w:val="3CC8342C"/>
    <w:rsid w:val="3CC85874"/>
    <w:rsid w:val="3CCA034E"/>
    <w:rsid w:val="3CCA510B"/>
    <w:rsid w:val="3CCA5D04"/>
    <w:rsid w:val="3CCB2319"/>
    <w:rsid w:val="3CCC7F6C"/>
    <w:rsid w:val="3CCD2CF9"/>
    <w:rsid w:val="3CCD6C33"/>
    <w:rsid w:val="3CCD7E3F"/>
    <w:rsid w:val="3CCE17E9"/>
    <w:rsid w:val="3CCE71A9"/>
    <w:rsid w:val="3CD04B26"/>
    <w:rsid w:val="3CD158F5"/>
    <w:rsid w:val="3CD15B81"/>
    <w:rsid w:val="3CD251A5"/>
    <w:rsid w:val="3CD411CD"/>
    <w:rsid w:val="3CD73725"/>
    <w:rsid w:val="3CD76D90"/>
    <w:rsid w:val="3CD77D4E"/>
    <w:rsid w:val="3CD967E3"/>
    <w:rsid w:val="3CDB10F8"/>
    <w:rsid w:val="3CDB2142"/>
    <w:rsid w:val="3CDB2529"/>
    <w:rsid w:val="3CDB2AE0"/>
    <w:rsid w:val="3CDB4424"/>
    <w:rsid w:val="3CDC26C7"/>
    <w:rsid w:val="3CDC4526"/>
    <w:rsid w:val="3CDD0544"/>
    <w:rsid w:val="3CDD0F86"/>
    <w:rsid w:val="3CDD2284"/>
    <w:rsid w:val="3CDF22CA"/>
    <w:rsid w:val="3CDF537A"/>
    <w:rsid w:val="3CE072D1"/>
    <w:rsid w:val="3CE10877"/>
    <w:rsid w:val="3CE24DF8"/>
    <w:rsid w:val="3CE25107"/>
    <w:rsid w:val="3CE30C1E"/>
    <w:rsid w:val="3CE46170"/>
    <w:rsid w:val="3CE5131E"/>
    <w:rsid w:val="3CE536FA"/>
    <w:rsid w:val="3CE53DCB"/>
    <w:rsid w:val="3CE55188"/>
    <w:rsid w:val="3CE73C8A"/>
    <w:rsid w:val="3CE753A4"/>
    <w:rsid w:val="3CEA09F1"/>
    <w:rsid w:val="3CEA279F"/>
    <w:rsid w:val="3CEA63B8"/>
    <w:rsid w:val="3CEC7C94"/>
    <w:rsid w:val="3CED2111"/>
    <w:rsid w:val="3CED6733"/>
    <w:rsid w:val="3CEE1B4E"/>
    <w:rsid w:val="3CEE6298"/>
    <w:rsid w:val="3CF22719"/>
    <w:rsid w:val="3CF37C37"/>
    <w:rsid w:val="3CF56034"/>
    <w:rsid w:val="3CF63839"/>
    <w:rsid w:val="3CF64CC4"/>
    <w:rsid w:val="3CF772CF"/>
    <w:rsid w:val="3CFB4687"/>
    <w:rsid w:val="3CFB4C73"/>
    <w:rsid w:val="3CFE26EE"/>
    <w:rsid w:val="3CFE6A73"/>
    <w:rsid w:val="3D000214"/>
    <w:rsid w:val="3D00044D"/>
    <w:rsid w:val="3D001FC2"/>
    <w:rsid w:val="3D004D34"/>
    <w:rsid w:val="3D006466"/>
    <w:rsid w:val="3D031AB2"/>
    <w:rsid w:val="3D031AD6"/>
    <w:rsid w:val="3D033860"/>
    <w:rsid w:val="3D041446"/>
    <w:rsid w:val="3D071835"/>
    <w:rsid w:val="3D075D05"/>
    <w:rsid w:val="3D09773E"/>
    <w:rsid w:val="3D097B26"/>
    <w:rsid w:val="3D0C4AC2"/>
    <w:rsid w:val="3D0D46DF"/>
    <w:rsid w:val="3D0E4EB7"/>
    <w:rsid w:val="3D0E6600"/>
    <w:rsid w:val="3D0F28C4"/>
    <w:rsid w:val="3D105C69"/>
    <w:rsid w:val="3D107E76"/>
    <w:rsid w:val="3D1176CA"/>
    <w:rsid w:val="3D127063"/>
    <w:rsid w:val="3D127F47"/>
    <w:rsid w:val="3D157ECC"/>
    <w:rsid w:val="3D16199B"/>
    <w:rsid w:val="3D175178"/>
    <w:rsid w:val="3D1919A2"/>
    <w:rsid w:val="3D1E407D"/>
    <w:rsid w:val="3D1F0595"/>
    <w:rsid w:val="3D1F250C"/>
    <w:rsid w:val="3D204579"/>
    <w:rsid w:val="3D20796B"/>
    <w:rsid w:val="3D214B9A"/>
    <w:rsid w:val="3D235C6E"/>
    <w:rsid w:val="3D235CB1"/>
    <w:rsid w:val="3D245C78"/>
    <w:rsid w:val="3D2866AF"/>
    <w:rsid w:val="3D29464A"/>
    <w:rsid w:val="3D2D091E"/>
    <w:rsid w:val="3D2D16A6"/>
    <w:rsid w:val="3D2D33D9"/>
    <w:rsid w:val="3D2D4DDD"/>
    <w:rsid w:val="3D2D5EF5"/>
    <w:rsid w:val="3D2F0AF9"/>
    <w:rsid w:val="3D3111B1"/>
    <w:rsid w:val="3D314871"/>
    <w:rsid w:val="3D320F34"/>
    <w:rsid w:val="3D32175E"/>
    <w:rsid w:val="3D3305EA"/>
    <w:rsid w:val="3D3566F0"/>
    <w:rsid w:val="3D36162F"/>
    <w:rsid w:val="3D361B91"/>
    <w:rsid w:val="3D3679ED"/>
    <w:rsid w:val="3D377695"/>
    <w:rsid w:val="3D382461"/>
    <w:rsid w:val="3D385C00"/>
    <w:rsid w:val="3D391317"/>
    <w:rsid w:val="3D39304F"/>
    <w:rsid w:val="3D3A6A73"/>
    <w:rsid w:val="3D3A734A"/>
    <w:rsid w:val="3D3B749E"/>
    <w:rsid w:val="3D3D111D"/>
    <w:rsid w:val="3D3D1424"/>
    <w:rsid w:val="3D3E0D3C"/>
    <w:rsid w:val="3D3E3E5A"/>
    <w:rsid w:val="3D3E563D"/>
    <w:rsid w:val="3D422DC3"/>
    <w:rsid w:val="3D430E10"/>
    <w:rsid w:val="3D436353"/>
    <w:rsid w:val="3D446D65"/>
    <w:rsid w:val="3D462FD9"/>
    <w:rsid w:val="3D46628D"/>
    <w:rsid w:val="3D475E43"/>
    <w:rsid w:val="3D481630"/>
    <w:rsid w:val="3D4B1A69"/>
    <w:rsid w:val="3D4D1D0F"/>
    <w:rsid w:val="3D4E1993"/>
    <w:rsid w:val="3D4F01CF"/>
    <w:rsid w:val="3D5055AA"/>
    <w:rsid w:val="3D5134CB"/>
    <w:rsid w:val="3D5216EB"/>
    <w:rsid w:val="3D527A1E"/>
    <w:rsid w:val="3D534932"/>
    <w:rsid w:val="3D5440BC"/>
    <w:rsid w:val="3D556267"/>
    <w:rsid w:val="3D5642D8"/>
    <w:rsid w:val="3D57260A"/>
    <w:rsid w:val="3D582B25"/>
    <w:rsid w:val="3D5943A5"/>
    <w:rsid w:val="3D5D48FB"/>
    <w:rsid w:val="3D5D5666"/>
    <w:rsid w:val="3D5E3F5A"/>
    <w:rsid w:val="3D5E5115"/>
    <w:rsid w:val="3D605157"/>
    <w:rsid w:val="3D605AF2"/>
    <w:rsid w:val="3D605E5D"/>
    <w:rsid w:val="3D6177C1"/>
    <w:rsid w:val="3D622000"/>
    <w:rsid w:val="3D6470AD"/>
    <w:rsid w:val="3D661CE7"/>
    <w:rsid w:val="3D677C80"/>
    <w:rsid w:val="3D687B67"/>
    <w:rsid w:val="3D691DCB"/>
    <w:rsid w:val="3D696D9D"/>
    <w:rsid w:val="3D6A64E1"/>
    <w:rsid w:val="3D6A7926"/>
    <w:rsid w:val="3D6B227E"/>
    <w:rsid w:val="3D6B6F6D"/>
    <w:rsid w:val="3D6C1B73"/>
    <w:rsid w:val="3D6C3AFB"/>
    <w:rsid w:val="3D6C7658"/>
    <w:rsid w:val="3D6E1622"/>
    <w:rsid w:val="3D6F0EF6"/>
    <w:rsid w:val="3D7031B1"/>
    <w:rsid w:val="3D714C6E"/>
    <w:rsid w:val="3D7309E6"/>
    <w:rsid w:val="3D7405F3"/>
    <w:rsid w:val="3D7604D6"/>
    <w:rsid w:val="3D762235"/>
    <w:rsid w:val="3D790D18"/>
    <w:rsid w:val="3D7A3A74"/>
    <w:rsid w:val="3D7A6218"/>
    <w:rsid w:val="3D7A6E34"/>
    <w:rsid w:val="3D7B0B66"/>
    <w:rsid w:val="3D7B428A"/>
    <w:rsid w:val="3D7B5FA8"/>
    <w:rsid w:val="3D7B64A3"/>
    <w:rsid w:val="3D7C34EE"/>
    <w:rsid w:val="3D7C3F5F"/>
    <w:rsid w:val="3D7C4E17"/>
    <w:rsid w:val="3D7C6E63"/>
    <w:rsid w:val="3D7D035D"/>
    <w:rsid w:val="3D7E729D"/>
    <w:rsid w:val="3D820C29"/>
    <w:rsid w:val="3D842320"/>
    <w:rsid w:val="3D842C27"/>
    <w:rsid w:val="3D8449A1"/>
    <w:rsid w:val="3D85615E"/>
    <w:rsid w:val="3D86277C"/>
    <w:rsid w:val="3D89020A"/>
    <w:rsid w:val="3D8A4709"/>
    <w:rsid w:val="3D8A4880"/>
    <w:rsid w:val="3D8C3E49"/>
    <w:rsid w:val="3D8E24FD"/>
    <w:rsid w:val="3D8F3067"/>
    <w:rsid w:val="3D8F337B"/>
    <w:rsid w:val="3D912420"/>
    <w:rsid w:val="3D9221B3"/>
    <w:rsid w:val="3D923583"/>
    <w:rsid w:val="3D927FE5"/>
    <w:rsid w:val="3D930AD3"/>
    <w:rsid w:val="3D932F0A"/>
    <w:rsid w:val="3D94624D"/>
    <w:rsid w:val="3D963B59"/>
    <w:rsid w:val="3D976B0F"/>
    <w:rsid w:val="3D983AFE"/>
    <w:rsid w:val="3D9A1E17"/>
    <w:rsid w:val="3D9A6014"/>
    <w:rsid w:val="3D9A76FB"/>
    <w:rsid w:val="3D9A797A"/>
    <w:rsid w:val="3D9F11BC"/>
    <w:rsid w:val="3DA25ED8"/>
    <w:rsid w:val="3DA2733D"/>
    <w:rsid w:val="3DA55E44"/>
    <w:rsid w:val="3DAA1791"/>
    <w:rsid w:val="3DAA3C7D"/>
    <w:rsid w:val="3DAB01E8"/>
    <w:rsid w:val="3DAB2A6B"/>
    <w:rsid w:val="3DAC6CC2"/>
    <w:rsid w:val="3DAE1A1E"/>
    <w:rsid w:val="3DB127AC"/>
    <w:rsid w:val="3DB361A7"/>
    <w:rsid w:val="3DB4423A"/>
    <w:rsid w:val="3DB54043"/>
    <w:rsid w:val="3DB5782E"/>
    <w:rsid w:val="3DB64DA9"/>
    <w:rsid w:val="3DB6523D"/>
    <w:rsid w:val="3DB66B25"/>
    <w:rsid w:val="3DB72876"/>
    <w:rsid w:val="3DB77C4E"/>
    <w:rsid w:val="3DB9671C"/>
    <w:rsid w:val="3DBA485E"/>
    <w:rsid w:val="3DBA6615"/>
    <w:rsid w:val="3DBB1C4B"/>
    <w:rsid w:val="3DBD1258"/>
    <w:rsid w:val="3DBD1D29"/>
    <w:rsid w:val="3DBD4389"/>
    <w:rsid w:val="3DBD581D"/>
    <w:rsid w:val="3DBD6105"/>
    <w:rsid w:val="3DBE3572"/>
    <w:rsid w:val="3DBE3AF9"/>
    <w:rsid w:val="3DBE543C"/>
    <w:rsid w:val="3DBF00CF"/>
    <w:rsid w:val="3DBF6700"/>
    <w:rsid w:val="3DC02614"/>
    <w:rsid w:val="3DC20F0F"/>
    <w:rsid w:val="3DC32E1A"/>
    <w:rsid w:val="3DC33DF0"/>
    <w:rsid w:val="3DC717E7"/>
    <w:rsid w:val="3DC76A83"/>
    <w:rsid w:val="3DC76F84"/>
    <w:rsid w:val="3DC84BCA"/>
    <w:rsid w:val="3DC92970"/>
    <w:rsid w:val="3DCA1869"/>
    <w:rsid w:val="3DCC66DC"/>
    <w:rsid w:val="3DCD0D0C"/>
    <w:rsid w:val="3DCF044F"/>
    <w:rsid w:val="3DD00F15"/>
    <w:rsid w:val="3DD1584D"/>
    <w:rsid w:val="3DD27A1C"/>
    <w:rsid w:val="3DD33BAF"/>
    <w:rsid w:val="3DD368CE"/>
    <w:rsid w:val="3DD4170C"/>
    <w:rsid w:val="3DD47E24"/>
    <w:rsid w:val="3DD52610"/>
    <w:rsid w:val="3DD5344F"/>
    <w:rsid w:val="3DD552FF"/>
    <w:rsid w:val="3DD60F75"/>
    <w:rsid w:val="3DD63CC0"/>
    <w:rsid w:val="3DD66721"/>
    <w:rsid w:val="3DD82F3F"/>
    <w:rsid w:val="3DD854A4"/>
    <w:rsid w:val="3DDA0A65"/>
    <w:rsid w:val="3DDA1F06"/>
    <w:rsid w:val="3DDC1545"/>
    <w:rsid w:val="3DDC316C"/>
    <w:rsid w:val="3DDC61D1"/>
    <w:rsid w:val="3DDD0555"/>
    <w:rsid w:val="3DDE4B72"/>
    <w:rsid w:val="3DE0035C"/>
    <w:rsid w:val="3DE1004C"/>
    <w:rsid w:val="3DE10BB3"/>
    <w:rsid w:val="3DE13508"/>
    <w:rsid w:val="3DE16A74"/>
    <w:rsid w:val="3DE23DBE"/>
    <w:rsid w:val="3DE2791A"/>
    <w:rsid w:val="3DE40805"/>
    <w:rsid w:val="3DE57EBB"/>
    <w:rsid w:val="3DE75D8A"/>
    <w:rsid w:val="3DE84774"/>
    <w:rsid w:val="3DE85D9F"/>
    <w:rsid w:val="3DE95A11"/>
    <w:rsid w:val="3DE95FD7"/>
    <w:rsid w:val="3DEA4DFF"/>
    <w:rsid w:val="3DEA51FF"/>
    <w:rsid w:val="3DED3F4B"/>
    <w:rsid w:val="3DEE08F9"/>
    <w:rsid w:val="3DEF09E3"/>
    <w:rsid w:val="3DEF4B51"/>
    <w:rsid w:val="3DF04440"/>
    <w:rsid w:val="3DF067DF"/>
    <w:rsid w:val="3DF12C92"/>
    <w:rsid w:val="3DF21B38"/>
    <w:rsid w:val="3DF22025"/>
    <w:rsid w:val="3DF3096F"/>
    <w:rsid w:val="3DF32032"/>
    <w:rsid w:val="3DF321A8"/>
    <w:rsid w:val="3DF32497"/>
    <w:rsid w:val="3DF61F08"/>
    <w:rsid w:val="3DF64874"/>
    <w:rsid w:val="3DF67FEB"/>
    <w:rsid w:val="3DF721EA"/>
    <w:rsid w:val="3DF80EEB"/>
    <w:rsid w:val="3DF84269"/>
    <w:rsid w:val="3DFA222C"/>
    <w:rsid w:val="3DFD24EF"/>
    <w:rsid w:val="3DFE082C"/>
    <w:rsid w:val="3DFE16DD"/>
    <w:rsid w:val="3E031D5B"/>
    <w:rsid w:val="3E033EC8"/>
    <w:rsid w:val="3E040E8B"/>
    <w:rsid w:val="3E07429D"/>
    <w:rsid w:val="3E083824"/>
    <w:rsid w:val="3E0B0C1F"/>
    <w:rsid w:val="3E0B16B7"/>
    <w:rsid w:val="3E0D39B6"/>
    <w:rsid w:val="3E0E2682"/>
    <w:rsid w:val="3E107D22"/>
    <w:rsid w:val="3E114195"/>
    <w:rsid w:val="3E130E71"/>
    <w:rsid w:val="3E137D38"/>
    <w:rsid w:val="3E144004"/>
    <w:rsid w:val="3E162E51"/>
    <w:rsid w:val="3E16433C"/>
    <w:rsid w:val="3E16647C"/>
    <w:rsid w:val="3E1813C1"/>
    <w:rsid w:val="3E184036"/>
    <w:rsid w:val="3E184A52"/>
    <w:rsid w:val="3E197BF3"/>
    <w:rsid w:val="3E1A0C2D"/>
    <w:rsid w:val="3E1A4E2A"/>
    <w:rsid w:val="3E1B1339"/>
    <w:rsid w:val="3E1B735B"/>
    <w:rsid w:val="3E1C107E"/>
    <w:rsid w:val="3E2148E6"/>
    <w:rsid w:val="3E216694"/>
    <w:rsid w:val="3E2249EA"/>
    <w:rsid w:val="3E2303A4"/>
    <w:rsid w:val="3E237759"/>
    <w:rsid w:val="3E241CE0"/>
    <w:rsid w:val="3E242F07"/>
    <w:rsid w:val="3E2449A7"/>
    <w:rsid w:val="3E2456A6"/>
    <w:rsid w:val="3E24613F"/>
    <w:rsid w:val="3E25738F"/>
    <w:rsid w:val="3E28722F"/>
    <w:rsid w:val="3E29379B"/>
    <w:rsid w:val="3E29390D"/>
    <w:rsid w:val="3E2B12C1"/>
    <w:rsid w:val="3E2B66CE"/>
    <w:rsid w:val="3E2B6EA5"/>
    <w:rsid w:val="3E2D328B"/>
    <w:rsid w:val="3E2D38EE"/>
    <w:rsid w:val="3E2D4CDC"/>
    <w:rsid w:val="3E2D62DB"/>
    <w:rsid w:val="3E2D6A23"/>
    <w:rsid w:val="3E2D7BAF"/>
    <w:rsid w:val="3E2E62DF"/>
    <w:rsid w:val="3E2E7003"/>
    <w:rsid w:val="3E2F1AF3"/>
    <w:rsid w:val="3E3005E4"/>
    <w:rsid w:val="3E3100AD"/>
    <w:rsid w:val="3E337AC5"/>
    <w:rsid w:val="3E350D46"/>
    <w:rsid w:val="3E3529ED"/>
    <w:rsid w:val="3E370934"/>
    <w:rsid w:val="3E372A66"/>
    <w:rsid w:val="3E397678"/>
    <w:rsid w:val="3E3A3052"/>
    <w:rsid w:val="3E3B2461"/>
    <w:rsid w:val="3E3C3672"/>
    <w:rsid w:val="3E3C3E61"/>
    <w:rsid w:val="3E3D05B6"/>
    <w:rsid w:val="3E3E013F"/>
    <w:rsid w:val="3E3F35C3"/>
    <w:rsid w:val="3E400A58"/>
    <w:rsid w:val="3E41473A"/>
    <w:rsid w:val="3E42109B"/>
    <w:rsid w:val="3E424517"/>
    <w:rsid w:val="3E43680F"/>
    <w:rsid w:val="3E4520F7"/>
    <w:rsid w:val="3E4568E3"/>
    <w:rsid w:val="3E457BB4"/>
    <w:rsid w:val="3E462E24"/>
    <w:rsid w:val="3E4660FB"/>
    <w:rsid w:val="3E47457D"/>
    <w:rsid w:val="3E4E023A"/>
    <w:rsid w:val="3E4F2FC3"/>
    <w:rsid w:val="3E5016AD"/>
    <w:rsid w:val="3E503007"/>
    <w:rsid w:val="3E506F79"/>
    <w:rsid w:val="3E50759A"/>
    <w:rsid w:val="3E5139E4"/>
    <w:rsid w:val="3E524A9F"/>
    <w:rsid w:val="3E535736"/>
    <w:rsid w:val="3E570308"/>
    <w:rsid w:val="3E5755E5"/>
    <w:rsid w:val="3E583D38"/>
    <w:rsid w:val="3E592176"/>
    <w:rsid w:val="3E595E2E"/>
    <w:rsid w:val="3E5A4AC0"/>
    <w:rsid w:val="3E5C270D"/>
    <w:rsid w:val="3E5D1F87"/>
    <w:rsid w:val="3E5E074C"/>
    <w:rsid w:val="3E6029F3"/>
    <w:rsid w:val="3E610FB8"/>
    <w:rsid w:val="3E635290"/>
    <w:rsid w:val="3E640A5C"/>
    <w:rsid w:val="3E641245"/>
    <w:rsid w:val="3E641CA4"/>
    <w:rsid w:val="3E642A25"/>
    <w:rsid w:val="3E670B09"/>
    <w:rsid w:val="3E68075C"/>
    <w:rsid w:val="3E685029"/>
    <w:rsid w:val="3E694A70"/>
    <w:rsid w:val="3E6B1C62"/>
    <w:rsid w:val="3E6B38A4"/>
    <w:rsid w:val="3E6B790F"/>
    <w:rsid w:val="3E6C1E03"/>
    <w:rsid w:val="3E6D3687"/>
    <w:rsid w:val="3E6D7F81"/>
    <w:rsid w:val="3E6E54AF"/>
    <w:rsid w:val="3E6F513F"/>
    <w:rsid w:val="3E7064AC"/>
    <w:rsid w:val="3E7166F9"/>
    <w:rsid w:val="3E725A30"/>
    <w:rsid w:val="3E732AC0"/>
    <w:rsid w:val="3E734A16"/>
    <w:rsid w:val="3E741839"/>
    <w:rsid w:val="3E7664EC"/>
    <w:rsid w:val="3E766CB4"/>
    <w:rsid w:val="3E777966"/>
    <w:rsid w:val="3E780F05"/>
    <w:rsid w:val="3E7964D0"/>
    <w:rsid w:val="3E7A1C90"/>
    <w:rsid w:val="3E7A446C"/>
    <w:rsid w:val="3E7C4BFF"/>
    <w:rsid w:val="3E7E2152"/>
    <w:rsid w:val="3E7E3BDF"/>
    <w:rsid w:val="3E7F15C5"/>
    <w:rsid w:val="3E7F33BB"/>
    <w:rsid w:val="3E80523B"/>
    <w:rsid w:val="3E810EE1"/>
    <w:rsid w:val="3E815E14"/>
    <w:rsid w:val="3E823A64"/>
    <w:rsid w:val="3E823CC7"/>
    <w:rsid w:val="3E82485B"/>
    <w:rsid w:val="3E832816"/>
    <w:rsid w:val="3E8573E5"/>
    <w:rsid w:val="3E860BED"/>
    <w:rsid w:val="3E86206A"/>
    <w:rsid w:val="3E86394A"/>
    <w:rsid w:val="3E8644AC"/>
    <w:rsid w:val="3E86719B"/>
    <w:rsid w:val="3E8912B2"/>
    <w:rsid w:val="3E897B14"/>
    <w:rsid w:val="3E8B6203"/>
    <w:rsid w:val="3E8D2843"/>
    <w:rsid w:val="3E8D5AD7"/>
    <w:rsid w:val="3E8E35FE"/>
    <w:rsid w:val="3E8E7063"/>
    <w:rsid w:val="3E8F5A64"/>
    <w:rsid w:val="3E9108DA"/>
    <w:rsid w:val="3E92628C"/>
    <w:rsid w:val="3E935395"/>
    <w:rsid w:val="3E951F7E"/>
    <w:rsid w:val="3E95498C"/>
    <w:rsid w:val="3E955D97"/>
    <w:rsid w:val="3E991ECF"/>
    <w:rsid w:val="3E9C056A"/>
    <w:rsid w:val="3E9C147C"/>
    <w:rsid w:val="3E9C19B0"/>
    <w:rsid w:val="3E9C3F6D"/>
    <w:rsid w:val="3E9C533C"/>
    <w:rsid w:val="3E9E26CA"/>
    <w:rsid w:val="3E9E5F37"/>
    <w:rsid w:val="3E9E7CE5"/>
    <w:rsid w:val="3E9F0F73"/>
    <w:rsid w:val="3E9F1194"/>
    <w:rsid w:val="3E9F1486"/>
    <w:rsid w:val="3E9F1D3A"/>
    <w:rsid w:val="3E9F211B"/>
    <w:rsid w:val="3E9F347B"/>
    <w:rsid w:val="3E9F7D59"/>
    <w:rsid w:val="3EA153B0"/>
    <w:rsid w:val="3EA34660"/>
    <w:rsid w:val="3EA6303D"/>
    <w:rsid w:val="3EA63485"/>
    <w:rsid w:val="3EA70F9B"/>
    <w:rsid w:val="3EA80B63"/>
    <w:rsid w:val="3EA846BF"/>
    <w:rsid w:val="3EA858E7"/>
    <w:rsid w:val="3EA85C6E"/>
    <w:rsid w:val="3EAA512C"/>
    <w:rsid w:val="3EAC29A7"/>
    <w:rsid w:val="3EAD511D"/>
    <w:rsid w:val="3EAD617A"/>
    <w:rsid w:val="3EAE3246"/>
    <w:rsid w:val="3EAF1EF2"/>
    <w:rsid w:val="3EAF2B6F"/>
    <w:rsid w:val="3EB02CBF"/>
    <w:rsid w:val="3EB0716B"/>
    <w:rsid w:val="3EB210DD"/>
    <w:rsid w:val="3EB24CAD"/>
    <w:rsid w:val="3EB25115"/>
    <w:rsid w:val="3EB37434"/>
    <w:rsid w:val="3EB44C7C"/>
    <w:rsid w:val="3EB46ABE"/>
    <w:rsid w:val="3EB53D70"/>
    <w:rsid w:val="3EB91539"/>
    <w:rsid w:val="3EBD201C"/>
    <w:rsid w:val="3EBD56B8"/>
    <w:rsid w:val="3EBD7EE1"/>
    <w:rsid w:val="3EBE2B46"/>
    <w:rsid w:val="3EBF1A09"/>
    <w:rsid w:val="3EBF271F"/>
    <w:rsid w:val="3EBF2959"/>
    <w:rsid w:val="3EBF2FEC"/>
    <w:rsid w:val="3EBF502E"/>
    <w:rsid w:val="3EBF7C5B"/>
    <w:rsid w:val="3EC44454"/>
    <w:rsid w:val="3EC50118"/>
    <w:rsid w:val="3EC51715"/>
    <w:rsid w:val="3EC519BE"/>
    <w:rsid w:val="3EC56AB2"/>
    <w:rsid w:val="3EC56E63"/>
    <w:rsid w:val="3EC60A53"/>
    <w:rsid w:val="3EC647A9"/>
    <w:rsid w:val="3EC777CA"/>
    <w:rsid w:val="3EC91747"/>
    <w:rsid w:val="3EC94CC5"/>
    <w:rsid w:val="3ECA0ADA"/>
    <w:rsid w:val="3ECB08D6"/>
    <w:rsid w:val="3ECB7E95"/>
    <w:rsid w:val="3ECD6EAA"/>
    <w:rsid w:val="3ECF7A14"/>
    <w:rsid w:val="3ED00C3C"/>
    <w:rsid w:val="3ED01E68"/>
    <w:rsid w:val="3ED0391F"/>
    <w:rsid w:val="3ED05F39"/>
    <w:rsid w:val="3ED100BA"/>
    <w:rsid w:val="3ED1331F"/>
    <w:rsid w:val="3ED2205D"/>
    <w:rsid w:val="3ED34DFA"/>
    <w:rsid w:val="3ED41958"/>
    <w:rsid w:val="3ED454B4"/>
    <w:rsid w:val="3ED665A4"/>
    <w:rsid w:val="3ED6747E"/>
    <w:rsid w:val="3ED81BA2"/>
    <w:rsid w:val="3ED850D3"/>
    <w:rsid w:val="3ED86B76"/>
    <w:rsid w:val="3EDB0FDC"/>
    <w:rsid w:val="3EDB13A4"/>
    <w:rsid w:val="3EDC35E4"/>
    <w:rsid w:val="3EDD2E79"/>
    <w:rsid w:val="3EE002A1"/>
    <w:rsid w:val="3EE004CF"/>
    <w:rsid w:val="3EE0120B"/>
    <w:rsid w:val="3EE145C6"/>
    <w:rsid w:val="3EE50F64"/>
    <w:rsid w:val="3EE62480"/>
    <w:rsid w:val="3EE648AA"/>
    <w:rsid w:val="3EE82611"/>
    <w:rsid w:val="3EE92B02"/>
    <w:rsid w:val="3EEA4CD8"/>
    <w:rsid w:val="3EEB6EB0"/>
    <w:rsid w:val="3EED17D0"/>
    <w:rsid w:val="3EED5B01"/>
    <w:rsid w:val="3EEE174A"/>
    <w:rsid w:val="3EF02927"/>
    <w:rsid w:val="3EF05D19"/>
    <w:rsid w:val="3EF072FA"/>
    <w:rsid w:val="3EF20030"/>
    <w:rsid w:val="3EF363E0"/>
    <w:rsid w:val="3EF376E4"/>
    <w:rsid w:val="3EF43270"/>
    <w:rsid w:val="3EF4622D"/>
    <w:rsid w:val="3EF50744"/>
    <w:rsid w:val="3EF566CC"/>
    <w:rsid w:val="3EF60C2B"/>
    <w:rsid w:val="3EF75647"/>
    <w:rsid w:val="3EF76BEA"/>
    <w:rsid w:val="3EF868E3"/>
    <w:rsid w:val="3EFB48F4"/>
    <w:rsid w:val="3EFB5D3C"/>
    <w:rsid w:val="3EFF14C1"/>
    <w:rsid w:val="3EFF7433"/>
    <w:rsid w:val="3EFF797D"/>
    <w:rsid w:val="3F002A75"/>
    <w:rsid w:val="3F006809"/>
    <w:rsid w:val="3F0071E4"/>
    <w:rsid w:val="3F011C8B"/>
    <w:rsid w:val="3F012B82"/>
    <w:rsid w:val="3F025F5E"/>
    <w:rsid w:val="3F0264C5"/>
    <w:rsid w:val="3F032184"/>
    <w:rsid w:val="3F0367FA"/>
    <w:rsid w:val="3F051FBF"/>
    <w:rsid w:val="3F05660B"/>
    <w:rsid w:val="3F0571B1"/>
    <w:rsid w:val="3F071F0D"/>
    <w:rsid w:val="3F075E88"/>
    <w:rsid w:val="3F087854"/>
    <w:rsid w:val="3F0A35CC"/>
    <w:rsid w:val="3F0A38C9"/>
    <w:rsid w:val="3F0A48DA"/>
    <w:rsid w:val="3F0B0FB8"/>
    <w:rsid w:val="3F0B529D"/>
    <w:rsid w:val="3F0C3F2B"/>
    <w:rsid w:val="3F0D6C58"/>
    <w:rsid w:val="3F0F17F8"/>
    <w:rsid w:val="3F0F5F91"/>
    <w:rsid w:val="3F1118BB"/>
    <w:rsid w:val="3F152FAD"/>
    <w:rsid w:val="3F171676"/>
    <w:rsid w:val="3F1A0FBD"/>
    <w:rsid w:val="3F1B30E3"/>
    <w:rsid w:val="3F1B7587"/>
    <w:rsid w:val="3F1E5189"/>
    <w:rsid w:val="3F1F0668"/>
    <w:rsid w:val="3F1F32BB"/>
    <w:rsid w:val="3F1F4257"/>
    <w:rsid w:val="3F1F5DC4"/>
    <w:rsid w:val="3F2006FA"/>
    <w:rsid w:val="3F2017F9"/>
    <w:rsid w:val="3F207766"/>
    <w:rsid w:val="3F2135B2"/>
    <w:rsid w:val="3F230FEA"/>
    <w:rsid w:val="3F231323"/>
    <w:rsid w:val="3F251C7A"/>
    <w:rsid w:val="3F295AA5"/>
    <w:rsid w:val="3F2A1772"/>
    <w:rsid w:val="3F2A5A1C"/>
    <w:rsid w:val="3F2A735E"/>
    <w:rsid w:val="3F2A7F57"/>
    <w:rsid w:val="3F2D22EA"/>
    <w:rsid w:val="3F2E0225"/>
    <w:rsid w:val="3F3118BE"/>
    <w:rsid w:val="3F32667F"/>
    <w:rsid w:val="3F3411E7"/>
    <w:rsid w:val="3F35003B"/>
    <w:rsid w:val="3F3643C1"/>
    <w:rsid w:val="3F367BA9"/>
    <w:rsid w:val="3F377278"/>
    <w:rsid w:val="3F3A3742"/>
    <w:rsid w:val="3F3A4B7F"/>
    <w:rsid w:val="3F3C627A"/>
    <w:rsid w:val="3F3E27B9"/>
    <w:rsid w:val="3F3E5E6A"/>
    <w:rsid w:val="3F3E7CB4"/>
    <w:rsid w:val="3F3F12D6"/>
    <w:rsid w:val="3F3F1EF5"/>
    <w:rsid w:val="3F3F31EA"/>
    <w:rsid w:val="3F421B8E"/>
    <w:rsid w:val="3F4225CA"/>
    <w:rsid w:val="3F451B71"/>
    <w:rsid w:val="3F460D44"/>
    <w:rsid w:val="3F462C97"/>
    <w:rsid w:val="3F465E11"/>
    <w:rsid w:val="3F473D44"/>
    <w:rsid w:val="3F483DFB"/>
    <w:rsid w:val="3F492CA6"/>
    <w:rsid w:val="3F49796D"/>
    <w:rsid w:val="3F4A39C9"/>
    <w:rsid w:val="3F4A407F"/>
    <w:rsid w:val="3F4B26DE"/>
    <w:rsid w:val="3F4D438F"/>
    <w:rsid w:val="3F4D5317"/>
    <w:rsid w:val="3F4D7431"/>
    <w:rsid w:val="3F4E289D"/>
    <w:rsid w:val="3F4E6A98"/>
    <w:rsid w:val="3F512FA9"/>
    <w:rsid w:val="3F520ACF"/>
    <w:rsid w:val="3F5221BF"/>
    <w:rsid w:val="3F52287D"/>
    <w:rsid w:val="3F533C81"/>
    <w:rsid w:val="3F536162"/>
    <w:rsid w:val="3F5509F1"/>
    <w:rsid w:val="3F56457E"/>
    <w:rsid w:val="3F566811"/>
    <w:rsid w:val="3F571767"/>
    <w:rsid w:val="3F57308D"/>
    <w:rsid w:val="3F574C3E"/>
    <w:rsid w:val="3F58405B"/>
    <w:rsid w:val="3F591E5E"/>
    <w:rsid w:val="3F59698B"/>
    <w:rsid w:val="3F5A7F7D"/>
    <w:rsid w:val="3F5B6454"/>
    <w:rsid w:val="3F5B687F"/>
    <w:rsid w:val="3F5C3171"/>
    <w:rsid w:val="3F5D3F4B"/>
    <w:rsid w:val="3F5D679C"/>
    <w:rsid w:val="3F5D7688"/>
    <w:rsid w:val="3F5E1222"/>
    <w:rsid w:val="3F5E1876"/>
    <w:rsid w:val="3F5E56C6"/>
    <w:rsid w:val="3F5F3233"/>
    <w:rsid w:val="3F5F4C2B"/>
    <w:rsid w:val="3F6060CD"/>
    <w:rsid w:val="3F61304C"/>
    <w:rsid w:val="3F6356CA"/>
    <w:rsid w:val="3F636838"/>
    <w:rsid w:val="3F650802"/>
    <w:rsid w:val="3F670986"/>
    <w:rsid w:val="3F6735EA"/>
    <w:rsid w:val="3F677193"/>
    <w:rsid w:val="3F686FD9"/>
    <w:rsid w:val="3F6B0789"/>
    <w:rsid w:val="3F6B470E"/>
    <w:rsid w:val="3F6D11F8"/>
    <w:rsid w:val="3F6D3EFC"/>
    <w:rsid w:val="3F6F00EB"/>
    <w:rsid w:val="3F6F1681"/>
    <w:rsid w:val="3F7022EE"/>
    <w:rsid w:val="3F72314E"/>
    <w:rsid w:val="3F724C4B"/>
    <w:rsid w:val="3F753575"/>
    <w:rsid w:val="3F754EDC"/>
    <w:rsid w:val="3F7630ED"/>
    <w:rsid w:val="3F7722E4"/>
    <w:rsid w:val="3F777F37"/>
    <w:rsid w:val="3F781579"/>
    <w:rsid w:val="3F797E70"/>
    <w:rsid w:val="3F7A2A6C"/>
    <w:rsid w:val="3F7A2D95"/>
    <w:rsid w:val="3F7A2ED0"/>
    <w:rsid w:val="3F7A3821"/>
    <w:rsid w:val="3F80563C"/>
    <w:rsid w:val="3F830C98"/>
    <w:rsid w:val="3F841CFC"/>
    <w:rsid w:val="3F8428B9"/>
    <w:rsid w:val="3F853D94"/>
    <w:rsid w:val="3F863364"/>
    <w:rsid w:val="3F870779"/>
    <w:rsid w:val="3F884E12"/>
    <w:rsid w:val="3F88629F"/>
    <w:rsid w:val="3F894D5F"/>
    <w:rsid w:val="3F895BC8"/>
    <w:rsid w:val="3F8968C9"/>
    <w:rsid w:val="3F896BD5"/>
    <w:rsid w:val="3F8A4058"/>
    <w:rsid w:val="3F8C2F42"/>
    <w:rsid w:val="3F8F2991"/>
    <w:rsid w:val="3F8F762D"/>
    <w:rsid w:val="3F916E7D"/>
    <w:rsid w:val="3F930CBA"/>
    <w:rsid w:val="3F9609E4"/>
    <w:rsid w:val="3F960DE7"/>
    <w:rsid w:val="3F9827B4"/>
    <w:rsid w:val="3F985D71"/>
    <w:rsid w:val="3F9A222F"/>
    <w:rsid w:val="3F9B3D7E"/>
    <w:rsid w:val="3F9B5017"/>
    <w:rsid w:val="3F9B7174"/>
    <w:rsid w:val="3F9C0015"/>
    <w:rsid w:val="3F9E4197"/>
    <w:rsid w:val="3F9F3625"/>
    <w:rsid w:val="3F9F5C2F"/>
    <w:rsid w:val="3F9F6148"/>
    <w:rsid w:val="3FA01B56"/>
    <w:rsid w:val="3FA02ED4"/>
    <w:rsid w:val="3FA0576A"/>
    <w:rsid w:val="3FA1732D"/>
    <w:rsid w:val="3FA22394"/>
    <w:rsid w:val="3FA23805"/>
    <w:rsid w:val="3FA26167"/>
    <w:rsid w:val="3FA267B8"/>
    <w:rsid w:val="3FA41114"/>
    <w:rsid w:val="3FA4132B"/>
    <w:rsid w:val="3FA66CBC"/>
    <w:rsid w:val="3FA67C95"/>
    <w:rsid w:val="3FA72BC9"/>
    <w:rsid w:val="3FA93460"/>
    <w:rsid w:val="3FAA0F16"/>
    <w:rsid w:val="3FAB327F"/>
    <w:rsid w:val="3FAE4147"/>
    <w:rsid w:val="3FAE45A4"/>
    <w:rsid w:val="3FAF6A7A"/>
    <w:rsid w:val="3FB02598"/>
    <w:rsid w:val="3FB11C9A"/>
    <w:rsid w:val="3FB13A48"/>
    <w:rsid w:val="3FB20604"/>
    <w:rsid w:val="3FB3291A"/>
    <w:rsid w:val="3FB33DB6"/>
    <w:rsid w:val="3FB37262"/>
    <w:rsid w:val="3FB4069C"/>
    <w:rsid w:val="3FB456CB"/>
    <w:rsid w:val="3FB53D1A"/>
    <w:rsid w:val="3FB55013"/>
    <w:rsid w:val="3FB5552B"/>
    <w:rsid w:val="3FB56340"/>
    <w:rsid w:val="3FB8246C"/>
    <w:rsid w:val="3FB945A8"/>
    <w:rsid w:val="3FBA660F"/>
    <w:rsid w:val="3FBB0B9A"/>
    <w:rsid w:val="3FBB4751"/>
    <w:rsid w:val="3FBB7F63"/>
    <w:rsid w:val="3FBC0C62"/>
    <w:rsid w:val="3FBC469A"/>
    <w:rsid w:val="3FBD53BC"/>
    <w:rsid w:val="3FBF0FBD"/>
    <w:rsid w:val="3FBF1272"/>
    <w:rsid w:val="3FC00E7F"/>
    <w:rsid w:val="3FC03C8B"/>
    <w:rsid w:val="3FC2005E"/>
    <w:rsid w:val="3FC31501"/>
    <w:rsid w:val="3FC5351B"/>
    <w:rsid w:val="3FC62588"/>
    <w:rsid w:val="3FC63871"/>
    <w:rsid w:val="3FC714BD"/>
    <w:rsid w:val="3FC80EA0"/>
    <w:rsid w:val="3FC90D91"/>
    <w:rsid w:val="3FC9475C"/>
    <w:rsid w:val="3FC96FE3"/>
    <w:rsid w:val="3FCB0CEA"/>
    <w:rsid w:val="3FCB5CD5"/>
    <w:rsid w:val="3FCD36F4"/>
    <w:rsid w:val="3FCE0156"/>
    <w:rsid w:val="3FCF5489"/>
    <w:rsid w:val="3FD05DB3"/>
    <w:rsid w:val="3FD0640E"/>
    <w:rsid w:val="3FD074F4"/>
    <w:rsid w:val="3FD2261C"/>
    <w:rsid w:val="3FD315C6"/>
    <w:rsid w:val="3FD4795A"/>
    <w:rsid w:val="3FD57736"/>
    <w:rsid w:val="3FD752F7"/>
    <w:rsid w:val="3FD950EE"/>
    <w:rsid w:val="3FD953CB"/>
    <w:rsid w:val="3FD9556C"/>
    <w:rsid w:val="3FDA4A0A"/>
    <w:rsid w:val="3FDC2527"/>
    <w:rsid w:val="3FDC3952"/>
    <w:rsid w:val="3FDD13E1"/>
    <w:rsid w:val="3FDD15DA"/>
    <w:rsid w:val="3FDE3AF8"/>
    <w:rsid w:val="3FDE4D1D"/>
    <w:rsid w:val="3FDE5FF4"/>
    <w:rsid w:val="3FE16591"/>
    <w:rsid w:val="3FE34F46"/>
    <w:rsid w:val="3FE43E1D"/>
    <w:rsid w:val="3FE51458"/>
    <w:rsid w:val="3FE51912"/>
    <w:rsid w:val="3FE61AE9"/>
    <w:rsid w:val="3FE62B98"/>
    <w:rsid w:val="3FE67B95"/>
    <w:rsid w:val="3FE7235E"/>
    <w:rsid w:val="3FE72429"/>
    <w:rsid w:val="3FE81550"/>
    <w:rsid w:val="3FE82D16"/>
    <w:rsid w:val="3FE85993"/>
    <w:rsid w:val="3FE900BB"/>
    <w:rsid w:val="3FE97DD1"/>
    <w:rsid w:val="3FEB4FA9"/>
    <w:rsid w:val="3FEC2420"/>
    <w:rsid w:val="3FEC76B6"/>
    <w:rsid w:val="3FEE6892"/>
    <w:rsid w:val="3FF113C8"/>
    <w:rsid w:val="3FF12080"/>
    <w:rsid w:val="3FF132F0"/>
    <w:rsid w:val="3FF136C5"/>
    <w:rsid w:val="3FF16405"/>
    <w:rsid w:val="3FF1758F"/>
    <w:rsid w:val="3FF27B1B"/>
    <w:rsid w:val="3FF3706E"/>
    <w:rsid w:val="3FF41D22"/>
    <w:rsid w:val="3FF73B50"/>
    <w:rsid w:val="3FF83425"/>
    <w:rsid w:val="3FFD0EBA"/>
    <w:rsid w:val="3FFD1C67"/>
    <w:rsid w:val="3FFD52CD"/>
    <w:rsid w:val="3FFE3D07"/>
    <w:rsid w:val="3FFF5B3E"/>
    <w:rsid w:val="4000052B"/>
    <w:rsid w:val="40005ECF"/>
    <w:rsid w:val="400118D7"/>
    <w:rsid w:val="400159AA"/>
    <w:rsid w:val="4004386D"/>
    <w:rsid w:val="40060A9A"/>
    <w:rsid w:val="400611FF"/>
    <w:rsid w:val="40083152"/>
    <w:rsid w:val="4009460B"/>
    <w:rsid w:val="400A193B"/>
    <w:rsid w:val="400B0E8D"/>
    <w:rsid w:val="400B3158"/>
    <w:rsid w:val="400C6ED0"/>
    <w:rsid w:val="400D7496"/>
    <w:rsid w:val="400F065C"/>
    <w:rsid w:val="400F443F"/>
    <w:rsid w:val="40103336"/>
    <w:rsid w:val="401047FA"/>
    <w:rsid w:val="40111499"/>
    <w:rsid w:val="401317A3"/>
    <w:rsid w:val="40131D47"/>
    <w:rsid w:val="40137B88"/>
    <w:rsid w:val="40154B29"/>
    <w:rsid w:val="40157BE4"/>
    <w:rsid w:val="401670B8"/>
    <w:rsid w:val="40195BD8"/>
    <w:rsid w:val="4019746D"/>
    <w:rsid w:val="401A579E"/>
    <w:rsid w:val="401A5953"/>
    <w:rsid w:val="401A7948"/>
    <w:rsid w:val="401B4B48"/>
    <w:rsid w:val="401C35B7"/>
    <w:rsid w:val="401C54A8"/>
    <w:rsid w:val="401E0B85"/>
    <w:rsid w:val="401E6EC4"/>
    <w:rsid w:val="402173E0"/>
    <w:rsid w:val="40245174"/>
    <w:rsid w:val="40247A79"/>
    <w:rsid w:val="40276C4C"/>
    <w:rsid w:val="40280169"/>
    <w:rsid w:val="402900C3"/>
    <w:rsid w:val="402A3E6D"/>
    <w:rsid w:val="402C1D8D"/>
    <w:rsid w:val="402D2B6C"/>
    <w:rsid w:val="402D3E06"/>
    <w:rsid w:val="402E060D"/>
    <w:rsid w:val="402F009C"/>
    <w:rsid w:val="40317735"/>
    <w:rsid w:val="40334C53"/>
    <w:rsid w:val="403372FF"/>
    <w:rsid w:val="40342640"/>
    <w:rsid w:val="40354679"/>
    <w:rsid w:val="40356513"/>
    <w:rsid w:val="40366392"/>
    <w:rsid w:val="40373282"/>
    <w:rsid w:val="4038638D"/>
    <w:rsid w:val="403A5246"/>
    <w:rsid w:val="403B1563"/>
    <w:rsid w:val="403B66E9"/>
    <w:rsid w:val="403D193A"/>
    <w:rsid w:val="403D57D3"/>
    <w:rsid w:val="403D6541"/>
    <w:rsid w:val="40426772"/>
    <w:rsid w:val="4044721B"/>
    <w:rsid w:val="40452525"/>
    <w:rsid w:val="404862E7"/>
    <w:rsid w:val="40493C80"/>
    <w:rsid w:val="404B0C1B"/>
    <w:rsid w:val="404B42FC"/>
    <w:rsid w:val="404C3770"/>
    <w:rsid w:val="404C68FB"/>
    <w:rsid w:val="404D0E6C"/>
    <w:rsid w:val="404D5FD8"/>
    <w:rsid w:val="404D6B1C"/>
    <w:rsid w:val="404E573A"/>
    <w:rsid w:val="405354B3"/>
    <w:rsid w:val="405354E3"/>
    <w:rsid w:val="40550877"/>
    <w:rsid w:val="405511CB"/>
    <w:rsid w:val="40572841"/>
    <w:rsid w:val="405745EF"/>
    <w:rsid w:val="405746F6"/>
    <w:rsid w:val="40577546"/>
    <w:rsid w:val="40577810"/>
    <w:rsid w:val="405C0654"/>
    <w:rsid w:val="405C5F46"/>
    <w:rsid w:val="405E0973"/>
    <w:rsid w:val="405E2404"/>
    <w:rsid w:val="405F1E76"/>
    <w:rsid w:val="405F22EF"/>
    <w:rsid w:val="405F2FA3"/>
    <w:rsid w:val="406053EA"/>
    <w:rsid w:val="4061721C"/>
    <w:rsid w:val="40634AC4"/>
    <w:rsid w:val="4064171F"/>
    <w:rsid w:val="406510B6"/>
    <w:rsid w:val="40653C0E"/>
    <w:rsid w:val="40655E99"/>
    <w:rsid w:val="406571D2"/>
    <w:rsid w:val="406B07BF"/>
    <w:rsid w:val="406C3E7B"/>
    <w:rsid w:val="406F537B"/>
    <w:rsid w:val="40710805"/>
    <w:rsid w:val="40713249"/>
    <w:rsid w:val="4072506F"/>
    <w:rsid w:val="40730CFD"/>
    <w:rsid w:val="40737DB0"/>
    <w:rsid w:val="40742EE4"/>
    <w:rsid w:val="40751AEB"/>
    <w:rsid w:val="407629B4"/>
    <w:rsid w:val="4076423A"/>
    <w:rsid w:val="4077259B"/>
    <w:rsid w:val="4077335C"/>
    <w:rsid w:val="40773B80"/>
    <w:rsid w:val="40791694"/>
    <w:rsid w:val="407A0D74"/>
    <w:rsid w:val="407A34DA"/>
    <w:rsid w:val="407B1C4F"/>
    <w:rsid w:val="407C02A4"/>
    <w:rsid w:val="407C0469"/>
    <w:rsid w:val="407C22A8"/>
    <w:rsid w:val="407C57A4"/>
    <w:rsid w:val="407C58A5"/>
    <w:rsid w:val="407D5C4E"/>
    <w:rsid w:val="407E15A8"/>
    <w:rsid w:val="407E3F98"/>
    <w:rsid w:val="407E6EA9"/>
    <w:rsid w:val="4080278D"/>
    <w:rsid w:val="40834247"/>
    <w:rsid w:val="408623E7"/>
    <w:rsid w:val="40864ED4"/>
    <w:rsid w:val="40871A98"/>
    <w:rsid w:val="40872AE3"/>
    <w:rsid w:val="408847A8"/>
    <w:rsid w:val="40885EBE"/>
    <w:rsid w:val="40887CD4"/>
    <w:rsid w:val="40896D0A"/>
    <w:rsid w:val="408B3F49"/>
    <w:rsid w:val="408C5A4E"/>
    <w:rsid w:val="408E2131"/>
    <w:rsid w:val="408F36C7"/>
    <w:rsid w:val="408F6F75"/>
    <w:rsid w:val="40902A58"/>
    <w:rsid w:val="40911AEB"/>
    <w:rsid w:val="40915434"/>
    <w:rsid w:val="40936195"/>
    <w:rsid w:val="409610CA"/>
    <w:rsid w:val="40970E8F"/>
    <w:rsid w:val="40972C3D"/>
    <w:rsid w:val="409745AE"/>
    <w:rsid w:val="409B2C7E"/>
    <w:rsid w:val="409B5806"/>
    <w:rsid w:val="409C0758"/>
    <w:rsid w:val="409E3FCC"/>
    <w:rsid w:val="409E7516"/>
    <w:rsid w:val="409F4CA7"/>
    <w:rsid w:val="409F6AD5"/>
    <w:rsid w:val="40A01829"/>
    <w:rsid w:val="40A12CFB"/>
    <w:rsid w:val="40A24EE0"/>
    <w:rsid w:val="40A31191"/>
    <w:rsid w:val="40A610D2"/>
    <w:rsid w:val="40A62D43"/>
    <w:rsid w:val="40A71E79"/>
    <w:rsid w:val="40A77CE0"/>
    <w:rsid w:val="40A9471F"/>
    <w:rsid w:val="40AB0497"/>
    <w:rsid w:val="40AB3370"/>
    <w:rsid w:val="40AD420F"/>
    <w:rsid w:val="40AD6B43"/>
    <w:rsid w:val="40AD73FC"/>
    <w:rsid w:val="40AE170F"/>
    <w:rsid w:val="40AE4353"/>
    <w:rsid w:val="40AE7C64"/>
    <w:rsid w:val="40AF3CC5"/>
    <w:rsid w:val="40B0336E"/>
    <w:rsid w:val="40B03723"/>
    <w:rsid w:val="40B06308"/>
    <w:rsid w:val="40B1252D"/>
    <w:rsid w:val="40B25CC9"/>
    <w:rsid w:val="40B27A77"/>
    <w:rsid w:val="40B437EF"/>
    <w:rsid w:val="40B557B9"/>
    <w:rsid w:val="40B5744F"/>
    <w:rsid w:val="40B622B4"/>
    <w:rsid w:val="40B63AE7"/>
    <w:rsid w:val="40B71E63"/>
    <w:rsid w:val="40B80297"/>
    <w:rsid w:val="40B808FD"/>
    <w:rsid w:val="40B82BB4"/>
    <w:rsid w:val="40B96D7E"/>
    <w:rsid w:val="40B97948"/>
    <w:rsid w:val="40BA1402"/>
    <w:rsid w:val="40BA73DD"/>
    <w:rsid w:val="40BB2967"/>
    <w:rsid w:val="40BB5FF7"/>
    <w:rsid w:val="40BC1002"/>
    <w:rsid w:val="40BD17FD"/>
    <w:rsid w:val="40BE108E"/>
    <w:rsid w:val="40C335CB"/>
    <w:rsid w:val="40C33A32"/>
    <w:rsid w:val="40C55EEB"/>
    <w:rsid w:val="40C5678B"/>
    <w:rsid w:val="40C86F7A"/>
    <w:rsid w:val="40C926D9"/>
    <w:rsid w:val="40C929D9"/>
    <w:rsid w:val="40CA1BEA"/>
    <w:rsid w:val="40CA2998"/>
    <w:rsid w:val="40CA2AC8"/>
    <w:rsid w:val="40CA4A65"/>
    <w:rsid w:val="40CB1AAC"/>
    <w:rsid w:val="40CB1D5D"/>
    <w:rsid w:val="40CC011E"/>
    <w:rsid w:val="40CD3D02"/>
    <w:rsid w:val="40CD7C52"/>
    <w:rsid w:val="40CF0629"/>
    <w:rsid w:val="40CF23D7"/>
    <w:rsid w:val="40CF33EA"/>
    <w:rsid w:val="40CF38B6"/>
    <w:rsid w:val="40CF4DE4"/>
    <w:rsid w:val="40D02652"/>
    <w:rsid w:val="40D02DE0"/>
    <w:rsid w:val="40D04494"/>
    <w:rsid w:val="40D05962"/>
    <w:rsid w:val="40D1448E"/>
    <w:rsid w:val="40D16BE9"/>
    <w:rsid w:val="40D17224"/>
    <w:rsid w:val="40D220A1"/>
    <w:rsid w:val="40D27557"/>
    <w:rsid w:val="40D64434"/>
    <w:rsid w:val="40D70E27"/>
    <w:rsid w:val="40D77EB4"/>
    <w:rsid w:val="40D814C3"/>
    <w:rsid w:val="40D8548F"/>
    <w:rsid w:val="40D87716"/>
    <w:rsid w:val="40D87E0F"/>
    <w:rsid w:val="40DA78F6"/>
    <w:rsid w:val="40DC2D46"/>
    <w:rsid w:val="40DD3E59"/>
    <w:rsid w:val="40DE086C"/>
    <w:rsid w:val="40E12FF0"/>
    <w:rsid w:val="40E273FB"/>
    <w:rsid w:val="40E37516"/>
    <w:rsid w:val="40E41301"/>
    <w:rsid w:val="40E439A9"/>
    <w:rsid w:val="40E51BFB"/>
    <w:rsid w:val="40E618A4"/>
    <w:rsid w:val="40E70812"/>
    <w:rsid w:val="40E9711A"/>
    <w:rsid w:val="40EA40FB"/>
    <w:rsid w:val="40EA7AAF"/>
    <w:rsid w:val="40ED32DF"/>
    <w:rsid w:val="40EE3E9F"/>
    <w:rsid w:val="40EF4827"/>
    <w:rsid w:val="40F03B94"/>
    <w:rsid w:val="40F06187"/>
    <w:rsid w:val="40F13835"/>
    <w:rsid w:val="40F217A7"/>
    <w:rsid w:val="40F32EC5"/>
    <w:rsid w:val="40F34D59"/>
    <w:rsid w:val="40F405DB"/>
    <w:rsid w:val="40F42AA5"/>
    <w:rsid w:val="40F436F9"/>
    <w:rsid w:val="40F46CF7"/>
    <w:rsid w:val="40F510FD"/>
    <w:rsid w:val="40F53FEC"/>
    <w:rsid w:val="40F541B4"/>
    <w:rsid w:val="40F62735"/>
    <w:rsid w:val="40F72B9F"/>
    <w:rsid w:val="40F72DF5"/>
    <w:rsid w:val="40F7503B"/>
    <w:rsid w:val="40FA0D7B"/>
    <w:rsid w:val="40FA41AB"/>
    <w:rsid w:val="40FA42BD"/>
    <w:rsid w:val="40FC0907"/>
    <w:rsid w:val="41004678"/>
    <w:rsid w:val="410142A2"/>
    <w:rsid w:val="4101455B"/>
    <w:rsid w:val="41016309"/>
    <w:rsid w:val="41016CAC"/>
    <w:rsid w:val="410215D7"/>
    <w:rsid w:val="41023479"/>
    <w:rsid w:val="4104457C"/>
    <w:rsid w:val="41057102"/>
    <w:rsid w:val="41075B6E"/>
    <w:rsid w:val="410A1661"/>
    <w:rsid w:val="410A5E3C"/>
    <w:rsid w:val="410A78B3"/>
    <w:rsid w:val="410E263F"/>
    <w:rsid w:val="4110389C"/>
    <w:rsid w:val="4110448D"/>
    <w:rsid w:val="41134AA4"/>
    <w:rsid w:val="41140D42"/>
    <w:rsid w:val="411A5A05"/>
    <w:rsid w:val="411A73CB"/>
    <w:rsid w:val="411B4A06"/>
    <w:rsid w:val="411D0A67"/>
    <w:rsid w:val="411D2F9E"/>
    <w:rsid w:val="411D3B09"/>
    <w:rsid w:val="411E3CCF"/>
    <w:rsid w:val="41206B0B"/>
    <w:rsid w:val="4123067F"/>
    <w:rsid w:val="41250249"/>
    <w:rsid w:val="41254959"/>
    <w:rsid w:val="41263FC1"/>
    <w:rsid w:val="41267D66"/>
    <w:rsid w:val="412718A4"/>
    <w:rsid w:val="41276645"/>
    <w:rsid w:val="41285F8B"/>
    <w:rsid w:val="412941D3"/>
    <w:rsid w:val="41295B9F"/>
    <w:rsid w:val="412B0EDF"/>
    <w:rsid w:val="412E4EC0"/>
    <w:rsid w:val="412F731A"/>
    <w:rsid w:val="413040D7"/>
    <w:rsid w:val="4130498B"/>
    <w:rsid w:val="413150CA"/>
    <w:rsid w:val="41335058"/>
    <w:rsid w:val="41337082"/>
    <w:rsid w:val="4134048C"/>
    <w:rsid w:val="413422C0"/>
    <w:rsid w:val="413430BA"/>
    <w:rsid w:val="41344F72"/>
    <w:rsid w:val="41351C76"/>
    <w:rsid w:val="41362456"/>
    <w:rsid w:val="41367C64"/>
    <w:rsid w:val="413779AA"/>
    <w:rsid w:val="41377F7D"/>
    <w:rsid w:val="41380AAA"/>
    <w:rsid w:val="41382B0D"/>
    <w:rsid w:val="41393870"/>
    <w:rsid w:val="413A36FE"/>
    <w:rsid w:val="413B25C2"/>
    <w:rsid w:val="413C4E17"/>
    <w:rsid w:val="413D7A08"/>
    <w:rsid w:val="413E2B63"/>
    <w:rsid w:val="4140047A"/>
    <w:rsid w:val="4140157C"/>
    <w:rsid w:val="41405083"/>
    <w:rsid w:val="4142704D"/>
    <w:rsid w:val="414319B1"/>
    <w:rsid w:val="41432F6C"/>
    <w:rsid w:val="41452E30"/>
    <w:rsid w:val="41485181"/>
    <w:rsid w:val="414854CC"/>
    <w:rsid w:val="414B60ED"/>
    <w:rsid w:val="414C101A"/>
    <w:rsid w:val="414C6A7B"/>
    <w:rsid w:val="414D77A0"/>
    <w:rsid w:val="414F32AB"/>
    <w:rsid w:val="414F729C"/>
    <w:rsid w:val="41504943"/>
    <w:rsid w:val="4151103E"/>
    <w:rsid w:val="41521985"/>
    <w:rsid w:val="41523008"/>
    <w:rsid w:val="41523421"/>
    <w:rsid w:val="41564B68"/>
    <w:rsid w:val="4157154C"/>
    <w:rsid w:val="41596145"/>
    <w:rsid w:val="415B1F16"/>
    <w:rsid w:val="415B3C6B"/>
    <w:rsid w:val="415F13B8"/>
    <w:rsid w:val="415F2110"/>
    <w:rsid w:val="41606DE8"/>
    <w:rsid w:val="41621B6F"/>
    <w:rsid w:val="416245B0"/>
    <w:rsid w:val="41646C25"/>
    <w:rsid w:val="416529A9"/>
    <w:rsid w:val="4165442B"/>
    <w:rsid w:val="41676D8C"/>
    <w:rsid w:val="4168034F"/>
    <w:rsid w:val="416925B4"/>
    <w:rsid w:val="416969FE"/>
    <w:rsid w:val="416A2BBD"/>
    <w:rsid w:val="416A31E5"/>
    <w:rsid w:val="416A5F0A"/>
    <w:rsid w:val="416F21B5"/>
    <w:rsid w:val="417033A0"/>
    <w:rsid w:val="41703F20"/>
    <w:rsid w:val="41710C99"/>
    <w:rsid w:val="41713968"/>
    <w:rsid w:val="41713F84"/>
    <w:rsid w:val="4171417E"/>
    <w:rsid w:val="4172565D"/>
    <w:rsid w:val="41725E7A"/>
    <w:rsid w:val="41750742"/>
    <w:rsid w:val="41755F54"/>
    <w:rsid w:val="41762CC0"/>
    <w:rsid w:val="41765A39"/>
    <w:rsid w:val="417756CE"/>
    <w:rsid w:val="41781367"/>
    <w:rsid w:val="417A1EC7"/>
    <w:rsid w:val="417B474B"/>
    <w:rsid w:val="417C2F0F"/>
    <w:rsid w:val="417E0D46"/>
    <w:rsid w:val="417F6E70"/>
    <w:rsid w:val="4180782F"/>
    <w:rsid w:val="418238EE"/>
    <w:rsid w:val="4182569C"/>
    <w:rsid w:val="41837FE0"/>
    <w:rsid w:val="418807D8"/>
    <w:rsid w:val="41886A2A"/>
    <w:rsid w:val="418A72CE"/>
    <w:rsid w:val="418B7227"/>
    <w:rsid w:val="418C03D5"/>
    <w:rsid w:val="418C3FA1"/>
    <w:rsid w:val="418E2292"/>
    <w:rsid w:val="418E5269"/>
    <w:rsid w:val="419043CF"/>
    <w:rsid w:val="41904CC6"/>
    <w:rsid w:val="419158DF"/>
    <w:rsid w:val="41915912"/>
    <w:rsid w:val="41917295"/>
    <w:rsid w:val="4192452A"/>
    <w:rsid w:val="419248B1"/>
    <w:rsid w:val="419375FE"/>
    <w:rsid w:val="4194191C"/>
    <w:rsid w:val="419569C9"/>
    <w:rsid w:val="41967399"/>
    <w:rsid w:val="41970A1B"/>
    <w:rsid w:val="419716E1"/>
    <w:rsid w:val="419729DC"/>
    <w:rsid w:val="41973CA5"/>
    <w:rsid w:val="419773F0"/>
    <w:rsid w:val="41980462"/>
    <w:rsid w:val="41985036"/>
    <w:rsid w:val="419B225C"/>
    <w:rsid w:val="419B2A9A"/>
    <w:rsid w:val="419D24D5"/>
    <w:rsid w:val="419D4283"/>
    <w:rsid w:val="419D4D55"/>
    <w:rsid w:val="419D4DBC"/>
    <w:rsid w:val="419D7070"/>
    <w:rsid w:val="419E3043"/>
    <w:rsid w:val="41A05B22"/>
    <w:rsid w:val="41A117DA"/>
    <w:rsid w:val="41A179C6"/>
    <w:rsid w:val="41A20564"/>
    <w:rsid w:val="41A31919"/>
    <w:rsid w:val="41A438B2"/>
    <w:rsid w:val="41A44DF4"/>
    <w:rsid w:val="41A53138"/>
    <w:rsid w:val="41A54AE6"/>
    <w:rsid w:val="41A60156"/>
    <w:rsid w:val="41A63B4C"/>
    <w:rsid w:val="41A6671D"/>
    <w:rsid w:val="41A75D9D"/>
    <w:rsid w:val="41A9097B"/>
    <w:rsid w:val="41AC3523"/>
    <w:rsid w:val="41AC4A55"/>
    <w:rsid w:val="41AC7260"/>
    <w:rsid w:val="41AE46E3"/>
    <w:rsid w:val="41AE7271"/>
    <w:rsid w:val="41AE75F1"/>
    <w:rsid w:val="41AF27CD"/>
    <w:rsid w:val="41AF2A8E"/>
    <w:rsid w:val="41B034B4"/>
    <w:rsid w:val="41B03C8A"/>
    <w:rsid w:val="41B067A1"/>
    <w:rsid w:val="41B14053"/>
    <w:rsid w:val="41B25855"/>
    <w:rsid w:val="41B310DA"/>
    <w:rsid w:val="41B31CF9"/>
    <w:rsid w:val="41B36463"/>
    <w:rsid w:val="41B43C4F"/>
    <w:rsid w:val="41B45F41"/>
    <w:rsid w:val="41B45FA6"/>
    <w:rsid w:val="41B53344"/>
    <w:rsid w:val="41B700BE"/>
    <w:rsid w:val="41BD4B78"/>
    <w:rsid w:val="41BE6D46"/>
    <w:rsid w:val="41BF069E"/>
    <w:rsid w:val="41BF707A"/>
    <w:rsid w:val="41C053F4"/>
    <w:rsid w:val="41C061C4"/>
    <w:rsid w:val="41C20554"/>
    <w:rsid w:val="41C23074"/>
    <w:rsid w:val="41C23CEA"/>
    <w:rsid w:val="41C30EF6"/>
    <w:rsid w:val="41C37A62"/>
    <w:rsid w:val="41C55588"/>
    <w:rsid w:val="41C631D2"/>
    <w:rsid w:val="41C86018"/>
    <w:rsid w:val="41C874FA"/>
    <w:rsid w:val="41C87636"/>
    <w:rsid w:val="41C93C2B"/>
    <w:rsid w:val="41C95F78"/>
    <w:rsid w:val="41CC3178"/>
    <w:rsid w:val="41CD7ACD"/>
    <w:rsid w:val="41CF0CF8"/>
    <w:rsid w:val="41CF2AA3"/>
    <w:rsid w:val="41CF7778"/>
    <w:rsid w:val="41D028AB"/>
    <w:rsid w:val="41D05991"/>
    <w:rsid w:val="41D17DF0"/>
    <w:rsid w:val="41D220AA"/>
    <w:rsid w:val="41D308B0"/>
    <w:rsid w:val="41D34932"/>
    <w:rsid w:val="41D41C6F"/>
    <w:rsid w:val="41D50BF9"/>
    <w:rsid w:val="41D55B17"/>
    <w:rsid w:val="41D55F5E"/>
    <w:rsid w:val="41D64B48"/>
    <w:rsid w:val="41D6610E"/>
    <w:rsid w:val="41D67795"/>
    <w:rsid w:val="41D91034"/>
    <w:rsid w:val="41D91D63"/>
    <w:rsid w:val="41DA16D6"/>
    <w:rsid w:val="41DB02EE"/>
    <w:rsid w:val="41DC791D"/>
    <w:rsid w:val="41DD0088"/>
    <w:rsid w:val="41DF2AEE"/>
    <w:rsid w:val="41E00614"/>
    <w:rsid w:val="41E15DBF"/>
    <w:rsid w:val="41E16F5A"/>
    <w:rsid w:val="41E225DE"/>
    <w:rsid w:val="41E41072"/>
    <w:rsid w:val="41E42F71"/>
    <w:rsid w:val="41E57990"/>
    <w:rsid w:val="41E608D5"/>
    <w:rsid w:val="41E70FD0"/>
    <w:rsid w:val="41E751D2"/>
    <w:rsid w:val="41E77C8C"/>
    <w:rsid w:val="41E864D0"/>
    <w:rsid w:val="41EA5C7B"/>
    <w:rsid w:val="41EB2AC2"/>
    <w:rsid w:val="41EC6B33"/>
    <w:rsid w:val="41F142AD"/>
    <w:rsid w:val="41F14995"/>
    <w:rsid w:val="41F540C0"/>
    <w:rsid w:val="41F540EC"/>
    <w:rsid w:val="41F63994"/>
    <w:rsid w:val="41F71DD8"/>
    <w:rsid w:val="41F95D14"/>
    <w:rsid w:val="41FB2309"/>
    <w:rsid w:val="41FC3076"/>
    <w:rsid w:val="41FD4D44"/>
    <w:rsid w:val="41FD56DE"/>
    <w:rsid w:val="41FD7266"/>
    <w:rsid w:val="41FE2486"/>
    <w:rsid w:val="41FF5462"/>
    <w:rsid w:val="41FF6CEC"/>
    <w:rsid w:val="420038B1"/>
    <w:rsid w:val="420065DE"/>
    <w:rsid w:val="42013DB2"/>
    <w:rsid w:val="42035202"/>
    <w:rsid w:val="4205007B"/>
    <w:rsid w:val="42056D7D"/>
    <w:rsid w:val="42057598"/>
    <w:rsid w:val="42057F7F"/>
    <w:rsid w:val="42061CCF"/>
    <w:rsid w:val="42071191"/>
    <w:rsid w:val="42072EE9"/>
    <w:rsid w:val="4207597A"/>
    <w:rsid w:val="420903DC"/>
    <w:rsid w:val="420906F9"/>
    <w:rsid w:val="420946BA"/>
    <w:rsid w:val="420B5DF7"/>
    <w:rsid w:val="420B7A4D"/>
    <w:rsid w:val="420D04E9"/>
    <w:rsid w:val="420E7B11"/>
    <w:rsid w:val="421114CD"/>
    <w:rsid w:val="42114C71"/>
    <w:rsid w:val="421170D1"/>
    <w:rsid w:val="42140266"/>
    <w:rsid w:val="421502BE"/>
    <w:rsid w:val="42152993"/>
    <w:rsid w:val="42156510"/>
    <w:rsid w:val="42181B5C"/>
    <w:rsid w:val="421901A8"/>
    <w:rsid w:val="421A29E5"/>
    <w:rsid w:val="421A2C99"/>
    <w:rsid w:val="421B7C1E"/>
    <w:rsid w:val="421C20FC"/>
    <w:rsid w:val="421D1E9F"/>
    <w:rsid w:val="421D53C4"/>
    <w:rsid w:val="421D6B57"/>
    <w:rsid w:val="421D7172"/>
    <w:rsid w:val="42221190"/>
    <w:rsid w:val="42230B97"/>
    <w:rsid w:val="42230CA2"/>
    <w:rsid w:val="4224642B"/>
    <w:rsid w:val="42277841"/>
    <w:rsid w:val="4229394D"/>
    <w:rsid w:val="422A74DF"/>
    <w:rsid w:val="422A7BDF"/>
    <w:rsid w:val="422B037F"/>
    <w:rsid w:val="422B13AB"/>
    <w:rsid w:val="422D06DE"/>
    <w:rsid w:val="422E5B56"/>
    <w:rsid w:val="422F0B6E"/>
    <w:rsid w:val="422F44E5"/>
    <w:rsid w:val="4230127B"/>
    <w:rsid w:val="423050F8"/>
    <w:rsid w:val="42323349"/>
    <w:rsid w:val="42333576"/>
    <w:rsid w:val="4233445F"/>
    <w:rsid w:val="42334883"/>
    <w:rsid w:val="42352655"/>
    <w:rsid w:val="4235270E"/>
    <w:rsid w:val="42355B77"/>
    <w:rsid w:val="42363F5A"/>
    <w:rsid w:val="42371CD3"/>
    <w:rsid w:val="42372323"/>
    <w:rsid w:val="42386BE7"/>
    <w:rsid w:val="42387E21"/>
    <w:rsid w:val="423937C9"/>
    <w:rsid w:val="42394D8A"/>
    <w:rsid w:val="423B2E33"/>
    <w:rsid w:val="423B584A"/>
    <w:rsid w:val="423D0322"/>
    <w:rsid w:val="423D2E16"/>
    <w:rsid w:val="423D6E28"/>
    <w:rsid w:val="423E37F0"/>
    <w:rsid w:val="423F3A07"/>
    <w:rsid w:val="423F6B52"/>
    <w:rsid w:val="42403AA6"/>
    <w:rsid w:val="42405173"/>
    <w:rsid w:val="42422903"/>
    <w:rsid w:val="424555B7"/>
    <w:rsid w:val="4245693D"/>
    <w:rsid w:val="42462B6D"/>
    <w:rsid w:val="424720EA"/>
    <w:rsid w:val="42474F8A"/>
    <w:rsid w:val="424757AB"/>
    <w:rsid w:val="42482C99"/>
    <w:rsid w:val="42486BC7"/>
    <w:rsid w:val="42490B8C"/>
    <w:rsid w:val="42491141"/>
    <w:rsid w:val="424C7A58"/>
    <w:rsid w:val="424D5D79"/>
    <w:rsid w:val="424F19F5"/>
    <w:rsid w:val="424F56D9"/>
    <w:rsid w:val="42500C48"/>
    <w:rsid w:val="42511C9E"/>
    <w:rsid w:val="4251506E"/>
    <w:rsid w:val="42523FFF"/>
    <w:rsid w:val="425608D6"/>
    <w:rsid w:val="42573FA6"/>
    <w:rsid w:val="42591393"/>
    <w:rsid w:val="425B38C7"/>
    <w:rsid w:val="425B506B"/>
    <w:rsid w:val="425C3259"/>
    <w:rsid w:val="425D1C65"/>
    <w:rsid w:val="425E3790"/>
    <w:rsid w:val="425E5296"/>
    <w:rsid w:val="425F056A"/>
    <w:rsid w:val="42600FED"/>
    <w:rsid w:val="42603E92"/>
    <w:rsid w:val="42611561"/>
    <w:rsid w:val="4261206C"/>
    <w:rsid w:val="42614A42"/>
    <w:rsid w:val="4262727B"/>
    <w:rsid w:val="42650CB1"/>
    <w:rsid w:val="426631A0"/>
    <w:rsid w:val="42667749"/>
    <w:rsid w:val="42674891"/>
    <w:rsid w:val="426A5FB5"/>
    <w:rsid w:val="426B25D4"/>
    <w:rsid w:val="426C6EFC"/>
    <w:rsid w:val="426E68BC"/>
    <w:rsid w:val="42701998"/>
    <w:rsid w:val="42721624"/>
    <w:rsid w:val="42725710"/>
    <w:rsid w:val="42734EF6"/>
    <w:rsid w:val="42746996"/>
    <w:rsid w:val="42765E94"/>
    <w:rsid w:val="427661F6"/>
    <w:rsid w:val="42773DAA"/>
    <w:rsid w:val="42791A43"/>
    <w:rsid w:val="4279314A"/>
    <w:rsid w:val="42795C0E"/>
    <w:rsid w:val="42796D1A"/>
    <w:rsid w:val="427A2817"/>
    <w:rsid w:val="427C4ACD"/>
    <w:rsid w:val="427C658F"/>
    <w:rsid w:val="427E7A77"/>
    <w:rsid w:val="427E7DCB"/>
    <w:rsid w:val="427F1BDB"/>
    <w:rsid w:val="427F607F"/>
    <w:rsid w:val="42812B99"/>
    <w:rsid w:val="42816B91"/>
    <w:rsid w:val="42826463"/>
    <w:rsid w:val="42831DF1"/>
    <w:rsid w:val="42837458"/>
    <w:rsid w:val="428407D0"/>
    <w:rsid w:val="42840BB2"/>
    <w:rsid w:val="42844110"/>
    <w:rsid w:val="42846E8E"/>
    <w:rsid w:val="42855216"/>
    <w:rsid w:val="4286052D"/>
    <w:rsid w:val="428611BC"/>
    <w:rsid w:val="42864D18"/>
    <w:rsid w:val="42873303"/>
    <w:rsid w:val="42880892"/>
    <w:rsid w:val="42886A32"/>
    <w:rsid w:val="42890CAC"/>
    <w:rsid w:val="42894808"/>
    <w:rsid w:val="42895A84"/>
    <w:rsid w:val="428A0598"/>
    <w:rsid w:val="428A2091"/>
    <w:rsid w:val="428B3BBD"/>
    <w:rsid w:val="428C39F1"/>
    <w:rsid w:val="428D19B8"/>
    <w:rsid w:val="428D3F16"/>
    <w:rsid w:val="428D4EA3"/>
    <w:rsid w:val="428D6C68"/>
    <w:rsid w:val="429026A4"/>
    <w:rsid w:val="42917AFB"/>
    <w:rsid w:val="42933F1A"/>
    <w:rsid w:val="429341D8"/>
    <w:rsid w:val="4294466A"/>
    <w:rsid w:val="42946983"/>
    <w:rsid w:val="429513FF"/>
    <w:rsid w:val="42961264"/>
    <w:rsid w:val="429625CE"/>
    <w:rsid w:val="42982C9D"/>
    <w:rsid w:val="429921C3"/>
    <w:rsid w:val="429A4C2D"/>
    <w:rsid w:val="429A798B"/>
    <w:rsid w:val="429B0086"/>
    <w:rsid w:val="429B2AAA"/>
    <w:rsid w:val="429B68D2"/>
    <w:rsid w:val="429F1383"/>
    <w:rsid w:val="42A0231D"/>
    <w:rsid w:val="42A052F3"/>
    <w:rsid w:val="42A13B85"/>
    <w:rsid w:val="42A163B6"/>
    <w:rsid w:val="42A17BA6"/>
    <w:rsid w:val="42A26518"/>
    <w:rsid w:val="42A34FDF"/>
    <w:rsid w:val="42A737FB"/>
    <w:rsid w:val="42A81A5D"/>
    <w:rsid w:val="42A836B8"/>
    <w:rsid w:val="42A86388"/>
    <w:rsid w:val="42A95270"/>
    <w:rsid w:val="42AB50CB"/>
    <w:rsid w:val="42AC04E8"/>
    <w:rsid w:val="42AC04F6"/>
    <w:rsid w:val="42AD2E21"/>
    <w:rsid w:val="42AD52B2"/>
    <w:rsid w:val="42AD6F67"/>
    <w:rsid w:val="42B0448A"/>
    <w:rsid w:val="42B07FE6"/>
    <w:rsid w:val="42B14DFA"/>
    <w:rsid w:val="42B42080"/>
    <w:rsid w:val="42B44D10"/>
    <w:rsid w:val="42B53B48"/>
    <w:rsid w:val="42B85710"/>
    <w:rsid w:val="42B9333F"/>
    <w:rsid w:val="42B94352"/>
    <w:rsid w:val="42B96CAA"/>
    <w:rsid w:val="42BA4AC9"/>
    <w:rsid w:val="42BA70B7"/>
    <w:rsid w:val="42BD5576"/>
    <w:rsid w:val="42BF46CD"/>
    <w:rsid w:val="42C24F0D"/>
    <w:rsid w:val="42C31DFA"/>
    <w:rsid w:val="42C52E22"/>
    <w:rsid w:val="42C615B8"/>
    <w:rsid w:val="42C62494"/>
    <w:rsid w:val="42C65A5C"/>
    <w:rsid w:val="42C827B2"/>
    <w:rsid w:val="42C83582"/>
    <w:rsid w:val="42C949B2"/>
    <w:rsid w:val="42C975E5"/>
    <w:rsid w:val="42CA5F33"/>
    <w:rsid w:val="42CB1756"/>
    <w:rsid w:val="42CB4E20"/>
    <w:rsid w:val="42CE0E56"/>
    <w:rsid w:val="42CE4911"/>
    <w:rsid w:val="42CE741C"/>
    <w:rsid w:val="42CF2B62"/>
    <w:rsid w:val="42CF5E08"/>
    <w:rsid w:val="42CF78CF"/>
    <w:rsid w:val="42D11FE2"/>
    <w:rsid w:val="42D2689F"/>
    <w:rsid w:val="42D33CD5"/>
    <w:rsid w:val="42D476ED"/>
    <w:rsid w:val="42D50DF4"/>
    <w:rsid w:val="42D54C4D"/>
    <w:rsid w:val="42D57A4D"/>
    <w:rsid w:val="42D61B4A"/>
    <w:rsid w:val="42D640CA"/>
    <w:rsid w:val="42D655E7"/>
    <w:rsid w:val="42D75FE0"/>
    <w:rsid w:val="42D77C69"/>
    <w:rsid w:val="42D815F4"/>
    <w:rsid w:val="42D82D93"/>
    <w:rsid w:val="42D87756"/>
    <w:rsid w:val="42D912F5"/>
    <w:rsid w:val="42DB6C41"/>
    <w:rsid w:val="42DE51F6"/>
    <w:rsid w:val="42DF08CC"/>
    <w:rsid w:val="42DF267A"/>
    <w:rsid w:val="42E030F9"/>
    <w:rsid w:val="42E173CF"/>
    <w:rsid w:val="42E41D08"/>
    <w:rsid w:val="42E45EE2"/>
    <w:rsid w:val="42E55417"/>
    <w:rsid w:val="42E55EB5"/>
    <w:rsid w:val="42E816FA"/>
    <w:rsid w:val="42E87D96"/>
    <w:rsid w:val="42E934F8"/>
    <w:rsid w:val="42EA05AF"/>
    <w:rsid w:val="42EA4A70"/>
    <w:rsid w:val="42EA4C96"/>
    <w:rsid w:val="42EC5ED9"/>
    <w:rsid w:val="42ED09DE"/>
    <w:rsid w:val="42ED352D"/>
    <w:rsid w:val="42ED4FA9"/>
    <w:rsid w:val="42EE51EC"/>
    <w:rsid w:val="42EF458C"/>
    <w:rsid w:val="42F00D2B"/>
    <w:rsid w:val="42F06799"/>
    <w:rsid w:val="42F0695E"/>
    <w:rsid w:val="42F11657"/>
    <w:rsid w:val="42F216B2"/>
    <w:rsid w:val="42F217DC"/>
    <w:rsid w:val="42F24A9E"/>
    <w:rsid w:val="42F24B05"/>
    <w:rsid w:val="42F35C5E"/>
    <w:rsid w:val="42F4198B"/>
    <w:rsid w:val="42F4530A"/>
    <w:rsid w:val="42F52676"/>
    <w:rsid w:val="42F56341"/>
    <w:rsid w:val="42F75140"/>
    <w:rsid w:val="42F75C15"/>
    <w:rsid w:val="42F86069"/>
    <w:rsid w:val="42F9198D"/>
    <w:rsid w:val="42FB2526"/>
    <w:rsid w:val="42FB56E1"/>
    <w:rsid w:val="42FB7F6B"/>
    <w:rsid w:val="42FC2C69"/>
    <w:rsid w:val="42FC2D82"/>
    <w:rsid w:val="42FC597E"/>
    <w:rsid w:val="42FD0335"/>
    <w:rsid w:val="42FD3488"/>
    <w:rsid w:val="42FF18AE"/>
    <w:rsid w:val="42FF3E34"/>
    <w:rsid w:val="42FF77EC"/>
    <w:rsid w:val="4300202F"/>
    <w:rsid w:val="43003913"/>
    <w:rsid w:val="43014225"/>
    <w:rsid w:val="43026A68"/>
    <w:rsid w:val="4303315A"/>
    <w:rsid w:val="43036893"/>
    <w:rsid w:val="43036931"/>
    <w:rsid w:val="4306638B"/>
    <w:rsid w:val="43077BF5"/>
    <w:rsid w:val="4308438B"/>
    <w:rsid w:val="430B0051"/>
    <w:rsid w:val="430B346F"/>
    <w:rsid w:val="430C7A94"/>
    <w:rsid w:val="430D5439"/>
    <w:rsid w:val="430F1E49"/>
    <w:rsid w:val="430F5BCF"/>
    <w:rsid w:val="43116751"/>
    <w:rsid w:val="43117228"/>
    <w:rsid w:val="43132D16"/>
    <w:rsid w:val="43136A1A"/>
    <w:rsid w:val="43137D05"/>
    <w:rsid w:val="43157FE9"/>
    <w:rsid w:val="43160791"/>
    <w:rsid w:val="43166C80"/>
    <w:rsid w:val="43171E14"/>
    <w:rsid w:val="43176A70"/>
    <w:rsid w:val="4318274C"/>
    <w:rsid w:val="43194C1F"/>
    <w:rsid w:val="431A75E9"/>
    <w:rsid w:val="431B0637"/>
    <w:rsid w:val="431C3344"/>
    <w:rsid w:val="431C3959"/>
    <w:rsid w:val="431C4A3F"/>
    <w:rsid w:val="431C677E"/>
    <w:rsid w:val="431E7646"/>
    <w:rsid w:val="431F06B7"/>
    <w:rsid w:val="4320375D"/>
    <w:rsid w:val="4320455C"/>
    <w:rsid w:val="43210CDB"/>
    <w:rsid w:val="4321700B"/>
    <w:rsid w:val="43220E50"/>
    <w:rsid w:val="4323397D"/>
    <w:rsid w:val="43235158"/>
    <w:rsid w:val="43236B38"/>
    <w:rsid w:val="43236E63"/>
    <w:rsid w:val="4324306A"/>
    <w:rsid w:val="43266B6B"/>
    <w:rsid w:val="43284021"/>
    <w:rsid w:val="4328489C"/>
    <w:rsid w:val="43285EDF"/>
    <w:rsid w:val="432A41C2"/>
    <w:rsid w:val="433230F1"/>
    <w:rsid w:val="433231BB"/>
    <w:rsid w:val="43326C4D"/>
    <w:rsid w:val="43327E94"/>
    <w:rsid w:val="433409E0"/>
    <w:rsid w:val="43346EC4"/>
    <w:rsid w:val="4335138C"/>
    <w:rsid w:val="433653E1"/>
    <w:rsid w:val="43366DAE"/>
    <w:rsid w:val="43370792"/>
    <w:rsid w:val="43372AFC"/>
    <w:rsid w:val="43394480"/>
    <w:rsid w:val="4339551C"/>
    <w:rsid w:val="43396F62"/>
    <w:rsid w:val="43397FDC"/>
    <w:rsid w:val="433B45BA"/>
    <w:rsid w:val="433B66DF"/>
    <w:rsid w:val="433E0C23"/>
    <w:rsid w:val="433E5DFA"/>
    <w:rsid w:val="433F0222"/>
    <w:rsid w:val="433F0D5C"/>
    <w:rsid w:val="433F4264"/>
    <w:rsid w:val="4340181D"/>
    <w:rsid w:val="43407347"/>
    <w:rsid w:val="43420821"/>
    <w:rsid w:val="43422F5A"/>
    <w:rsid w:val="434314A4"/>
    <w:rsid w:val="43432C09"/>
    <w:rsid w:val="43437BBB"/>
    <w:rsid w:val="43445EF3"/>
    <w:rsid w:val="43453A60"/>
    <w:rsid w:val="43456D9C"/>
    <w:rsid w:val="4346094B"/>
    <w:rsid w:val="434836A6"/>
    <w:rsid w:val="434877D8"/>
    <w:rsid w:val="43496BE1"/>
    <w:rsid w:val="434A0702"/>
    <w:rsid w:val="434A1377"/>
    <w:rsid w:val="434B10DD"/>
    <w:rsid w:val="434D031C"/>
    <w:rsid w:val="434D2655"/>
    <w:rsid w:val="434D79EC"/>
    <w:rsid w:val="434E59DB"/>
    <w:rsid w:val="43501CCB"/>
    <w:rsid w:val="43505FB9"/>
    <w:rsid w:val="43506302"/>
    <w:rsid w:val="435204F0"/>
    <w:rsid w:val="435450EB"/>
    <w:rsid w:val="435611FD"/>
    <w:rsid w:val="4356216B"/>
    <w:rsid w:val="43565A32"/>
    <w:rsid w:val="43570586"/>
    <w:rsid w:val="43571729"/>
    <w:rsid w:val="435770B5"/>
    <w:rsid w:val="43581053"/>
    <w:rsid w:val="43582AB4"/>
    <w:rsid w:val="435851BE"/>
    <w:rsid w:val="4359348E"/>
    <w:rsid w:val="4359377F"/>
    <w:rsid w:val="43594D67"/>
    <w:rsid w:val="43595306"/>
    <w:rsid w:val="435A3D43"/>
    <w:rsid w:val="435A42B8"/>
    <w:rsid w:val="435B22FC"/>
    <w:rsid w:val="435B43F6"/>
    <w:rsid w:val="435E2CA4"/>
    <w:rsid w:val="43601C4C"/>
    <w:rsid w:val="43634D6B"/>
    <w:rsid w:val="4364501E"/>
    <w:rsid w:val="43650DD1"/>
    <w:rsid w:val="436541B0"/>
    <w:rsid w:val="43656E71"/>
    <w:rsid w:val="4366126F"/>
    <w:rsid w:val="436873F3"/>
    <w:rsid w:val="436A06BA"/>
    <w:rsid w:val="436A1FD9"/>
    <w:rsid w:val="436A49B4"/>
    <w:rsid w:val="436A7AC8"/>
    <w:rsid w:val="436B3313"/>
    <w:rsid w:val="436D53B2"/>
    <w:rsid w:val="436E43CC"/>
    <w:rsid w:val="436F015B"/>
    <w:rsid w:val="43703DD7"/>
    <w:rsid w:val="43724231"/>
    <w:rsid w:val="437259B2"/>
    <w:rsid w:val="43726BC2"/>
    <w:rsid w:val="43726DDD"/>
    <w:rsid w:val="437274EE"/>
    <w:rsid w:val="43734FC3"/>
    <w:rsid w:val="43746A4F"/>
    <w:rsid w:val="43747DE7"/>
    <w:rsid w:val="43750565"/>
    <w:rsid w:val="437561E3"/>
    <w:rsid w:val="437743FE"/>
    <w:rsid w:val="43782C30"/>
    <w:rsid w:val="437B785C"/>
    <w:rsid w:val="437E5E21"/>
    <w:rsid w:val="437E62AC"/>
    <w:rsid w:val="437F61D2"/>
    <w:rsid w:val="437F770C"/>
    <w:rsid w:val="43811983"/>
    <w:rsid w:val="43814017"/>
    <w:rsid w:val="4382604A"/>
    <w:rsid w:val="43826BF9"/>
    <w:rsid w:val="438356FB"/>
    <w:rsid w:val="4383741C"/>
    <w:rsid w:val="43852998"/>
    <w:rsid w:val="43871F22"/>
    <w:rsid w:val="43875B35"/>
    <w:rsid w:val="43882D11"/>
    <w:rsid w:val="43893693"/>
    <w:rsid w:val="438A0ED8"/>
    <w:rsid w:val="438A118D"/>
    <w:rsid w:val="438A6373"/>
    <w:rsid w:val="438A7C97"/>
    <w:rsid w:val="438C286B"/>
    <w:rsid w:val="438C45B0"/>
    <w:rsid w:val="438D2ADB"/>
    <w:rsid w:val="438F5E4E"/>
    <w:rsid w:val="43901440"/>
    <w:rsid w:val="43911BC6"/>
    <w:rsid w:val="439121B5"/>
    <w:rsid w:val="439128F1"/>
    <w:rsid w:val="43912EA0"/>
    <w:rsid w:val="4391606A"/>
    <w:rsid w:val="43921F08"/>
    <w:rsid w:val="43924F9C"/>
    <w:rsid w:val="43951E24"/>
    <w:rsid w:val="4395222D"/>
    <w:rsid w:val="439671DC"/>
    <w:rsid w:val="43990627"/>
    <w:rsid w:val="439C0424"/>
    <w:rsid w:val="439C7BA4"/>
    <w:rsid w:val="439E0787"/>
    <w:rsid w:val="439E6E16"/>
    <w:rsid w:val="439F595A"/>
    <w:rsid w:val="439F5E7B"/>
    <w:rsid w:val="439F7064"/>
    <w:rsid w:val="43A13601"/>
    <w:rsid w:val="43A175BB"/>
    <w:rsid w:val="43A248B6"/>
    <w:rsid w:val="43A62602"/>
    <w:rsid w:val="43A6502F"/>
    <w:rsid w:val="43A67BD9"/>
    <w:rsid w:val="43A83093"/>
    <w:rsid w:val="43A95B51"/>
    <w:rsid w:val="43A971D5"/>
    <w:rsid w:val="43AB1A9C"/>
    <w:rsid w:val="43AD1BA4"/>
    <w:rsid w:val="43AD4526"/>
    <w:rsid w:val="43AE2740"/>
    <w:rsid w:val="43AE5775"/>
    <w:rsid w:val="43B049C4"/>
    <w:rsid w:val="43B049C5"/>
    <w:rsid w:val="43B12268"/>
    <w:rsid w:val="43B21394"/>
    <w:rsid w:val="43B228DE"/>
    <w:rsid w:val="43B25889"/>
    <w:rsid w:val="43B32ED5"/>
    <w:rsid w:val="43B334E4"/>
    <w:rsid w:val="43B453ED"/>
    <w:rsid w:val="43B50B9F"/>
    <w:rsid w:val="43B51978"/>
    <w:rsid w:val="43B60C2C"/>
    <w:rsid w:val="43B62227"/>
    <w:rsid w:val="43B645DC"/>
    <w:rsid w:val="43B803F8"/>
    <w:rsid w:val="43BB6C43"/>
    <w:rsid w:val="43BC29BB"/>
    <w:rsid w:val="43BD1699"/>
    <w:rsid w:val="43BD1B67"/>
    <w:rsid w:val="43BD1D7C"/>
    <w:rsid w:val="43C01595"/>
    <w:rsid w:val="43C66112"/>
    <w:rsid w:val="43C71A8C"/>
    <w:rsid w:val="43CA1D7F"/>
    <w:rsid w:val="43CA332A"/>
    <w:rsid w:val="43CA6A92"/>
    <w:rsid w:val="43CC3AB9"/>
    <w:rsid w:val="43CC5282"/>
    <w:rsid w:val="43CC70A2"/>
    <w:rsid w:val="43CE0F3A"/>
    <w:rsid w:val="43CF28BC"/>
    <w:rsid w:val="43D06D27"/>
    <w:rsid w:val="43D14CAF"/>
    <w:rsid w:val="43D4637B"/>
    <w:rsid w:val="43D754E8"/>
    <w:rsid w:val="43D769D2"/>
    <w:rsid w:val="43DB12BC"/>
    <w:rsid w:val="43DB5D75"/>
    <w:rsid w:val="43DF6A64"/>
    <w:rsid w:val="43E0622A"/>
    <w:rsid w:val="43E26D2A"/>
    <w:rsid w:val="43E33FD1"/>
    <w:rsid w:val="43E34789"/>
    <w:rsid w:val="43E3546A"/>
    <w:rsid w:val="43E35C03"/>
    <w:rsid w:val="43E40B17"/>
    <w:rsid w:val="43E47B57"/>
    <w:rsid w:val="43E67164"/>
    <w:rsid w:val="43E71B8B"/>
    <w:rsid w:val="43E80323"/>
    <w:rsid w:val="43E85480"/>
    <w:rsid w:val="43E90031"/>
    <w:rsid w:val="43E94875"/>
    <w:rsid w:val="43EA26DC"/>
    <w:rsid w:val="43EA3432"/>
    <w:rsid w:val="43EB4717"/>
    <w:rsid w:val="43EC32A0"/>
    <w:rsid w:val="43ED075C"/>
    <w:rsid w:val="43ED7978"/>
    <w:rsid w:val="43EF0B91"/>
    <w:rsid w:val="43F078BE"/>
    <w:rsid w:val="43F10D40"/>
    <w:rsid w:val="43F45D3F"/>
    <w:rsid w:val="43F46DFB"/>
    <w:rsid w:val="43F536CA"/>
    <w:rsid w:val="43F54A44"/>
    <w:rsid w:val="43F54F5F"/>
    <w:rsid w:val="43F565F9"/>
    <w:rsid w:val="43F61134"/>
    <w:rsid w:val="43F6411F"/>
    <w:rsid w:val="43F641B1"/>
    <w:rsid w:val="43F71D59"/>
    <w:rsid w:val="43FA7557"/>
    <w:rsid w:val="43FB0324"/>
    <w:rsid w:val="43FD0631"/>
    <w:rsid w:val="43FD35AE"/>
    <w:rsid w:val="43FE1BC4"/>
    <w:rsid w:val="43FF7240"/>
    <w:rsid w:val="4402047A"/>
    <w:rsid w:val="440365F2"/>
    <w:rsid w:val="44043E2E"/>
    <w:rsid w:val="44044A8E"/>
    <w:rsid w:val="44045D58"/>
    <w:rsid w:val="44050487"/>
    <w:rsid w:val="44054362"/>
    <w:rsid w:val="4406734E"/>
    <w:rsid w:val="4408366A"/>
    <w:rsid w:val="4409638A"/>
    <w:rsid w:val="44096CDE"/>
    <w:rsid w:val="440979A4"/>
    <w:rsid w:val="440A5C22"/>
    <w:rsid w:val="440C795F"/>
    <w:rsid w:val="440D41E9"/>
    <w:rsid w:val="440D6621"/>
    <w:rsid w:val="440E23CF"/>
    <w:rsid w:val="440E418F"/>
    <w:rsid w:val="440F4A9B"/>
    <w:rsid w:val="4410282B"/>
    <w:rsid w:val="44103433"/>
    <w:rsid w:val="4411629C"/>
    <w:rsid w:val="44121843"/>
    <w:rsid w:val="4413082D"/>
    <w:rsid w:val="44133F2C"/>
    <w:rsid w:val="44173130"/>
    <w:rsid w:val="44176685"/>
    <w:rsid w:val="44185E43"/>
    <w:rsid w:val="44186EB6"/>
    <w:rsid w:val="44195E20"/>
    <w:rsid w:val="441969BC"/>
    <w:rsid w:val="441A2E22"/>
    <w:rsid w:val="441B1DD7"/>
    <w:rsid w:val="441B2D34"/>
    <w:rsid w:val="441C5DB8"/>
    <w:rsid w:val="441D1006"/>
    <w:rsid w:val="441F3676"/>
    <w:rsid w:val="44202F4A"/>
    <w:rsid w:val="44213429"/>
    <w:rsid w:val="44225C76"/>
    <w:rsid w:val="44230431"/>
    <w:rsid w:val="44231C3A"/>
    <w:rsid w:val="442579C1"/>
    <w:rsid w:val="44261A23"/>
    <w:rsid w:val="44267F53"/>
    <w:rsid w:val="44280029"/>
    <w:rsid w:val="44284660"/>
    <w:rsid w:val="442944F4"/>
    <w:rsid w:val="442A1C1D"/>
    <w:rsid w:val="442A43CC"/>
    <w:rsid w:val="442B0333"/>
    <w:rsid w:val="442B1C7D"/>
    <w:rsid w:val="442B3D91"/>
    <w:rsid w:val="442B65B3"/>
    <w:rsid w:val="442B731A"/>
    <w:rsid w:val="442C7B41"/>
    <w:rsid w:val="442D2478"/>
    <w:rsid w:val="442F13DF"/>
    <w:rsid w:val="442F184A"/>
    <w:rsid w:val="442F5BD6"/>
    <w:rsid w:val="443000AC"/>
    <w:rsid w:val="44305573"/>
    <w:rsid w:val="44305C06"/>
    <w:rsid w:val="44307631"/>
    <w:rsid w:val="44323D41"/>
    <w:rsid w:val="44330ECF"/>
    <w:rsid w:val="44346C2E"/>
    <w:rsid w:val="4435195C"/>
    <w:rsid w:val="44376845"/>
    <w:rsid w:val="44380293"/>
    <w:rsid w:val="44384C44"/>
    <w:rsid w:val="44390021"/>
    <w:rsid w:val="44390B29"/>
    <w:rsid w:val="44395BA8"/>
    <w:rsid w:val="443B591C"/>
    <w:rsid w:val="443D0038"/>
    <w:rsid w:val="443D6552"/>
    <w:rsid w:val="443E11BC"/>
    <w:rsid w:val="443E482E"/>
    <w:rsid w:val="443E5A20"/>
    <w:rsid w:val="443F325B"/>
    <w:rsid w:val="443F79A1"/>
    <w:rsid w:val="444078F2"/>
    <w:rsid w:val="44431960"/>
    <w:rsid w:val="4443784A"/>
    <w:rsid w:val="444478CD"/>
    <w:rsid w:val="44451BC9"/>
    <w:rsid w:val="44461F87"/>
    <w:rsid w:val="44472899"/>
    <w:rsid w:val="44476DE8"/>
    <w:rsid w:val="4448576C"/>
    <w:rsid w:val="44485A93"/>
    <w:rsid w:val="44493289"/>
    <w:rsid w:val="444D217E"/>
    <w:rsid w:val="444E1AA8"/>
    <w:rsid w:val="444E4F44"/>
    <w:rsid w:val="444F0847"/>
    <w:rsid w:val="445013EC"/>
    <w:rsid w:val="445222E6"/>
    <w:rsid w:val="44526A65"/>
    <w:rsid w:val="4453573F"/>
    <w:rsid w:val="44541D1D"/>
    <w:rsid w:val="44556C65"/>
    <w:rsid w:val="44557097"/>
    <w:rsid w:val="44580BC7"/>
    <w:rsid w:val="44583A21"/>
    <w:rsid w:val="44586871"/>
    <w:rsid w:val="44586B88"/>
    <w:rsid w:val="445873A3"/>
    <w:rsid w:val="44593688"/>
    <w:rsid w:val="44593DBA"/>
    <w:rsid w:val="445A0AE0"/>
    <w:rsid w:val="445B51E7"/>
    <w:rsid w:val="445D2E02"/>
    <w:rsid w:val="445D316D"/>
    <w:rsid w:val="445D3C9B"/>
    <w:rsid w:val="44604B4B"/>
    <w:rsid w:val="44607359"/>
    <w:rsid w:val="446077EA"/>
    <w:rsid w:val="44611D47"/>
    <w:rsid w:val="44611DC6"/>
    <w:rsid w:val="446138AA"/>
    <w:rsid w:val="44623562"/>
    <w:rsid w:val="44627A06"/>
    <w:rsid w:val="44644D5B"/>
    <w:rsid w:val="44654875"/>
    <w:rsid w:val="446600ED"/>
    <w:rsid w:val="446612A5"/>
    <w:rsid w:val="446749DF"/>
    <w:rsid w:val="44676030"/>
    <w:rsid w:val="446801B6"/>
    <w:rsid w:val="4468272B"/>
    <w:rsid w:val="44692B43"/>
    <w:rsid w:val="446A6FFE"/>
    <w:rsid w:val="446C2633"/>
    <w:rsid w:val="446C616D"/>
    <w:rsid w:val="446E6FF0"/>
    <w:rsid w:val="446E77B0"/>
    <w:rsid w:val="44705C7F"/>
    <w:rsid w:val="4470772D"/>
    <w:rsid w:val="44711D77"/>
    <w:rsid w:val="44727C49"/>
    <w:rsid w:val="44732A13"/>
    <w:rsid w:val="4473404F"/>
    <w:rsid w:val="44743CCA"/>
    <w:rsid w:val="447510D9"/>
    <w:rsid w:val="447534E6"/>
    <w:rsid w:val="44786980"/>
    <w:rsid w:val="447A15CE"/>
    <w:rsid w:val="447A7EF9"/>
    <w:rsid w:val="447B7530"/>
    <w:rsid w:val="447C0AC8"/>
    <w:rsid w:val="447C2876"/>
    <w:rsid w:val="447C4081"/>
    <w:rsid w:val="447C5DA3"/>
    <w:rsid w:val="447C67B5"/>
    <w:rsid w:val="447D3B22"/>
    <w:rsid w:val="447D56E0"/>
    <w:rsid w:val="447E7700"/>
    <w:rsid w:val="447F3418"/>
    <w:rsid w:val="44827761"/>
    <w:rsid w:val="44843B41"/>
    <w:rsid w:val="44850A10"/>
    <w:rsid w:val="44853264"/>
    <w:rsid w:val="44861190"/>
    <w:rsid w:val="44864AC3"/>
    <w:rsid w:val="4487121B"/>
    <w:rsid w:val="44871A95"/>
    <w:rsid w:val="44875EEA"/>
    <w:rsid w:val="4488746D"/>
    <w:rsid w:val="44891D0D"/>
    <w:rsid w:val="44891EC3"/>
    <w:rsid w:val="44891F70"/>
    <w:rsid w:val="448B0BED"/>
    <w:rsid w:val="448B1952"/>
    <w:rsid w:val="448B22EF"/>
    <w:rsid w:val="448B2733"/>
    <w:rsid w:val="448E1919"/>
    <w:rsid w:val="44906FD3"/>
    <w:rsid w:val="44923F10"/>
    <w:rsid w:val="44924F69"/>
    <w:rsid w:val="4492515C"/>
    <w:rsid w:val="449328CD"/>
    <w:rsid w:val="44933294"/>
    <w:rsid w:val="4494346C"/>
    <w:rsid w:val="44946BAD"/>
    <w:rsid w:val="44947ABC"/>
    <w:rsid w:val="44957CA3"/>
    <w:rsid w:val="44964820"/>
    <w:rsid w:val="449657B8"/>
    <w:rsid w:val="449753BF"/>
    <w:rsid w:val="44980BB2"/>
    <w:rsid w:val="4498417F"/>
    <w:rsid w:val="449A2CFC"/>
    <w:rsid w:val="449A2F1A"/>
    <w:rsid w:val="449C324A"/>
    <w:rsid w:val="449D086A"/>
    <w:rsid w:val="449D1826"/>
    <w:rsid w:val="449D41FB"/>
    <w:rsid w:val="449D459A"/>
    <w:rsid w:val="449E0CFC"/>
    <w:rsid w:val="449F0313"/>
    <w:rsid w:val="44A02924"/>
    <w:rsid w:val="44A122DD"/>
    <w:rsid w:val="44A1728C"/>
    <w:rsid w:val="44A342DE"/>
    <w:rsid w:val="44A43B7B"/>
    <w:rsid w:val="44A50A15"/>
    <w:rsid w:val="44A65161"/>
    <w:rsid w:val="44A66CC7"/>
    <w:rsid w:val="44A730A0"/>
    <w:rsid w:val="44A92F3F"/>
    <w:rsid w:val="44AB6361"/>
    <w:rsid w:val="44AF5F35"/>
    <w:rsid w:val="44B0184E"/>
    <w:rsid w:val="44B03DEF"/>
    <w:rsid w:val="44B05DFC"/>
    <w:rsid w:val="44B1076D"/>
    <w:rsid w:val="44B1564F"/>
    <w:rsid w:val="44B21999"/>
    <w:rsid w:val="44B24E52"/>
    <w:rsid w:val="44B32C61"/>
    <w:rsid w:val="44B508AD"/>
    <w:rsid w:val="44B518E4"/>
    <w:rsid w:val="44B77EA1"/>
    <w:rsid w:val="44B927F0"/>
    <w:rsid w:val="44B93309"/>
    <w:rsid w:val="44B943FA"/>
    <w:rsid w:val="44BA339E"/>
    <w:rsid w:val="44BA43F5"/>
    <w:rsid w:val="44BA4C4B"/>
    <w:rsid w:val="44BB2BAC"/>
    <w:rsid w:val="44BC0BCB"/>
    <w:rsid w:val="44BC3610"/>
    <w:rsid w:val="44BD4C3D"/>
    <w:rsid w:val="44BF4E8E"/>
    <w:rsid w:val="44BF7A5F"/>
    <w:rsid w:val="44C24001"/>
    <w:rsid w:val="44C24879"/>
    <w:rsid w:val="44C33BC9"/>
    <w:rsid w:val="44C554F4"/>
    <w:rsid w:val="44C6411A"/>
    <w:rsid w:val="44C67F95"/>
    <w:rsid w:val="44C77869"/>
    <w:rsid w:val="44C925A2"/>
    <w:rsid w:val="44C93D0F"/>
    <w:rsid w:val="44CA3C3B"/>
    <w:rsid w:val="44CD5094"/>
    <w:rsid w:val="44D00359"/>
    <w:rsid w:val="44D03511"/>
    <w:rsid w:val="44D06558"/>
    <w:rsid w:val="44D162A9"/>
    <w:rsid w:val="44D34460"/>
    <w:rsid w:val="44D351C4"/>
    <w:rsid w:val="44D51F86"/>
    <w:rsid w:val="44D53F34"/>
    <w:rsid w:val="44D54390"/>
    <w:rsid w:val="44D5717E"/>
    <w:rsid w:val="44D76A73"/>
    <w:rsid w:val="44D81DAB"/>
    <w:rsid w:val="44D9293D"/>
    <w:rsid w:val="44D9323B"/>
    <w:rsid w:val="44D97CC8"/>
    <w:rsid w:val="44DA5B8C"/>
    <w:rsid w:val="44DC0B83"/>
    <w:rsid w:val="44DC1567"/>
    <w:rsid w:val="44DD2AA3"/>
    <w:rsid w:val="44DE1B08"/>
    <w:rsid w:val="44DE546E"/>
    <w:rsid w:val="44DF1057"/>
    <w:rsid w:val="44E02446"/>
    <w:rsid w:val="44E03674"/>
    <w:rsid w:val="44E056A3"/>
    <w:rsid w:val="44E24F0C"/>
    <w:rsid w:val="44E46C23"/>
    <w:rsid w:val="44E51693"/>
    <w:rsid w:val="44E516F9"/>
    <w:rsid w:val="44E52095"/>
    <w:rsid w:val="44E5776F"/>
    <w:rsid w:val="44E62635"/>
    <w:rsid w:val="44E64193"/>
    <w:rsid w:val="44E7425A"/>
    <w:rsid w:val="44E86CCF"/>
    <w:rsid w:val="44E95A32"/>
    <w:rsid w:val="44EB103D"/>
    <w:rsid w:val="44EE30AE"/>
    <w:rsid w:val="44EF1165"/>
    <w:rsid w:val="44EF214B"/>
    <w:rsid w:val="44F232DD"/>
    <w:rsid w:val="44F620BB"/>
    <w:rsid w:val="44F63392"/>
    <w:rsid w:val="44F63EA4"/>
    <w:rsid w:val="44F709FC"/>
    <w:rsid w:val="44F71B16"/>
    <w:rsid w:val="44F80799"/>
    <w:rsid w:val="44F80AAC"/>
    <w:rsid w:val="44F96DCE"/>
    <w:rsid w:val="44FA4D0A"/>
    <w:rsid w:val="44FB1CB6"/>
    <w:rsid w:val="44FB2728"/>
    <w:rsid w:val="44FB5145"/>
    <w:rsid w:val="44FD328B"/>
    <w:rsid w:val="44FE27E8"/>
    <w:rsid w:val="44FE4252"/>
    <w:rsid w:val="44FE7C42"/>
    <w:rsid w:val="450207A8"/>
    <w:rsid w:val="4502525E"/>
    <w:rsid w:val="45033909"/>
    <w:rsid w:val="450347CF"/>
    <w:rsid w:val="45036881"/>
    <w:rsid w:val="45037EBF"/>
    <w:rsid w:val="45053C27"/>
    <w:rsid w:val="45067A1F"/>
    <w:rsid w:val="45074F31"/>
    <w:rsid w:val="45086B29"/>
    <w:rsid w:val="4509059D"/>
    <w:rsid w:val="450A0AA9"/>
    <w:rsid w:val="450B7CFD"/>
    <w:rsid w:val="450C0B21"/>
    <w:rsid w:val="450D0BC7"/>
    <w:rsid w:val="450D1C4A"/>
    <w:rsid w:val="450E6C76"/>
    <w:rsid w:val="450E71B0"/>
    <w:rsid w:val="450F24B5"/>
    <w:rsid w:val="450F36EA"/>
    <w:rsid w:val="450F381D"/>
    <w:rsid w:val="45104058"/>
    <w:rsid w:val="451172DF"/>
    <w:rsid w:val="45121F63"/>
    <w:rsid w:val="451230A0"/>
    <w:rsid w:val="451253EA"/>
    <w:rsid w:val="45132AAF"/>
    <w:rsid w:val="451341CF"/>
    <w:rsid w:val="45142943"/>
    <w:rsid w:val="4515216E"/>
    <w:rsid w:val="45185DAE"/>
    <w:rsid w:val="45191F85"/>
    <w:rsid w:val="45196317"/>
    <w:rsid w:val="451A2BE5"/>
    <w:rsid w:val="451A546B"/>
    <w:rsid w:val="451B6AE0"/>
    <w:rsid w:val="451C1963"/>
    <w:rsid w:val="451C5255"/>
    <w:rsid w:val="451C7BB5"/>
    <w:rsid w:val="451D0117"/>
    <w:rsid w:val="451D3DBC"/>
    <w:rsid w:val="451F3201"/>
    <w:rsid w:val="4521285A"/>
    <w:rsid w:val="45220401"/>
    <w:rsid w:val="45226827"/>
    <w:rsid w:val="45242AC5"/>
    <w:rsid w:val="452460B6"/>
    <w:rsid w:val="45261525"/>
    <w:rsid w:val="45264C2A"/>
    <w:rsid w:val="45283D54"/>
    <w:rsid w:val="452846FA"/>
    <w:rsid w:val="45294080"/>
    <w:rsid w:val="45295133"/>
    <w:rsid w:val="452B604A"/>
    <w:rsid w:val="452C21AC"/>
    <w:rsid w:val="452D07D7"/>
    <w:rsid w:val="452D1DC2"/>
    <w:rsid w:val="452D55B3"/>
    <w:rsid w:val="452D6B44"/>
    <w:rsid w:val="452D7ED3"/>
    <w:rsid w:val="452E1696"/>
    <w:rsid w:val="452E1C7E"/>
    <w:rsid w:val="45303661"/>
    <w:rsid w:val="45322946"/>
    <w:rsid w:val="45323FF6"/>
    <w:rsid w:val="4532625E"/>
    <w:rsid w:val="4533711C"/>
    <w:rsid w:val="45344EFF"/>
    <w:rsid w:val="45345315"/>
    <w:rsid w:val="45350535"/>
    <w:rsid w:val="45356F4F"/>
    <w:rsid w:val="45365C27"/>
    <w:rsid w:val="4537278B"/>
    <w:rsid w:val="4537679D"/>
    <w:rsid w:val="45381769"/>
    <w:rsid w:val="45392515"/>
    <w:rsid w:val="453A1148"/>
    <w:rsid w:val="453E182A"/>
    <w:rsid w:val="453E3FCF"/>
    <w:rsid w:val="453F2248"/>
    <w:rsid w:val="45405AEC"/>
    <w:rsid w:val="45464E54"/>
    <w:rsid w:val="45470A0D"/>
    <w:rsid w:val="454763C3"/>
    <w:rsid w:val="45490368"/>
    <w:rsid w:val="45494BDC"/>
    <w:rsid w:val="45495ABC"/>
    <w:rsid w:val="4549628D"/>
    <w:rsid w:val="454A2974"/>
    <w:rsid w:val="454A5501"/>
    <w:rsid w:val="454A5C65"/>
    <w:rsid w:val="454A74FC"/>
    <w:rsid w:val="454B2480"/>
    <w:rsid w:val="454C2918"/>
    <w:rsid w:val="454C6F77"/>
    <w:rsid w:val="454F3FBB"/>
    <w:rsid w:val="454F7F8B"/>
    <w:rsid w:val="455079AF"/>
    <w:rsid w:val="45542C6B"/>
    <w:rsid w:val="455455A1"/>
    <w:rsid w:val="45557633"/>
    <w:rsid w:val="45561A39"/>
    <w:rsid w:val="45564946"/>
    <w:rsid w:val="45566D37"/>
    <w:rsid w:val="45572644"/>
    <w:rsid w:val="4557347D"/>
    <w:rsid w:val="45575091"/>
    <w:rsid w:val="455908D0"/>
    <w:rsid w:val="455B59D8"/>
    <w:rsid w:val="455E24C9"/>
    <w:rsid w:val="456074FF"/>
    <w:rsid w:val="4562713E"/>
    <w:rsid w:val="45627961"/>
    <w:rsid w:val="456504A4"/>
    <w:rsid w:val="45654C8F"/>
    <w:rsid w:val="45655E40"/>
    <w:rsid w:val="45661CFB"/>
    <w:rsid w:val="4567277E"/>
    <w:rsid w:val="45673787"/>
    <w:rsid w:val="45673E1E"/>
    <w:rsid w:val="45690320"/>
    <w:rsid w:val="45693BB8"/>
    <w:rsid w:val="45697F7E"/>
    <w:rsid w:val="456B4699"/>
    <w:rsid w:val="456B6E89"/>
    <w:rsid w:val="456D6CA8"/>
    <w:rsid w:val="456E52F4"/>
    <w:rsid w:val="456E697E"/>
    <w:rsid w:val="45704DA5"/>
    <w:rsid w:val="457211FE"/>
    <w:rsid w:val="45735B11"/>
    <w:rsid w:val="45790441"/>
    <w:rsid w:val="457930B3"/>
    <w:rsid w:val="45796DB6"/>
    <w:rsid w:val="457A3DC9"/>
    <w:rsid w:val="457A48DC"/>
    <w:rsid w:val="457B03C3"/>
    <w:rsid w:val="457B2BF7"/>
    <w:rsid w:val="457E7607"/>
    <w:rsid w:val="457F23F7"/>
    <w:rsid w:val="45801494"/>
    <w:rsid w:val="45813F6E"/>
    <w:rsid w:val="45815C6A"/>
    <w:rsid w:val="45831703"/>
    <w:rsid w:val="45835B33"/>
    <w:rsid w:val="45857AB1"/>
    <w:rsid w:val="4586036A"/>
    <w:rsid w:val="458624A4"/>
    <w:rsid w:val="4588349D"/>
    <w:rsid w:val="45884334"/>
    <w:rsid w:val="45897AC1"/>
    <w:rsid w:val="458B6AE9"/>
    <w:rsid w:val="458B7223"/>
    <w:rsid w:val="458C1224"/>
    <w:rsid w:val="458C2D6E"/>
    <w:rsid w:val="458D5FBF"/>
    <w:rsid w:val="458F73C4"/>
    <w:rsid w:val="45902C9A"/>
    <w:rsid w:val="45915C44"/>
    <w:rsid w:val="45933983"/>
    <w:rsid w:val="45955633"/>
    <w:rsid w:val="459622B9"/>
    <w:rsid w:val="45977244"/>
    <w:rsid w:val="45980D77"/>
    <w:rsid w:val="45985900"/>
    <w:rsid w:val="459868AA"/>
    <w:rsid w:val="459A3794"/>
    <w:rsid w:val="459A4484"/>
    <w:rsid w:val="459A5BC5"/>
    <w:rsid w:val="459A7460"/>
    <w:rsid w:val="459B5914"/>
    <w:rsid w:val="459D348E"/>
    <w:rsid w:val="459D3B35"/>
    <w:rsid w:val="459E5BC3"/>
    <w:rsid w:val="459E5C8E"/>
    <w:rsid w:val="45A06AE0"/>
    <w:rsid w:val="45A34DF4"/>
    <w:rsid w:val="45A44B49"/>
    <w:rsid w:val="45A67EA1"/>
    <w:rsid w:val="45A7047E"/>
    <w:rsid w:val="45A90773"/>
    <w:rsid w:val="45A920CC"/>
    <w:rsid w:val="45A93972"/>
    <w:rsid w:val="45AA038D"/>
    <w:rsid w:val="45AA1B8E"/>
    <w:rsid w:val="45AC1537"/>
    <w:rsid w:val="45AD4285"/>
    <w:rsid w:val="45AF27D7"/>
    <w:rsid w:val="45AF57F0"/>
    <w:rsid w:val="45B14157"/>
    <w:rsid w:val="45B31991"/>
    <w:rsid w:val="45B34405"/>
    <w:rsid w:val="45B4185E"/>
    <w:rsid w:val="45B8049E"/>
    <w:rsid w:val="45B8488C"/>
    <w:rsid w:val="45B84A42"/>
    <w:rsid w:val="45B85B30"/>
    <w:rsid w:val="45BC2E2C"/>
    <w:rsid w:val="45BD0912"/>
    <w:rsid w:val="45BD144E"/>
    <w:rsid w:val="45BD5C3E"/>
    <w:rsid w:val="45BD65F0"/>
    <w:rsid w:val="45BD741D"/>
    <w:rsid w:val="45BE0A5E"/>
    <w:rsid w:val="45BF6EFA"/>
    <w:rsid w:val="45C231AD"/>
    <w:rsid w:val="45C2641C"/>
    <w:rsid w:val="45C50B81"/>
    <w:rsid w:val="45C67B21"/>
    <w:rsid w:val="45C87DF9"/>
    <w:rsid w:val="45CB05CF"/>
    <w:rsid w:val="45CB0699"/>
    <w:rsid w:val="45CC15DB"/>
    <w:rsid w:val="45CC3389"/>
    <w:rsid w:val="45CD7101"/>
    <w:rsid w:val="45CE5816"/>
    <w:rsid w:val="45CF6930"/>
    <w:rsid w:val="45D251D8"/>
    <w:rsid w:val="45D61C79"/>
    <w:rsid w:val="45D70CB0"/>
    <w:rsid w:val="45D73371"/>
    <w:rsid w:val="45D73849"/>
    <w:rsid w:val="45D772C6"/>
    <w:rsid w:val="45D858FA"/>
    <w:rsid w:val="45D87FF6"/>
    <w:rsid w:val="45D91C54"/>
    <w:rsid w:val="45DA5C68"/>
    <w:rsid w:val="45DB537A"/>
    <w:rsid w:val="45DB7401"/>
    <w:rsid w:val="45DC4B29"/>
    <w:rsid w:val="45DC6A1A"/>
    <w:rsid w:val="45DE62E0"/>
    <w:rsid w:val="45E06994"/>
    <w:rsid w:val="45E16B50"/>
    <w:rsid w:val="45E34781"/>
    <w:rsid w:val="45E36925"/>
    <w:rsid w:val="45E43CB8"/>
    <w:rsid w:val="45E5215E"/>
    <w:rsid w:val="45E5269D"/>
    <w:rsid w:val="45E63469"/>
    <w:rsid w:val="45E72A8B"/>
    <w:rsid w:val="45E87496"/>
    <w:rsid w:val="45E9047F"/>
    <w:rsid w:val="45EA4300"/>
    <w:rsid w:val="45EB6DBA"/>
    <w:rsid w:val="45EC3A2B"/>
    <w:rsid w:val="45ED057C"/>
    <w:rsid w:val="45ED3300"/>
    <w:rsid w:val="45EE47D1"/>
    <w:rsid w:val="45F145F1"/>
    <w:rsid w:val="45F35B6A"/>
    <w:rsid w:val="45F41159"/>
    <w:rsid w:val="45F50E41"/>
    <w:rsid w:val="45F619F9"/>
    <w:rsid w:val="45F67C81"/>
    <w:rsid w:val="45F74932"/>
    <w:rsid w:val="45F772DE"/>
    <w:rsid w:val="45F9557B"/>
    <w:rsid w:val="45FB3C6E"/>
    <w:rsid w:val="45FB5A01"/>
    <w:rsid w:val="45FC6195"/>
    <w:rsid w:val="45FD7FE7"/>
    <w:rsid w:val="45FE173F"/>
    <w:rsid w:val="460074D7"/>
    <w:rsid w:val="46011AD1"/>
    <w:rsid w:val="46017EC5"/>
    <w:rsid w:val="46031154"/>
    <w:rsid w:val="46032B23"/>
    <w:rsid w:val="46034823"/>
    <w:rsid w:val="46040120"/>
    <w:rsid w:val="46040D75"/>
    <w:rsid w:val="46041FB3"/>
    <w:rsid w:val="460428AF"/>
    <w:rsid w:val="460515E5"/>
    <w:rsid w:val="460804A3"/>
    <w:rsid w:val="46087FC1"/>
    <w:rsid w:val="460F46C4"/>
    <w:rsid w:val="460F550F"/>
    <w:rsid w:val="46101C61"/>
    <w:rsid w:val="461065BA"/>
    <w:rsid w:val="46114F0F"/>
    <w:rsid w:val="46125BC8"/>
    <w:rsid w:val="4613546D"/>
    <w:rsid w:val="461452CB"/>
    <w:rsid w:val="46145CE6"/>
    <w:rsid w:val="461479E7"/>
    <w:rsid w:val="461553B1"/>
    <w:rsid w:val="46167423"/>
    <w:rsid w:val="46183945"/>
    <w:rsid w:val="46184820"/>
    <w:rsid w:val="461865CE"/>
    <w:rsid w:val="46195EA3"/>
    <w:rsid w:val="461A0F80"/>
    <w:rsid w:val="461E5281"/>
    <w:rsid w:val="461F178B"/>
    <w:rsid w:val="461F443E"/>
    <w:rsid w:val="46221564"/>
    <w:rsid w:val="462246F1"/>
    <w:rsid w:val="4622661C"/>
    <w:rsid w:val="4622744D"/>
    <w:rsid w:val="462323F3"/>
    <w:rsid w:val="462323FA"/>
    <w:rsid w:val="46236324"/>
    <w:rsid w:val="46244F73"/>
    <w:rsid w:val="46245E98"/>
    <w:rsid w:val="46252A99"/>
    <w:rsid w:val="46276F5D"/>
    <w:rsid w:val="46284338"/>
    <w:rsid w:val="46284E65"/>
    <w:rsid w:val="4629258A"/>
    <w:rsid w:val="462B7A84"/>
    <w:rsid w:val="462C02CC"/>
    <w:rsid w:val="462C2D8F"/>
    <w:rsid w:val="462D5E47"/>
    <w:rsid w:val="462E3254"/>
    <w:rsid w:val="462F1B6A"/>
    <w:rsid w:val="462F4E9F"/>
    <w:rsid w:val="4630089A"/>
    <w:rsid w:val="46302DC8"/>
    <w:rsid w:val="46304298"/>
    <w:rsid w:val="46310686"/>
    <w:rsid w:val="46331E4E"/>
    <w:rsid w:val="46333408"/>
    <w:rsid w:val="46355E8F"/>
    <w:rsid w:val="46364CA7"/>
    <w:rsid w:val="46374795"/>
    <w:rsid w:val="46384279"/>
    <w:rsid w:val="463914F2"/>
    <w:rsid w:val="463936FB"/>
    <w:rsid w:val="463A3BE1"/>
    <w:rsid w:val="463D1260"/>
    <w:rsid w:val="463D7F75"/>
    <w:rsid w:val="463E6EB4"/>
    <w:rsid w:val="463E71C8"/>
    <w:rsid w:val="463F7C19"/>
    <w:rsid w:val="464032EA"/>
    <w:rsid w:val="464078D3"/>
    <w:rsid w:val="4641538C"/>
    <w:rsid w:val="4642364B"/>
    <w:rsid w:val="464251D2"/>
    <w:rsid w:val="46436A9B"/>
    <w:rsid w:val="464438E9"/>
    <w:rsid w:val="46447925"/>
    <w:rsid w:val="46447F1C"/>
    <w:rsid w:val="46454ADF"/>
    <w:rsid w:val="4646314A"/>
    <w:rsid w:val="4647334E"/>
    <w:rsid w:val="46476EB4"/>
    <w:rsid w:val="46482AF5"/>
    <w:rsid w:val="464844FB"/>
    <w:rsid w:val="46487256"/>
    <w:rsid w:val="464940D5"/>
    <w:rsid w:val="464A3F40"/>
    <w:rsid w:val="464B19A0"/>
    <w:rsid w:val="464B330A"/>
    <w:rsid w:val="464B5F3B"/>
    <w:rsid w:val="464B655A"/>
    <w:rsid w:val="464C17F0"/>
    <w:rsid w:val="464E1167"/>
    <w:rsid w:val="464E6381"/>
    <w:rsid w:val="464F265E"/>
    <w:rsid w:val="46512C8C"/>
    <w:rsid w:val="465313B5"/>
    <w:rsid w:val="4654448A"/>
    <w:rsid w:val="46545AF7"/>
    <w:rsid w:val="46553B7E"/>
    <w:rsid w:val="46555B1F"/>
    <w:rsid w:val="465774CF"/>
    <w:rsid w:val="46591F59"/>
    <w:rsid w:val="46596C14"/>
    <w:rsid w:val="465B27D3"/>
    <w:rsid w:val="465B470D"/>
    <w:rsid w:val="465D0485"/>
    <w:rsid w:val="46623950"/>
    <w:rsid w:val="46623CEE"/>
    <w:rsid w:val="46624C43"/>
    <w:rsid w:val="4663133A"/>
    <w:rsid w:val="46633FC8"/>
    <w:rsid w:val="46644A60"/>
    <w:rsid w:val="46647A66"/>
    <w:rsid w:val="4665327F"/>
    <w:rsid w:val="46654CD6"/>
    <w:rsid w:val="46661AEF"/>
    <w:rsid w:val="46665625"/>
    <w:rsid w:val="46684F0D"/>
    <w:rsid w:val="466927EE"/>
    <w:rsid w:val="46697E7D"/>
    <w:rsid w:val="466A4DD4"/>
    <w:rsid w:val="466B3AEF"/>
    <w:rsid w:val="466C70B0"/>
    <w:rsid w:val="466E3935"/>
    <w:rsid w:val="46712740"/>
    <w:rsid w:val="46730A43"/>
    <w:rsid w:val="46761A29"/>
    <w:rsid w:val="46767799"/>
    <w:rsid w:val="4677165D"/>
    <w:rsid w:val="467716EA"/>
    <w:rsid w:val="46771891"/>
    <w:rsid w:val="46771FFF"/>
    <w:rsid w:val="46774EA5"/>
    <w:rsid w:val="467852BF"/>
    <w:rsid w:val="46794503"/>
    <w:rsid w:val="4679542C"/>
    <w:rsid w:val="467B090B"/>
    <w:rsid w:val="467B5272"/>
    <w:rsid w:val="467B6B5D"/>
    <w:rsid w:val="467C4A00"/>
    <w:rsid w:val="467D6A67"/>
    <w:rsid w:val="467E4117"/>
    <w:rsid w:val="467E7F29"/>
    <w:rsid w:val="46800436"/>
    <w:rsid w:val="4680246E"/>
    <w:rsid w:val="468035D2"/>
    <w:rsid w:val="46807888"/>
    <w:rsid w:val="46810644"/>
    <w:rsid w:val="46812500"/>
    <w:rsid w:val="46814580"/>
    <w:rsid w:val="46837189"/>
    <w:rsid w:val="46843C64"/>
    <w:rsid w:val="468452BE"/>
    <w:rsid w:val="46855A0B"/>
    <w:rsid w:val="468633F9"/>
    <w:rsid w:val="468679DC"/>
    <w:rsid w:val="46872E38"/>
    <w:rsid w:val="468831C0"/>
    <w:rsid w:val="468839CB"/>
    <w:rsid w:val="46883A0D"/>
    <w:rsid w:val="46897329"/>
    <w:rsid w:val="468A0B4E"/>
    <w:rsid w:val="468C0859"/>
    <w:rsid w:val="468C5C3B"/>
    <w:rsid w:val="468D2F08"/>
    <w:rsid w:val="468E4910"/>
    <w:rsid w:val="468F3479"/>
    <w:rsid w:val="4690085B"/>
    <w:rsid w:val="46901133"/>
    <w:rsid w:val="469039C8"/>
    <w:rsid w:val="4691503A"/>
    <w:rsid w:val="46930469"/>
    <w:rsid w:val="469330D2"/>
    <w:rsid w:val="46951935"/>
    <w:rsid w:val="469735CF"/>
    <w:rsid w:val="4697739D"/>
    <w:rsid w:val="4698770F"/>
    <w:rsid w:val="46997031"/>
    <w:rsid w:val="469B0FAE"/>
    <w:rsid w:val="469C32A9"/>
    <w:rsid w:val="469C37C0"/>
    <w:rsid w:val="469C7ABC"/>
    <w:rsid w:val="469D2D60"/>
    <w:rsid w:val="469D2F78"/>
    <w:rsid w:val="469D54D3"/>
    <w:rsid w:val="469E2060"/>
    <w:rsid w:val="469E482B"/>
    <w:rsid w:val="469E6827"/>
    <w:rsid w:val="46A03780"/>
    <w:rsid w:val="46A13E35"/>
    <w:rsid w:val="46A338E4"/>
    <w:rsid w:val="46A37319"/>
    <w:rsid w:val="46A460B4"/>
    <w:rsid w:val="46A50043"/>
    <w:rsid w:val="46A55988"/>
    <w:rsid w:val="46A616B2"/>
    <w:rsid w:val="46A71700"/>
    <w:rsid w:val="46A94793"/>
    <w:rsid w:val="46AA2BE8"/>
    <w:rsid w:val="46AC0E57"/>
    <w:rsid w:val="46AC2640"/>
    <w:rsid w:val="46AE2877"/>
    <w:rsid w:val="46AF57A5"/>
    <w:rsid w:val="46B035D2"/>
    <w:rsid w:val="46B039B7"/>
    <w:rsid w:val="46B1083D"/>
    <w:rsid w:val="46B11B10"/>
    <w:rsid w:val="46B276A3"/>
    <w:rsid w:val="46B44500"/>
    <w:rsid w:val="46B547C6"/>
    <w:rsid w:val="46B57F9F"/>
    <w:rsid w:val="46B766BA"/>
    <w:rsid w:val="46BC13D0"/>
    <w:rsid w:val="46BC20B4"/>
    <w:rsid w:val="46BC35D9"/>
    <w:rsid w:val="46BD527D"/>
    <w:rsid w:val="46BE36AC"/>
    <w:rsid w:val="46BE5E5B"/>
    <w:rsid w:val="46BF0ACA"/>
    <w:rsid w:val="46BF5A44"/>
    <w:rsid w:val="46BF5C37"/>
    <w:rsid w:val="46BF5C62"/>
    <w:rsid w:val="46C2249B"/>
    <w:rsid w:val="46C235F6"/>
    <w:rsid w:val="46C329DE"/>
    <w:rsid w:val="46C502B5"/>
    <w:rsid w:val="46C54336"/>
    <w:rsid w:val="46C61BB8"/>
    <w:rsid w:val="46C64529"/>
    <w:rsid w:val="46C777B3"/>
    <w:rsid w:val="46C80739"/>
    <w:rsid w:val="46C81799"/>
    <w:rsid w:val="46C85790"/>
    <w:rsid w:val="46C962FC"/>
    <w:rsid w:val="46CB0718"/>
    <w:rsid w:val="46CC1167"/>
    <w:rsid w:val="46CD0C62"/>
    <w:rsid w:val="46CD56B7"/>
    <w:rsid w:val="46CD6437"/>
    <w:rsid w:val="46CF1560"/>
    <w:rsid w:val="46CF1817"/>
    <w:rsid w:val="46D110ED"/>
    <w:rsid w:val="46D149CF"/>
    <w:rsid w:val="46D22C08"/>
    <w:rsid w:val="46D37977"/>
    <w:rsid w:val="46D52CF0"/>
    <w:rsid w:val="46D70238"/>
    <w:rsid w:val="46DA31CC"/>
    <w:rsid w:val="46DB1C09"/>
    <w:rsid w:val="46DC1FBC"/>
    <w:rsid w:val="46DC3ECD"/>
    <w:rsid w:val="46DC57C7"/>
    <w:rsid w:val="46DD1EEC"/>
    <w:rsid w:val="46DE488F"/>
    <w:rsid w:val="46DE54E3"/>
    <w:rsid w:val="46DF3663"/>
    <w:rsid w:val="46E12E64"/>
    <w:rsid w:val="46E14C12"/>
    <w:rsid w:val="46E36155"/>
    <w:rsid w:val="46E379B2"/>
    <w:rsid w:val="46E63144"/>
    <w:rsid w:val="46E678B2"/>
    <w:rsid w:val="46E717E5"/>
    <w:rsid w:val="46E91D19"/>
    <w:rsid w:val="46E9334B"/>
    <w:rsid w:val="46E93AC7"/>
    <w:rsid w:val="46EA55A4"/>
    <w:rsid w:val="46EA56DB"/>
    <w:rsid w:val="46EC0A1D"/>
    <w:rsid w:val="46EC63A6"/>
    <w:rsid w:val="46EF3384"/>
    <w:rsid w:val="46EF6468"/>
    <w:rsid w:val="46F01081"/>
    <w:rsid w:val="46F13BC2"/>
    <w:rsid w:val="46F37065"/>
    <w:rsid w:val="46F51BE7"/>
    <w:rsid w:val="46F573E7"/>
    <w:rsid w:val="46F5782D"/>
    <w:rsid w:val="46F704D6"/>
    <w:rsid w:val="46F74BFA"/>
    <w:rsid w:val="46F75837"/>
    <w:rsid w:val="46F8008E"/>
    <w:rsid w:val="46F8707C"/>
    <w:rsid w:val="46FA1C04"/>
    <w:rsid w:val="46FB37F9"/>
    <w:rsid w:val="46FC2866"/>
    <w:rsid w:val="46FC2AAD"/>
    <w:rsid w:val="46FC3498"/>
    <w:rsid w:val="46FC37FA"/>
    <w:rsid w:val="46FC7C9E"/>
    <w:rsid w:val="46FD545A"/>
    <w:rsid w:val="46FE04B7"/>
    <w:rsid w:val="46FE3FD0"/>
    <w:rsid w:val="46FF3777"/>
    <w:rsid w:val="47004D4B"/>
    <w:rsid w:val="47011368"/>
    <w:rsid w:val="47012F3A"/>
    <w:rsid w:val="47015EA6"/>
    <w:rsid w:val="47050987"/>
    <w:rsid w:val="470646EF"/>
    <w:rsid w:val="47071753"/>
    <w:rsid w:val="47072D52"/>
    <w:rsid w:val="4707756A"/>
    <w:rsid w:val="47092E0E"/>
    <w:rsid w:val="47097B0F"/>
    <w:rsid w:val="47097DAF"/>
    <w:rsid w:val="470A019B"/>
    <w:rsid w:val="470D2908"/>
    <w:rsid w:val="470D2CD3"/>
    <w:rsid w:val="470E1780"/>
    <w:rsid w:val="470E7A22"/>
    <w:rsid w:val="47110682"/>
    <w:rsid w:val="471142D6"/>
    <w:rsid w:val="47122BAA"/>
    <w:rsid w:val="47150FE3"/>
    <w:rsid w:val="47153338"/>
    <w:rsid w:val="47180995"/>
    <w:rsid w:val="47185AF8"/>
    <w:rsid w:val="471A0124"/>
    <w:rsid w:val="471C393C"/>
    <w:rsid w:val="471C6E91"/>
    <w:rsid w:val="471D4E1D"/>
    <w:rsid w:val="471D66D5"/>
    <w:rsid w:val="471E1AB3"/>
    <w:rsid w:val="471E5A96"/>
    <w:rsid w:val="471E5B44"/>
    <w:rsid w:val="471F42F0"/>
    <w:rsid w:val="472114B3"/>
    <w:rsid w:val="4721416C"/>
    <w:rsid w:val="47225597"/>
    <w:rsid w:val="4723347D"/>
    <w:rsid w:val="47242D51"/>
    <w:rsid w:val="47243D6E"/>
    <w:rsid w:val="47246C2E"/>
    <w:rsid w:val="47277D68"/>
    <w:rsid w:val="47281217"/>
    <w:rsid w:val="4729393A"/>
    <w:rsid w:val="472A70C4"/>
    <w:rsid w:val="472C03D6"/>
    <w:rsid w:val="472E2E7C"/>
    <w:rsid w:val="472F0639"/>
    <w:rsid w:val="473236C0"/>
    <w:rsid w:val="47331014"/>
    <w:rsid w:val="47355406"/>
    <w:rsid w:val="47356DBC"/>
    <w:rsid w:val="47385A9B"/>
    <w:rsid w:val="473A5599"/>
    <w:rsid w:val="473C213E"/>
    <w:rsid w:val="473C7AC7"/>
    <w:rsid w:val="473D03DB"/>
    <w:rsid w:val="473F42F2"/>
    <w:rsid w:val="47446D09"/>
    <w:rsid w:val="474559C6"/>
    <w:rsid w:val="47455B21"/>
    <w:rsid w:val="47462CC7"/>
    <w:rsid w:val="47470370"/>
    <w:rsid w:val="47472790"/>
    <w:rsid w:val="474A052B"/>
    <w:rsid w:val="474A0B0D"/>
    <w:rsid w:val="474A2222"/>
    <w:rsid w:val="474C2195"/>
    <w:rsid w:val="474C5379"/>
    <w:rsid w:val="474C6D05"/>
    <w:rsid w:val="474D2459"/>
    <w:rsid w:val="474D4586"/>
    <w:rsid w:val="474D6260"/>
    <w:rsid w:val="475116FA"/>
    <w:rsid w:val="47514036"/>
    <w:rsid w:val="4751522D"/>
    <w:rsid w:val="47524C24"/>
    <w:rsid w:val="475418AB"/>
    <w:rsid w:val="47552BAB"/>
    <w:rsid w:val="4756539D"/>
    <w:rsid w:val="4756678A"/>
    <w:rsid w:val="47571343"/>
    <w:rsid w:val="47571378"/>
    <w:rsid w:val="4757535A"/>
    <w:rsid w:val="475A416E"/>
    <w:rsid w:val="475A5E76"/>
    <w:rsid w:val="475B0FCA"/>
    <w:rsid w:val="475B3F35"/>
    <w:rsid w:val="475C698F"/>
    <w:rsid w:val="475C7EE6"/>
    <w:rsid w:val="475D0EF4"/>
    <w:rsid w:val="475E7FB1"/>
    <w:rsid w:val="47606D78"/>
    <w:rsid w:val="4761324C"/>
    <w:rsid w:val="47617B01"/>
    <w:rsid w:val="47623CDC"/>
    <w:rsid w:val="47630187"/>
    <w:rsid w:val="47633879"/>
    <w:rsid w:val="47636CAB"/>
    <w:rsid w:val="47642037"/>
    <w:rsid w:val="47643105"/>
    <w:rsid w:val="4766336A"/>
    <w:rsid w:val="47682BEB"/>
    <w:rsid w:val="476937DB"/>
    <w:rsid w:val="476A10AC"/>
    <w:rsid w:val="476A2E5A"/>
    <w:rsid w:val="476B3EEB"/>
    <w:rsid w:val="476C4E39"/>
    <w:rsid w:val="476D25D3"/>
    <w:rsid w:val="476F277A"/>
    <w:rsid w:val="477041E8"/>
    <w:rsid w:val="47707270"/>
    <w:rsid w:val="477113CC"/>
    <w:rsid w:val="47727BCE"/>
    <w:rsid w:val="47727F60"/>
    <w:rsid w:val="47732303"/>
    <w:rsid w:val="47733284"/>
    <w:rsid w:val="47751CC3"/>
    <w:rsid w:val="477617F3"/>
    <w:rsid w:val="4776449C"/>
    <w:rsid w:val="47771189"/>
    <w:rsid w:val="477912EF"/>
    <w:rsid w:val="47793BBA"/>
    <w:rsid w:val="477B0823"/>
    <w:rsid w:val="477B4A45"/>
    <w:rsid w:val="477B5067"/>
    <w:rsid w:val="477D340C"/>
    <w:rsid w:val="477D36E7"/>
    <w:rsid w:val="47804F8F"/>
    <w:rsid w:val="47805BD3"/>
    <w:rsid w:val="47805CA5"/>
    <w:rsid w:val="47824932"/>
    <w:rsid w:val="47831190"/>
    <w:rsid w:val="4783216D"/>
    <w:rsid w:val="47856259"/>
    <w:rsid w:val="478563C6"/>
    <w:rsid w:val="47857C94"/>
    <w:rsid w:val="47881332"/>
    <w:rsid w:val="47892C83"/>
    <w:rsid w:val="478A3822"/>
    <w:rsid w:val="478A52AA"/>
    <w:rsid w:val="478B1022"/>
    <w:rsid w:val="478C19E8"/>
    <w:rsid w:val="478C5036"/>
    <w:rsid w:val="478D3956"/>
    <w:rsid w:val="478D6D55"/>
    <w:rsid w:val="478F196D"/>
    <w:rsid w:val="478F7416"/>
    <w:rsid w:val="4790173E"/>
    <w:rsid w:val="479148CD"/>
    <w:rsid w:val="47942C80"/>
    <w:rsid w:val="47953517"/>
    <w:rsid w:val="479559FD"/>
    <w:rsid w:val="479A0850"/>
    <w:rsid w:val="479A7854"/>
    <w:rsid w:val="479C6D8B"/>
    <w:rsid w:val="479D2372"/>
    <w:rsid w:val="479D5791"/>
    <w:rsid w:val="479D5F50"/>
    <w:rsid w:val="479D7AA5"/>
    <w:rsid w:val="47A10D56"/>
    <w:rsid w:val="47A1386E"/>
    <w:rsid w:val="47A45C40"/>
    <w:rsid w:val="47A5600A"/>
    <w:rsid w:val="47A56BE1"/>
    <w:rsid w:val="47A619B8"/>
    <w:rsid w:val="47A8474F"/>
    <w:rsid w:val="47A9217D"/>
    <w:rsid w:val="47AA09DB"/>
    <w:rsid w:val="47AA76FA"/>
    <w:rsid w:val="47AB2BCF"/>
    <w:rsid w:val="47AB318C"/>
    <w:rsid w:val="47AB6693"/>
    <w:rsid w:val="47AC2E3C"/>
    <w:rsid w:val="47AC68E4"/>
    <w:rsid w:val="47AC6F8B"/>
    <w:rsid w:val="47AE3889"/>
    <w:rsid w:val="47AF4D11"/>
    <w:rsid w:val="47AF6745"/>
    <w:rsid w:val="47B13391"/>
    <w:rsid w:val="47B562E3"/>
    <w:rsid w:val="47B60484"/>
    <w:rsid w:val="47B74AF5"/>
    <w:rsid w:val="47B77A6B"/>
    <w:rsid w:val="47B83D35"/>
    <w:rsid w:val="47BA5E90"/>
    <w:rsid w:val="47BB47C3"/>
    <w:rsid w:val="47BD1611"/>
    <w:rsid w:val="47BD70E3"/>
    <w:rsid w:val="47BE4F54"/>
    <w:rsid w:val="47BF183F"/>
    <w:rsid w:val="47C3090A"/>
    <w:rsid w:val="47C36A0E"/>
    <w:rsid w:val="47C44207"/>
    <w:rsid w:val="47C45875"/>
    <w:rsid w:val="47C63ADE"/>
    <w:rsid w:val="47C66AE7"/>
    <w:rsid w:val="47C702AC"/>
    <w:rsid w:val="47C9212B"/>
    <w:rsid w:val="47C94775"/>
    <w:rsid w:val="47CD20BC"/>
    <w:rsid w:val="47CD45E4"/>
    <w:rsid w:val="47CD7720"/>
    <w:rsid w:val="47CE2C39"/>
    <w:rsid w:val="47CF639E"/>
    <w:rsid w:val="47D112E0"/>
    <w:rsid w:val="47D12670"/>
    <w:rsid w:val="47D12ED9"/>
    <w:rsid w:val="47D20242"/>
    <w:rsid w:val="47D4024A"/>
    <w:rsid w:val="47D4095E"/>
    <w:rsid w:val="47D429C9"/>
    <w:rsid w:val="47D430B3"/>
    <w:rsid w:val="47D457D8"/>
    <w:rsid w:val="47D6229D"/>
    <w:rsid w:val="47D6611B"/>
    <w:rsid w:val="47D734D9"/>
    <w:rsid w:val="47D813B4"/>
    <w:rsid w:val="47D91D8D"/>
    <w:rsid w:val="47D9559E"/>
    <w:rsid w:val="47D96F10"/>
    <w:rsid w:val="47DA0F2D"/>
    <w:rsid w:val="47DA607B"/>
    <w:rsid w:val="47DB48C2"/>
    <w:rsid w:val="47DC576F"/>
    <w:rsid w:val="47DD3B80"/>
    <w:rsid w:val="47DD756D"/>
    <w:rsid w:val="47DF5C3C"/>
    <w:rsid w:val="47E00365"/>
    <w:rsid w:val="47E0136E"/>
    <w:rsid w:val="47E06F5A"/>
    <w:rsid w:val="47E2253F"/>
    <w:rsid w:val="47E26E43"/>
    <w:rsid w:val="47E435E3"/>
    <w:rsid w:val="47E606EB"/>
    <w:rsid w:val="47E673F7"/>
    <w:rsid w:val="47E726FC"/>
    <w:rsid w:val="47E97275"/>
    <w:rsid w:val="47EA7AF7"/>
    <w:rsid w:val="47EB4110"/>
    <w:rsid w:val="47EC1AC1"/>
    <w:rsid w:val="47EE60F4"/>
    <w:rsid w:val="47EF4510"/>
    <w:rsid w:val="47F05A62"/>
    <w:rsid w:val="47F10C6A"/>
    <w:rsid w:val="47F12C7A"/>
    <w:rsid w:val="47F24505"/>
    <w:rsid w:val="47F33022"/>
    <w:rsid w:val="47F36449"/>
    <w:rsid w:val="47F431F0"/>
    <w:rsid w:val="47F44758"/>
    <w:rsid w:val="47F44E19"/>
    <w:rsid w:val="47F53213"/>
    <w:rsid w:val="47F54AA9"/>
    <w:rsid w:val="47F67DFE"/>
    <w:rsid w:val="47F67F2B"/>
    <w:rsid w:val="47F71E45"/>
    <w:rsid w:val="47F847BF"/>
    <w:rsid w:val="47F84B02"/>
    <w:rsid w:val="47F952BD"/>
    <w:rsid w:val="47F95F8C"/>
    <w:rsid w:val="47FA0134"/>
    <w:rsid w:val="47FA02DB"/>
    <w:rsid w:val="47FC693C"/>
    <w:rsid w:val="47FE123E"/>
    <w:rsid w:val="47FE35A2"/>
    <w:rsid w:val="48003AA1"/>
    <w:rsid w:val="48023A8A"/>
    <w:rsid w:val="4803464D"/>
    <w:rsid w:val="48035311"/>
    <w:rsid w:val="4803669D"/>
    <w:rsid w:val="48042FD7"/>
    <w:rsid w:val="480640A4"/>
    <w:rsid w:val="48076BBF"/>
    <w:rsid w:val="48084421"/>
    <w:rsid w:val="480844F9"/>
    <w:rsid w:val="480B6699"/>
    <w:rsid w:val="480B6C99"/>
    <w:rsid w:val="480C2BDB"/>
    <w:rsid w:val="480D0344"/>
    <w:rsid w:val="480D702F"/>
    <w:rsid w:val="480F4F41"/>
    <w:rsid w:val="481032DE"/>
    <w:rsid w:val="48112C8D"/>
    <w:rsid w:val="48126A4D"/>
    <w:rsid w:val="481314CB"/>
    <w:rsid w:val="48135CD5"/>
    <w:rsid w:val="4814458B"/>
    <w:rsid w:val="4814724D"/>
    <w:rsid w:val="4815616C"/>
    <w:rsid w:val="481728B6"/>
    <w:rsid w:val="48172D95"/>
    <w:rsid w:val="48180B08"/>
    <w:rsid w:val="4818290E"/>
    <w:rsid w:val="48182E5D"/>
    <w:rsid w:val="48187DE1"/>
    <w:rsid w:val="481B23A6"/>
    <w:rsid w:val="481B5D92"/>
    <w:rsid w:val="481C4831"/>
    <w:rsid w:val="481D0EF2"/>
    <w:rsid w:val="481D5537"/>
    <w:rsid w:val="481E4948"/>
    <w:rsid w:val="481F67A1"/>
    <w:rsid w:val="48212A4F"/>
    <w:rsid w:val="482203E1"/>
    <w:rsid w:val="48220A60"/>
    <w:rsid w:val="482243D0"/>
    <w:rsid w:val="48231FD9"/>
    <w:rsid w:val="48240B50"/>
    <w:rsid w:val="48244AD3"/>
    <w:rsid w:val="4824651D"/>
    <w:rsid w:val="48256AB6"/>
    <w:rsid w:val="48270247"/>
    <w:rsid w:val="4827580E"/>
    <w:rsid w:val="482777E3"/>
    <w:rsid w:val="482A09DD"/>
    <w:rsid w:val="482A0EA4"/>
    <w:rsid w:val="482B2CC3"/>
    <w:rsid w:val="482C010F"/>
    <w:rsid w:val="482C6361"/>
    <w:rsid w:val="482C76F8"/>
    <w:rsid w:val="482D4636"/>
    <w:rsid w:val="482D4AB8"/>
    <w:rsid w:val="482F435B"/>
    <w:rsid w:val="482F4BF8"/>
    <w:rsid w:val="48303032"/>
    <w:rsid w:val="48311BC9"/>
    <w:rsid w:val="4831759E"/>
    <w:rsid w:val="48325E78"/>
    <w:rsid w:val="48333FF5"/>
    <w:rsid w:val="48334B35"/>
    <w:rsid w:val="483376F0"/>
    <w:rsid w:val="48355490"/>
    <w:rsid w:val="48360F8E"/>
    <w:rsid w:val="48365B63"/>
    <w:rsid w:val="483925C3"/>
    <w:rsid w:val="48393FE4"/>
    <w:rsid w:val="483A4518"/>
    <w:rsid w:val="483B2ADC"/>
    <w:rsid w:val="483B65A4"/>
    <w:rsid w:val="483B70E9"/>
    <w:rsid w:val="483C342B"/>
    <w:rsid w:val="483E6094"/>
    <w:rsid w:val="48410673"/>
    <w:rsid w:val="48412F5B"/>
    <w:rsid w:val="48416DE2"/>
    <w:rsid w:val="484216E1"/>
    <w:rsid w:val="48423842"/>
    <w:rsid w:val="484336AB"/>
    <w:rsid w:val="48434F2C"/>
    <w:rsid w:val="48444488"/>
    <w:rsid w:val="48445DCC"/>
    <w:rsid w:val="48455675"/>
    <w:rsid w:val="48462A8F"/>
    <w:rsid w:val="48465639"/>
    <w:rsid w:val="48471705"/>
    <w:rsid w:val="48474F49"/>
    <w:rsid w:val="4848435F"/>
    <w:rsid w:val="484A1149"/>
    <w:rsid w:val="484A356B"/>
    <w:rsid w:val="484C006E"/>
    <w:rsid w:val="484C631B"/>
    <w:rsid w:val="484E298E"/>
    <w:rsid w:val="484E4DAF"/>
    <w:rsid w:val="484E7EB4"/>
    <w:rsid w:val="484F2050"/>
    <w:rsid w:val="484F2843"/>
    <w:rsid w:val="48503B31"/>
    <w:rsid w:val="485265E4"/>
    <w:rsid w:val="4853044D"/>
    <w:rsid w:val="48536446"/>
    <w:rsid w:val="48537D92"/>
    <w:rsid w:val="48541414"/>
    <w:rsid w:val="48547FE1"/>
    <w:rsid w:val="48550919"/>
    <w:rsid w:val="48550D9B"/>
    <w:rsid w:val="48552B81"/>
    <w:rsid w:val="485808CF"/>
    <w:rsid w:val="4859110F"/>
    <w:rsid w:val="485A1DF5"/>
    <w:rsid w:val="485A3444"/>
    <w:rsid w:val="485E39B6"/>
    <w:rsid w:val="485E59E4"/>
    <w:rsid w:val="485F1AC8"/>
    <w:rsid w:val="4860425D"/>
    <w:rsid w:val="48605FFC"/>
    <w:rsid w:val="4860709C"/>
    <w:rsid w:val="486362F5"/>
    <w:rsid w:val="486474F0"/>
    <w:rsid w:val="48656AC0"/>
    <w:rsid w:val="486A0234"/>
    <w:rsid w:val="486A50DB"/>
    <w:rsid w:val="486D5180"/>
    <w:rsid w:val="486D7E72"/>
    <w:rsid w:val="486E4402"/>
    <w:rsid w:val="486E5336"/>
    <w:rsid w:val="486E697A"/>
    <w:rsid w:val="4870533C"/>
    <w:rsid w:val="4872312A"/>
    <w:rsid w:val="48724017"/>
    <w:rsid w:val="48725DC0"/>
    <w:rsid w:val="487344BE"/>
    <w:rsid w:val="48751C31"/>
    <w:rsid w:val="48757D4A"/>
    <w:rsid w:val="48765C85"/>
    <w:rsid w:val="48776BCB"/>
    <w:rsid w:val="48776CBE"/>
    <w:rsid w:val="48780C45"/>
    <w:rsid w:val="487877F8"/>
    <w:rsid w:val="487F5FB0"/>
    <w:rsid w:val="4880045B"/>
    <w:rsid w:val="4881301E"/>
    <w:rsid w:val="4882013D"/>
    <w:rsid w:val="488225A4"/>
    <w:rsid w:val="48826247"/>
    <w:rsid w:val="48827857"/>
    <w:rsid w:val="48827FAC"/>
    <w:rsid w:val="48832D0E"/>
    <w:rsid w:val="48842E86"/>
    <w:rsid w:val="48873598"/>
    <w:rsid w:val="488C13C5"/>
    <w:rsid w:val="488D33E4"/>
    <w:rsid w:val="488E040A"/>
    <w:rsid w:val="488E2B78"/>
    <w:rsid w:val="488F72FE"/>
    <w:rsid w:val="489007B4"/>
    <w:rsid w:val="48903160"/>
    <w:rsid w:val="48906261"/>
    <w:rsid w:val="489130C1"/>
    <w:rsid w:val="48914416"/>
    <w:rsid w:val="48930779"/>
    <w:rsid w:val="4893234B"/>
    <w:rsid w:val="489436FE"/>
    <w:rsid w:val="48946DE5"/>
    <w:rsid w:val="48966751"/>
    <w:rsid w:val="48967C7F"/>
    <w:rsid w:val="48981C49"/>
    <w:rsid w:val="489857A5"/>
    <w:rsid w:val="48990868"/>
    <w:rsid w:val="48994136"/>
    <w:rsid w:val="489C26F2"/>
    <w:rsid w:val="489F2FD7"/>
    <w:rsid w:val="48A028AB"/>
    <w:rsid w:val="48A13F73"/>
    <w:rsid w:val="48A33F94"/>
    <w:rsid w:val="48A44149"/>
    <w:rsid w:val="48A6169C"/>
    <w:rsid w:val="48A628FF"/>
    <w:rsid w:val="48A6478A"/>
    <w:rsid w:val="48A71E8C"/>
    <w:rsid w:val="48A759E8"/>
    <w:rsid w:val="48A80203"/>
    <w:rsid w:val="48AB197C"/>
    <w:rsid w:val="48AB1F16"/>
    <w:rsid w:val="48AB296D"/>
    <w:rsid w:val="48AB7907"/>
    <w:rsid w:val="48AC6E49"/>
    <w:rsid w:val="48AC74A2"/>
    <w:rsid w:val="48AC7E0A"/>
    <w:rsid w:val="48AE355C"/>
    <w:rsid w:val="48AE49EF"/>
    <w:rsid w:val="48AE5184"/>
    <w:rsid w:val="48AF2AEE"/>
    <w:rsid w:val="48AF350A"/>
    <w:rsid w:val="48AF7E4F"/>
    <w:rsid w:val="48B11034"/>
    <w:rsid w:val="48B12793"/>
    <w:rsid w:val="48B32B78"/>
    <w:rsid w:val="48B52FCC"/>
    <w:rsid w:val="48B545A9"/>
    <w:rsid w:val="48B72C9F"/>
    <w:rsid w:val="48B86213"/>
    <w:rsid w:val="48BC487C"/>
    <w:rsid w:val="48BD64DD"/>
    <w:rsid w:val="48BE1D39"/>
    <w:rsid w:val="48BE2F6F"/>
    <w:rsid w:val="48BF2F8B"/>
    <w:rsid w:val="48BF384D"/>
    <w:rsid w:val="48BF4A15"/>
    <w:rsid w:val="48C10963"/>
    <w:rsid w:val="48C1181D"/>
    <w:rsid w:val="48C16189"/>
    <w:rsid w:val="48C211B3"/>
    <w:rsid w:val="48C37CC6"/>
    <w:rsid w:val="48C475C7"/>
    <w:rsid w:val="48C72033"/>
    <w:rsid w:val="48C7254C"/>
    <w:rsid w:val="48C81442"/>
    <w:rsid w:val="48C91A52"/>
    <w:rsid w:val="48CA4CE9"/>
    <w:rsid w:val="48CA54A3"/>
    <w:rsid w:val="48CB08D3"/>
    <w:rsid w:val="48CB345D"/>
    <w:rsid w:val="48CC2994"/>
    <w:rsid w:val="48CD47B8"/>
    <w:rsid w:val="48CD79BE"/>
    <w:rsid w:val="48CF38ED"/>
    <w:rsid w:val="48D053CA"/>
    <w:rsid w:val="48D23237"/>
    <w:rsid w:val="48D33096"/>
    <w:rsid w:val="48D43C7A"/>
    <w:rsid w:val="48D52555"/>
    <w:rsid w:val="48D55A8B"/>
    <w:rsid w:val="48D569F9"/>
    <w:rsid w:val="48D70F3D"/>
    <w:rsid w:val="48D72323"/>
    <w:rsid w:val="48D73CCE"/>
    <w:rsid w:val="48D847E1"/>
    <w:rsid w:val="48D8709A"/>
    <w:rsid w:val="48D95FCD"/>
    <w:rsid w:val="48DA295A"/>
    <w:rsid w:val="48DA3857"/>
    <w:rsid w:val="48DA7B6B"/>
    <w:rsid w:val="48DB38E3"/>
    <w:rsid w:val="48DB7DF9"/>
    <w:rsid w:val="48DD6E65"/>
    <w:rsid w:val="48DE4D6F"/>
    <w:rsid w:val="48DF33D4"/>
    <w:rsid w:val="48DF69A5"/>
    <w:rsid w:val="48E05FB1"/>
    <w:rsid w:val="48E1539E"/>
    <w:rsid w:val="48E2171B"/>
    <w:rsid w:val="48E24C72"/>
    <w:rsid w:val="48E3522B"/>
    <w:rsid w:val="48E445F1"/>
    <w:rsid w:val="48E45B7B"/>
    <w:rsid w:val="48E64FA8"/>
    <w:rsid w:val="48E857AF"/>
    <w:rsid w:val="48E85B4C"/>
    <w:rsid w:val="48E91CCB"/>
    <w:rsid w:val="48EA5B34"/>
    <w:rsid w:val="48EB1D78"/>
    <w:rsid w:val="48EB658B"/>
    <w:rsid w:val="48EC5AF0"/>
    <w:rsid w:val="48ED237B"/>
    <w:rsid w:val="48EF04F5"/>
    <w:rsid w:val="48EF45ED"/>
    <w:rsid w:val="48F37E5A"/>
    <w:rsid w:val="48F50EEE"/>
    <w:rsid w:val="48F570DA"/>
    <w:rsid w:val="48F6420B"/>
    <w:rsid w:val="48F6738E"/>
    <w:rsid w:val="48F70565"/>
    <w:rsid w:val="48F77A6B"/>
    <w:rsid w:val="48F80521"/>
    <w:rsid w:val="48F826E7"/>
    <w:rsid w:val="48F84495"/>
    <w:rsid w:val="48FA020D"/>
    <w:rsid w:val="48FA1700"/>
    <w:rsid w:val="48FA2194"/>
    <w:rsid w:val="48FA4CB3"/>
    <w:rsid w:val="48FA5910"/>
    <w:rsid w:val="48FA7306"/>
    <w:rsid w:val="48FB3A0F"/>
    <w:rsid w:val="48FC17C6"/>
    <w:rsid w:val="48FD1AAC"/>
    <w:rsid w:val="48FD3EF8"/>
    <w:rsid w:val="48FE100C"/>
    <w:rsid w:val="48FE72A1"/>
    <w:rsid w:val="49010B73"/>
    <w:rsid w:val="490365AA"/>
    <w:rsid w:val="49043D99"/>
    <w:rsid w:val="490612E6"/>
    <w:rsid w:val="49061C42"/>
    <w:rsid w:val="49063EC8"/>
    <w:rsid w:val="490715C7"/>
    <w:rsid w:val="490807BF"/>
    <w:rsid w:val="49080B7C"/>
    <w:rsid w:val="49094D6B"/>
    <w:rsid w:val="490954E8"/>
    <w:rsid w:val="490A2561"/>
    <w:rsid w:val="490A38A3"/>
    <w:rsid w:val="490B41C9"/>
    <w:rsid w:val="490D7B75"/>
    <w:rsid w:val="49105C83"/>
    <w:rsid w:val="491062FB"/>
    <w:rsid w:val="491106BC"/>
    <w:rsid w:val="49143163"/>
    <w:rsid w:val="49163EF7"/>
    <w:rsid w:val="491706B1"/>
    <w:rsid w:val="49170DBF"/>
    <w:rsid w:val="4917726E"/>
    <w:rsid w:val="491B408B"/>
    <w:rsid w:val="491C12E5"/>
    <w:rsid w:val="491C3503"/>
    <w:rsid w:val="491D214E"/>
    <w:rsid w:val="491E503B"/>
    <w:rsid w:val="491F25B6"/>
    <w:rsid w:val="491F4CBC"/>
    <w:rsid w:val="49203D66"/>
    <w:rsid w:val="49207C74"/>
    <w:rsid w:val="49212AD2"/>
    <w:rsid w:val="4922570E"/>
    <w:rsid w:val="492435B3"/>
    <w:rsid w:val="492532DA"/>
    <w:rsid w:val="492674EF"/>
    <w:rsid w:val="4927085F"/>
    <w:rsid w:val="492734EF"/>
    <w:rsid w:val="492942DE"/>
    <w:rsid w:val="492A385B"/>
    <w:rsid w:val="492B4506"/>
    <w:rsid w:val="492D16CE"/>
    <w:rsid w:val="49301674"/>
    <w:rsid w:val="493062DE"/>
    <w:rsid w:val="4932003B"/>
    <w:rsid w:val="4933371F"/>
    <w:rsid w:val="493426A6"/>
    <w:rsid w:val="49345F0C"/>
    <w:rsid w:val="49361952"/>
    <w:rsid w:val="49380D36"/>
    <w:rsid w:val="493A0464"/>
    <w:rsid w:val="493A2D00"/>
    <w:rsid w:val="493B7085"/>
    <w:rsid w:val="493C14E6"/>
    <w:rsid w:val="493C2E99"/>
    <w:rsid w:val="493C44FB"/>
    <w:rsid w:val="493C6A78"/>
    <w:rsid w:val="493F29DA"/>
    <w:rsid w:val="493F5A1F"/>
    <w:rsid w:val="49403816"/>
    <w:rsid w:val="49430EEF"/>
    <w:rsid w:val="4944592C"/>
    <w:rsid w:val="49446A44"/>
    <w:rsid w:val="49463453"/>
    <w:rsid w:val="494718AD"/>
    <w:rsid w:val="49497E3E"/>
    <w:rsid w:val="494A4C66"/>
    <w:rsid w:val="494A51D9"/>
    <w:rsid w:val="494C4756"/>
    <w:rsid w:val="494E2307"/>
    <w:rsid w:val="494E51AB"/>
    <w:rsid w:val="494F6443"/>
    <w:rsid w:val="495233C4"/>
    <w:rsid w:val="495435F8"/>
    <w:rsid w:val="49570C8B"/>
    <w:rsid w:val="4958385C"/>
    <w:rsid w:val="495912F6"/>
    <w:rsid w:val="49593FE0"/>
    <w:rsid w:val="49595E62"/>
    <w:rsid w:val="495A6EFE"/>
    <w:rsid w:val="495B12D5"/>
    <w:rsid w:val="495B3069"/>
    <w:rsid w:val="495B77B6"/>
    <w:rsid w:val="495D1B40"/>
    <w:rsid w:val="495D2036"/>
    <w:rsid w:val="495D4AFD"/>
    <w:rsid w:val="495F2D04"/>
    <w:rsid w:val="4960017D"/>
    <w:rsid w:val="49602A8F"/>
    <w:rsid w:val="4960336B"/>
    <w:rsid w:val="49603530"/>
    <w:rsid w:val="49610AAB"/>
    <w:rsid w:val="49611B72"/>
    <w:rsid w:val="49625A84"/>
    <w:rsid w:val="49636EBF"/>
    <w:rsid w:val="4966775F"/>
    <w:rsid w:val="4969518E"/>
    <w:rsid w:val="496A248A"/>
    <w:rsid w:val="496A437B"/>
    <w:rsid w:val="496A6A97"/>
    <w:rsid w:val="496B110B"/>
    <w:rsid w:val="496B7A1D"/>
    <w:rsid w:val="496C1C44"/>
    <w:rsid w:val="496C5BEA"/>
    <w:rsid w:val="496D044E"/>
    <w:rsid w:val="496D6C31"/>
    <w:rsid w:val="496F6A33"/>
    <w:rsid w:val="49706E5A"/>
    <w:rsid w:val="497370EE"/>
    <w:rsid w:val="49750CE5"/>
    <w:rsid w:val="49755AE6"/>
    <w:rsid w:val="49763089"/>
    <w:rsid w:val="49773C28"/>
    <w:rsid w:val="49777AB0"/>
    <w:rsid w:val="49782C51"/>
    <w:rsid w:val="49792C46"/>
    <w:rsid w:val="497D1087"/>
    <w:rsid w:val="497E2BEC"/>
    <w:rsid w:val="497F3FD6"/>
    <w:rsid w:val="497F7EFE"/>
    <w:rsid w:val="49802037"/>
    <w:rsid w:val="4981221B"/>
    <w:rsid w:val="4981448B"/>
    <w:rsid w:val="49816415"/>
    <w:rsid w:val="4981798E"/>
    <w:rsid w:val="49820CBF"/>
    <w:rsid w:val="49846562"/>
    <w:rsid w:val="498559B1"/>
    <w:rsid w:val="49861083"/>
    <w:rsid w:val="49877E6A"/>
    <w:rsid w:val="49885819"/>
    <w:rsid w:val="4989722D"/>
    <w:rsid w:val="498A559E"/>
    <w:rsid w:val="498B4FAA"/>
    <w:rsid w:val="498B544A"/>
    <w:rsid w:val="498C13A0"/>
    <w:rsid w:val="498D1DF9"/>
    <w:rsid w:val="498D3A41"/>
    <w:rsid w:val="498E204E"/>
    <w:rsid w:val="498F6B34"/>
    <w:rsid w:val="49900C21"/>
    <w:rsid w:val="499227FA"/>
    <w:rsid w:val="49942410"/>
    <w:rsid w:val="49950C2D"/>
    <w:rsid w:val="499541CF"/>
    <w:rsid w:val="499633FD"/>
    <w:rsid w:val="49987240"/>
    <w:rsid w:val="49995188"/>
    <w:rsid w:val="499A24C2"/>
    <w:rsid w:val="499A554C"/>
    <w:rsid w:val="499C12E6"/>
    <w:rsid w:val="499C2CE5"/>
    <w:rsid w:val="499C7517"/>
    <w:rsid w:val="499C766B"/>
    <w:rsid w:val="499E6DEB"/>
    <w:rsid w:val="499F1657"/>
    <w:rsid w:val="49A05190"/>
    <w:rsid w:val="49A0591B"/>
    <w:rsid w:val="49A20CAE"/>
    <w:rsid w:val="49A30113"/>
    <w:rsid w:val="49A32653"/>
    <w:rsid w:val="49A40179"/>
    <w:rsid w:val="49A563CB"/>
    <w:rsid w:val="49A62D23"/>
    <w:rsid w:val="49A62E0C"/>
    <w:rsid w:val="49A80E2F"/>
    <w:rsid w:val="49A83327"/>
    <w:rsid w:val="49AB2384"/>
    <w:rsid w:val="49AC2D8E"/>
    <w:rsid w:val="49AC5A24"/>
    <w:rsid w:val="49AE2DA6"/>
    <w:rsid w:val="49AE4452"/>
    <w:rsid w:val="49AF774E"/>
    <w:rsid w:val="49B02FC2"/>
    <w:rsid w:val="49B063EE"/>
    <w:rsid w:val="49B13CE4"/>
    <w:rsid w:val="49B16F8D"/>
    <w:rsid w:val="49B170CE"/>
    <w:rsid w:val="49B26D3A"/>
    <w:rsid w:val="49B272F8"/>
    <w:rsid w:val="49B31524"/>
    <w:rsid w:val="49B37D14"/>
    <w:rsid w:val="49B41C4E"/>
    <w:rsid w:val="49B44860"/>
    <w:rsid w:val="49B52386"/>
    <w:rsid w:val="49B620F3"/>
    <w:rsid w:val="49B64F3A"/>
    <w:rsid w:val="49B81300"/>
    <w:rsid w:val="49B93C25"/>
    <w:rsid w:val="49BA398B"/>
    <w:rsid w:val="49BA5943"/>
    <w:rsid w:val="49BB0548"/>
    <w:rsid w:val="49BC48B5"/>
    <w:rsid w:val="49BC7216"/>
    <w:rsid w:val="49BD1978"/>
    <w:rsid w:val="49BF30B5"/>
    <w:rsid w:val="49C2281B"/>
    <w:rsid w:val="49C23377"/>
    <w:rsid w:val="49C257AA"/>
    <w:rsid w:val="49C371CF"/>
    <w:rsid w:val="49C37F7C"/>
    <w:rsid w:val="49C4717D"/>
    <w:rsid w:val="49C5763C"/>
    <w:rsid w:val="49C65F48"/>
    <w:rsid w:val="49C755DD"/>
    <w:rsid w:val="49C85F39"/>
    <w:rsid w:val="49C86ECC"/>
    <w:rsid w:val="49C95FC5"/>
    <w:rsid w:val="49CA74E0"/>
    <w:rsid w:val="49CA7BE0"/>
    <w:rsid w:val="49CC7DFC"/>
    <w:rsid w:val="49CD2F69"/>
    <w:rsid w:val="49CD76D0"/>
    <w:rsid w:val="49CE0DBE"/>
    <w:rsid w:val="49CE49A7"/>
    <w:rsid w:val="49CE4FF8"/>
    <w:rsid w:val="49CF072E"/>
    <w:rsid w:val="49CF3448"/>
    <w:rsid w:val="49CF51F6"/>
    <w:rsid w:val="49D163A6"/>
    <w:rsid w:val="49D3061B"/>
    <w:rsid w:val="49D40B48"/>
    <w:rsid w:val="49D44288"/>
    <w:rsid w:val="49D50473"/>
    <w:rsid w:val="49D61A36"/>
    <w:rsid w:val="49D62A28"/>
    <w:rsid w:val="49D959A8"/>
    <w:rsid w:val="49D97E23"/>
    <w:rsid w:val="49DC38E3"/>
    <w:rsid w:val="49DE7D7D"/>
    <w:rsid w:val="49DF3484"/>
    <w:rsid w:val="49DF4F36"/>
    <w:rsid w:val="49DF61B7"/>
    <w:rsid w:val="49E03FD4"/>
    <w:rsid w:val="49E05655"/>
    <w:rsid w:val="49E05B69"/>
    <w:rsid w:val="49E07A86"/>
    <w:rsid w:val="49E14F29"/>
    <w:rsid w:val="49E168A5"/>
    <w:rsid w:val="49E22C95"/>
    <w:rsid w:val="49E35145"/>
    <w:rsid w:val="49E50348"/>
    <w:rsid w:val="49E54D18"/>
    <w:rsid w:val="49E67045"/>
    <w:rsid w:val="49E82739"/>
    <w:rsid w:val="49E8275C"/>
    <w:rsid w:val="49E84B3E"/>
    <w:rsid w:val="49EA4B3E"/>
    <w:rsid w:val="49EC0A6E"/>
    <w:rsid w:val="49EC131F"/>
    <w:rsid w:val="49EE288A"/>
    <w:rsid w:val="49EE755D"/>
    <w:rsid w:val="49EF1838"/>
    <w:rsid w:val="49EF447C"/>
    <w:rsid w:val="49F106F9"/>
    <w:rsid w:val="49F20EE5"/>
    <w:rsid w:val="49F272D5"/>
    <w:rsid w:val="49F41101"/>
    <w:rsid w:val="49F4218E"/>
    <w:rsid w:val="49F60938"/>
    <w:rsid w:val="49F716EE"/>
    <w:rsid w:val="49FA066A"/>
    <w:rsid w:val="49FA2907"/>
    <w:rsid w:val="49FA4868"/>
    <w:rsid w:val="49FB27CB"/>
    <w:rsid w:val="49FC1B85"/>
    <w:rsid w:val="49FC7D03"/>
    <w:rsid w:val="49FD0DEB"/>
    <w:rsid w:val="49FD4614"/>
    <w:rsid w:val="49FE3D2D"/>
    <w:rsid w:val="49FF0B41"/>
    <w:rsid w:val="4A012977"/>
    <w:rsid w:val="4A01739E"/>
    <w:rsid w:val="4A060A4E"/>
    <w:rsid w:val="4A062BE2"/>
    <w:rsid w:val="4A096A42"/>
    <w:rsid w:val="4A0A0924"/>
    <w:rsid w:val="4A0A52C4"/>
    <w:rsid w:val="4A0B1FA6"/>
    <w:rsid w:val="4A0B4EFC"/>
    <w:rsid w:val="4A0B78AA"/>
    <w:rsid w:val="4A0C0D60"/>
    <w:rsid w:val="4A0C3094"/>
    <w:rsid w:val="4A0D425E"/>
    <w:rsid w:val="4A0D7F63"/>
    <w:rsid w:val="4A0F3991"/>
    <w:rsid w:val="4A104D8E"/>
    <w:rsid w:val="4A11094A"/>
    <w:rsid w:val="4A11593B"/>
    <w:rsid w:val="4A1219B9"/>
    <w:rsid w:val="4A123335"/>
    <w:rsid w:val="4A127E7C"/>
    <w:rsid w:val="4A136EB3"/>
    <w:rsid w:val="4A141944"/>
    <w:rsid w:val="4A143C74"/>
    <w:rsid w:val="4A1470AD"/>
    <w:rsid w:val="4A187508"/>
    <w:rsid w:val="4A190B67"/>
    <w:rsid w:val="4A194AA5"/>
    <w:rsid w:val="4A196158"/>
    <w:rsid w:val="4A1969DF"/>
    <w:rsid w:val="4A1A7EB8"/>
    <w:rsid w:val="4A1B68CF"/>
    <w:rsid w:val="4A1B7B53"/>
    <w:rsid w:val="4A1E474B"/>
    <w:rsid w:val="4A1E617D"/>
    <w:rsid w:val="4A205A52"/>
    <w:rsid w:val="4A2117CA"/>
    <w:rsid w:val="4A221B3B"/>
    <w:rsid w:val="4A2221F1"/>
    <w:rsid w:val="4A2329A2"/>
    <w:rsid w:val="4A2455BB"/>
    <w:rsid w:val="4A2644D8"/>
    <w:rsid w:val="4A271BA8"/>
    <w:rsid w:val="4A277DCF"/>
    <w:rsid w:val="4A282B58"/>
    <w:rsid w:val="4A283870"/>
    <w:rsid w:val="4A286032"/>
    <w:rsid w:val="4A2A5A2A"/>
    <w:rsid w:val="4A2A71E6"/>
    <w:rsid w:val="4A2D17DA"/>
    <w:rsid w:val="4A2D3278"/>
    <w:rsid w:val="4A2D4613"/>
    <w:rsid w:val="4A2E02A3"/>
    <w:rsid w:val="4A2F26B5"/>
    <w:rsid w:val="4A3132A3"/>
    <w:rsid w:val="4A314F18"/>
    <w:rsid w:val="4A322A7B"/>
    <w:rsid w:val="4A34212D"/>
    <w:rsid w:val="4A3542F0"/>
    <w:rsid w:val="4A3610EE"/>
    <w:rsid w:val="4A36651E"/>
    <w:rsid w:val="4A37498A"/>
    <w:rsid w:val="4A385466"/>
    <w:rsid w:val="4A387440"/>
    <w:rsid w:val="4A392CC1"/>
    <w:rsid w:val="4A393ED1"/>
    <w:rsid w:val="4A3A0625"/>
    <w:rsid w:val="4A3A40E2"/>
    <w:rsid w:val="4A3B456D"/>
    <w:rsid w:val="4A3D0F9E"/>
    <w:rsid w:val="4A3F3BEF"/>
    <w:rsid w:val="4A420E14"/>
    <w:rsid w:val="4A435BE4"/>
    <w:rsid w:val="4A443E36"/>
    <w:rsid w:val="4A445C00"/>
    <w:rsid w:val="4A4473A8"/>
    <w:rsid w:val="4A45195C"/>
    <w:rsid w:val="4A4554B8"/>
    <w:rsid w:val="4A4622FF"/>
    <w:rsid w:val="4A463AC2"/>
    <w:rsid w:val="4A4640A6"/>
    <w:rsid w:val="4A4717E4"/>
    <w:rsid w:val="4A477482"/>
    <w:rsid w:val="4A49425E"/>
    <w:rsid w:val="4A4A6F73"/>
    <w:rsid w:val="4A4B063D"/>
    <w:rsid w:val="4A4C0921"/>
    <w:rsid w:val="4A4C0CA0"/>
    <w:rsid w:val="4A4C15BD"/>
    <w:rsid w:val="4A4C4A99"/>
    <w:rsid w:val="4A4D2F1D"/>
    <w:rsid w:val="4A4D3B5A"/>
    <w:rsid w:val="4A4E4B27"/>
    <w:rsid w:val="4A506997"/>
    <w:rsid w:val="4A510301"/>
    <w:rsid w:val="4A541B9F"/>
    <w:rsid w:val="4A54799B"/>
    <w:rsid w:val="4A557B85"/>
    <w:rsid w:val="4A566008"/>
    <w:rsid w:val="4A587821"/>
    <w:rsid w:val="4A5907F7"/>
    <w:rsid w:val="4A591F36"/>
    <w:rsid w:val="4A597367"/>
    <w:rsid w:val="4A5B6485"/>
    <w:rsid w:val="4A5C704D"/>
    <w:rsid w:val="4A5F2D28"/>
    <w:rsid w:val="4A611EAC"/>
    <w:rsid w:val="4A61284F"/>
    <w:rsid w:val="4A686EA2"/>
    <w:rsid w:val="4A6921BC"/>
    <w:rsid w:val="4A6A1E68"/>
    <w:rsid w:val="4A6A6726"/>
    <w:rsid w:val="4A6A7B82"/>
    <w:rsid w:val="4A6D5156"/>
    <w:rsid w:val="4A6E2C61"/>
    <w:rsid w:val="4A71188D"/>
    <w:rsid w:val="4A714435"/>
    <w:rsid w:val="4A7428FC"/>
    <w:rsid w:val="4A761B16"/>
    <w:rsid w:val="4A783B7D"/>
    <w:rsid w:val="4A786B89"/>
    <w:rsid w:val="4A795555"/>
    <w:rsid w:val="4A7A7858"/>
    <w:rsid w:val="4A7B0D39"/>
    <w:rsid w:val="4A7D4746"/>
    <w:rsid w:val="4A7F4E6E"/>
    <w:rsid w:val="4A7F68C4"/>
    <w:rsid w:val="4A804742"/>
    <w:rsid w:val="4A817E09"/>
    <w:rsid w:val="4A82463D"/>
    <w:rsid w:val="4A826450"/>
    <w:rsid w:val="4A826C74"/>
    <w:rsid w:val="4A832F04"/>
    <w:rsid w:val="4A852C58"/>
    <w:rsid w:val="4A854C57"/>
    <w:rsid w:val="4A86076F"/>
    <w:rsid w:val="4A8703E5"/>
    <w:rsid w:val="4A871F75"/>
    <w:rsid w:val="4A875AD1"/>
    <w:rsid w:val="4A875D35"/>
    <w:rsid w:val="4A881F75"/>
    <w:rsid w:val="4A893E18"/>
    <w:rsid w:val="4A8A0A8C"/>
    <w:rsid w:val="4A8A11FE"/>
    <w:rsid w:val="4A8A58B4"/>
    <w:rsid w:val="4A8A7B79"/>
    <w:rsid w:val="4A8A7C24"/>
    <w:rsid w:val="4A8B5835"/>
    <w:rsid w:val="4A8B6CBC"/>
    <w:rsid w:val="4A8C0235"/>
    <w:rsid w:val="4A8C79A3"/>
    <w:rsid w:val="4A8D15A5"/>
    <w:rsid w:val="4A8E048D"/>
    <w:rsid w:val="4A8E0B76"/>
    <w:rsid w:val="4A8E32B5"/>
    <w:rsid w:val="4A8E6C3F"/>
    <w:rsid w:val="4A903009"/>
    <w:rsid w:val="4A91628C"/>
    <w:rsid w:val="4A927BF6"/>
    <w:rsid w:val="4A94151F"/>
    <w:rsid w:val="4A942154"/>
    <w:rsid w:val="4A952A50"/>
    <w:rsid w:val="4A97538A"/>
    <w:rsid w:val="4A994FDC"/>
    <w:rsid w:val="4A996122"/>
    <w:rsid w:val="4A9B420A"/>
    <w:rsid w:val="4A9B4979"/>
    <w:rsid w:val="4A9C36AB"/>
    <w:rsid w:val="4A9C3D23"/>
    <w:rsid w:val="4A9D48C2"/>
    <w:rsid w:val="4A9E2235"/>
    <w:rsid w:val="4A9F69F6"/>
    <w:rsid w:val="4AA04A4A"/>
    <w:rsid w:val="4AA14DCA"/>
    <w:rsid w:val="4AA236EF"/>
    <w:rsid w:val="4AA5422C"/>
    <w:rsid w:val="4AA55082"/>
    <w:rsid w:val="4AA62C09"/>
    <w:rsid w:val="4AA657A7"/>
    <w:rsid w:val="4AA743C5"/>
    <w:rsid w:val="4AA95536"/>
    <w:rsid w:val="4AA96DEB"/>
    <w:rsid w:val="4AAA0937"/>
    <w:rsid w:val="4AAB2487"/>
    <w:rsid w:val="4AAB4E1B"/>
    <w:rsid w:val="4AAC38F7"/>
    <w:rsid w:val="4AAE359D"/>
    <w:rsid w:val="4AAE37E5"/>
    <w:rsid w:val="4AAF022C"/>
    <w:rsid w:val="4AB125E6"/>
    <w:rsid w:val="4AB12B4E"/>
    <w:rsid w:val="4AB13168"/>
    <w:rsid w:val="4AB27C27"/>
    <w:rsid w:val="4AB368C6"/>
    <w:rsid w:val="4AB425FA"/>
    <w:rsid w:val="4AB47520"/>
    <w:rsid w:val="4AB55388"/>
    <w:rsid w:val="4AB56533"/>
    <w:rsid w:val="4AB64608"/>
    <w:rsid w:val="4AB937DA"/>
    <w:rsid w:val="4AB96C8C"/>
    <w:rsid w:val="4AB97C54"/>
    <w:rsid w:val="4ABB1C1E"/>
    <w:rsid w:val="4ABD2826"/>
    <w:rsid w:val="4ABF38B7"/>
    <w:rsid w:val="4AC01810"/>
    <w:rsid w:val="4AC11201"/>
    <w:rsid w:val="4AC175E9"/>
    <w:rsid w:val="4AC40FC0"/>
    <w:rsid w:val="4AC549B3"/>
    <w:rsid w:val="4AC87243"/>
    <w:rsid w:val="4AC960E9"/>
    <w:rsid w:val="4ACB4469"/>
    <w:rsid w:val="4ACB4AB7"/>
    <w:rsid w:val="4ACC7DBB"/>
    <w:rsid w:val="4ACD182F"/>
    <w:rsid w:val="4ACE33B8"/>
    <w:rsid w:val="4ACF1226"/>
    <w:rsid w:val="4AD05CCA"/>
    <w:rsid w:val="4AD0696B"/>
    <w:rsid w:val="4AD11A44"/>
    <w:rsid w:val="4AD13715"/>
    <w:rsid w:val="4AD14F7B"/>
    <w:rsid w:val="4AD351BA"/>
    <w:rsid w:val="4AD64A28"/>
    <w:rsid w:val="4AD64D94"/>
    <w:rsid w:val="4AD67850"/>
    <w:rsid w:val="4AD8457E"/>
    <w:rsid w:val="4AD86607"/>
    <w:rsid w:val="4ADA02F6"/>
    <w:rsid w:val="4ADA1F51"/>
    <w:rsid w:val="4ADA402D"/>
    <w:rsid w:val="4ADA76CA"/>
    <w:rsid w:val="4ADB7BCB"/>
    <w:rsid w:val="4ADC166D"/>
    <w:rsid w:val="4AE01A9F"/>
    <w:rsid w:val="4AE0280A"/>
    <w:rsid w:val="4AE31708"/>
    <w:rsid w:val="4AE3237F"/>
    <w:rsid w:val="4AE37EC4"/>
    <w:rsid w:val="4AE42F23"/>
    <w:rsid w:val="4AE47C47"/>
    <w:rsid w:val="4AE57D42"/>
    <w:rsid w:val="4AE63296"/>
    <w:rsid w:val="4AE64014"/>
    <w:rsid w:val="4AE90040"/>
    <w:rsid w:val="4AEC00D2"/>
    <w:rsid w:val="4AED6F13"/>
    <w:rsid w:val="4AEE5B8A"/>
    <w:rsid w:val="4AEF71FC"/>
    <w:rsid w:val="4AF017B6"/>
    <w:rsid w:val="4AF03B50"/>
    <w:rsid w:val="4AF15640"/>
    <w:rsid w:val="4AF314C2"/>
    <w:rsid w:val="4AF3480F"/>
    <w:rsid w:val="4AF34C17"/>
    <w:rsid w:val="4AF553E1"/>
    <w:rsid w:val="4AF57E89"/>
    <w:rsid w:val="4AF60EA8"/>
    <w:rsid w:val="4AF616B9"/>
    <w:rsid w:val="4AF675BB"/>
    <w:rsid w:val="4AF80576"/>
    <w:rsid w:val="4AF93059"/>
    <w:rsid w:val="4AFB5026"/>
    <w:rsid w:val="4AFC06FA"/>
    <w:rsid w:val="4AFC1234"/>
    <w:rsid w:val="4AFD39A8"/>
    <w:rsid w:val="4B01019B"/>
    <w:rsid w:val="4B013AD5"/>
    <w:rsid w:val="4B022911"/>
    <w:rsid w:val="4B02365E"/>
    <w:rsid w:val="4B061D2B"/>
    <w:rsid w:val="4B06639C"/>
    <w:rsid w:val="4B067AC7"/>
    <w:rsid w:val="4B083125"/>
    <w:rsid w:val="4B084CA7"/>
    <w:rsid w:val="4B0917C6"/>
    <w:rsid w:val="4B09298A"/>
    <w:rsid w:val="4B093459"/>
    <w:rsid w:val="4B0949F0"/>
    <w:rsid w:val="4B0A06F0"/>
    <w:rsid w:val="4B0B256E"/>
    <w:rsid w:val="4B0C247A"/>
    <w:rsid w:val="4B0C4228"/>
    <w:rsid w:val="4B0F6C49"/>
    <w:rsid w:val="4B1135EE"/>
    <w:rsid w:val="4B115A3A"/>
    <w:rsid w:val="4B123BE5"/>
    <w:rsid w:val="4B130E75"/>
    <w:rsid w:val="4B131179"/>
    <w:rsid w:val="4B1411AE"/>
    <w:rsid w:val="4B144A88"/>
    <w:rsid w:val="4B145A94"/>
    <w:rsid w:val="4B176459"/>
    <w:rsid w:val="4B1853D9"/>
    <w:rsid w:val="4B1A4B97"/>
    <w:rsid w:val="4B1A77E9"/>
    <w:rsid w:val="4B1B446B"/>
    <w:rsid w:val="4B1D60B4"/>
    <w:rsid w:val="4B1D6435"/>
    <w:rsid w:val="4B2072B5"/>
    <w:rsid w:val="4B234341"/>
    <w:rsid w:val="4B240433"/>
    <w:rsid w:val="4B24656C"/>
    <w:rsid w:val="4B247725"/>
    <w:rsid w:val="4B264E2E"/>
    <w:rsid w:val="4B286C96"/>
    <w:rsid w:val="4B2B0B52"/>
    <w:rsid w:val="4B2B4712"/>
    <w:rsid w:val="4B2C57A1"/>
    <w:rsid w:val="4B2D35EC"/>
    <w:rsid w:val="4B2D5614"/>
    <w:rsid w:val="4B2D5C7B"/>
    <w:rsid w:val="4B2D7FF0"/>
    <w:rsid w:val="4B2E7EB5"/>
    <w:rsid w:val="4B2F6482"/>
    <w:rsid w:val="4B306168"/>
    <w:rsid w:val="4B315A3D"/>
    <w:rsid w:val="4B322C72"/>
    <w:rsid w:val="4B3307EA"/>
    <w:rsid w:val="4B3321D3"/>
    <w:rsid w:val="4B346060"/>
    <w:rsid w:val="4B346093"/>
    <w:rsid w:val="4B351A1C"/>
    <w:rsid w:val="4B35552D"/>
    <w:rsid w:val="4B383D0F"/>
    <w:rsid w:val="4B390CF8"/>
    <w:rsid w:val="4B393B9C"/>
    <w:rsid w:val="4B3A626E"/>
    <w:rsid w:val="4B3B6352"/>
    <w:rsid w:val="4B3C67D0"/>
    <w:rsid w:val="4B3D30C2"/>
    <w:rsid w:val="4B3F7FA2"/>
    <w:rsid w:val="4B40778C"/>
    <w:rsid w:val="4B41548C"/>
    <w:rsid w:val="4B423A7D"/>
    <w:rsid w:val="4B43508C"/>
    <w:rsid w:val="4B435E28"/>
    <w:rsid w:val="4B437748"/>
    <w:rsid w:val="4B4439DD"/>
    <w:rsid w:val="4B447384"/>
    <w:rsid w:val="4B460B9A"/>
    <w:rsid w:val="4B472694"/>
    <w:rsid w:val="4B4770E7"/>
    <w:rsid w:val="4B480906"/>
    <w:rsid w:val="4B483CBF"/>
    <w:rsid w:val="4B4A0E9F"/>
    <w:rsid w:val="4B4B0C60"/>
    <w:rsid w:val="4B4B6AFE"/>
    <w:rsid w:val="4B4B6DB8"/>
    <w:rsid w:val="4B4D0232"/>
    <w:rsid w:val="4B4D1302"/>
    <w:rsid w:val="4B4E4840"/>
    <w:rsid w:val="4B4E4CA4"/>
    <w:rsid w:val="4B50165A"/>
    <w:rsid w:val="4B531D67"/>
    <w:rsid w:val="4B532522"/>
    <w:rsid w:val="4B55797D"/>
    <w:rsid w:val="4B564ED1"/>
    <w:rsid w:val="4B565F03"/>
    <w:rsid w:val="4B5670C1"/>
    <w:rsid w:val="4B57215C"/>
    <w:rsid w:val="4B5857BC"/>
    <w:rsid w:val="4B5A4642"/>
    <w:rsid w:val="4B5B0112"/>
    <w:rsid w:val="4B5C17F2"/>
    <w:rsid w:val="4B5C522D"/>
    <w:rsid w:val="4B5F07FC"/>
    <w:rsid w:val="4B606CD6"/>
    <w:rsid w:val="4B621EE9"/>
    <w:rsid w:val="4B644823"/>
    <w:rsid w:val="4B6469E3"/>
    <w:rsid w:val="4B662CF3"/>
    <w:rsid w:val="4B684F80"/>
    <w:rsid w:val="4B6865F8"/>
    <w:rsid w:val="4B691906"/>
    <w:rsid w:val="4B692A55"/>
    <w:rsid w:val="4B693428"/>
    <w:rsid w:val="4B694AD0"/>
    <w:rsid w:val="4B697D1F"/>
    <w:rsid w:val="4B6C2A28"/>
    <w:rsid w:val="4B6C5C1A"/>
    <w:rsid w:val="4B6D2BE1"/>
    <w:rsid w:val="4B6D3EB8"/>
    <w:rsid w:val="4B6D75F5"/>
    <w:rsid w:val="4B6E60E6"/>
    <w:rsid w:val="4B6F1D2F"/>
    <w:rsid w:val="4B6F70BB"/>
    <w:rsid w:val="4B70269A"/>
    <w:rsid w:val="4B7047B7"/>
    <w:rsid w:val="4B72052F"/>
    <w:rsid w:val="4B732EB7"/>
    <w:rsid w:val="4B7365E9"/>
    <w:rsid w:val="4B75001F"/>
    <w:rsid w:val="4B7508EB"/>
    <w:rsid w:val="4B751DCD"/>
    <w:rsid w:val="4B7630FE"/>
    <w:rsid w:val="4B763ADA"/>
    <w:rsid w:val="4B786AAC"/>
    <w:rsid w:val="4B794D02"/>
    <w:rsid w:val="4B7A69FB"/>
    <w:rsid w:val="4B7B771D"/>
    <w:rsid w:val="4B7D3DA0"/>
    <w:rsid w:val="4B7D6453"/>
    <w:rsid w:val="4B7D6ED4"/>
    <w:rsid w:val="4B8168D3"/>
    <w:rsid w:val="4B820492"/>
    <w:rsid w:val="4B827CCB"/>
    <w:rsid w:val="4B830231"/>
    <w:rsid w:val="4B8360DE"/>
    <w:rsid w:val="4B837C53"/>
    <w:rsid w:val="4B841097"/>
    <w:rsid w:val="4B855CC3"/>
    <w:rsid w:val="4B856B5C"/>
    <w:rsid w:val="4B876F79"/>
    <w:rsid w:val="4B89356C"/>
    <w:rsid w:val="4B8A01B9"/>
    <w:rsid w:val="4B8A0932"/>
    <w:rsid w:val="4B8A23BC"/>
    <w:rsid w:val="4B8A5BFC"/>
    <w:rsid w:val="4B8C393D"/>
    <w:rsid w:val="4B8C3A5E"/>
    <w:rsid w:val="4B8C6054"/>
    <w:rsid w:val="4B8E31F1"/>
    <w:rsid w:val="4B8E4C43"/>
    <w:rsid w:val="4B9013AB"/>
    <w:rsid w:val="4B9158FA"/>
    <w:rsid w:val="4B924743"/>
    <w:rsid w:val="4B935D79"/>
    <w:rsid w:val="4B941D1B"/>
    <w:rsid w:val="4B942912"/>
    <w:rsid w:val="4B9508C3"/>
    <w:rsid w:val="4B963DBC"/>
    <w:rsid w:val="4B964232"/>
    <w:rsid w:val="4B9B77BD"/>
    <w:rsid w:val="4B9C6C39"/>
    <w:rsid w:val="4B9D38F6"/>
    <w:rsid w:val="4B9D67A4"/>
    <w:rsid w:val="4B9E3542"/>
    <w:rsid w:val="4B9E37E5"/>
    <w:rsid w:val="4B9E3BAC"/>
    <w:rsid w:val="4BA04369"/>
    <w:rsid w:val="4BA139AE"/>
    <w:rsid w:val="4BA15DFE"/>
    <w:rsid w:val="4BA202BD"/>
    <w:rsid w:val="4BA314CC"/>
    <w:rsid w:val="4BA31A6D"/>
    <w:rsid w:val="4BA3693A"/>
    <w:rsid w:val="4BA52BF7"/>
    <w:rsid w:val="4BA57037"/>
    <w:rsid w:val="4BA63D67"/>
    <w:rsid w:val="4BA650B0"/>
    <w:rsid w:val="4BA744DE"/>
    <w:rsid w:val="4BA9144B"/>
    <w:rsid w:val="4BA9153A"/>
    <w:rsid w:val="4BA92ECC"/>
    <w:rsid w:val="4BAD2C65"/>
    <w:rsid w:val="4BAD3AD1"/>
    <w:rsid w:val="4BAF5028"/>
    <w:rsid w:val="4BAF7CFE"/>
    <w:rsid w:val="4BB10299"/>
    <w:rsid w:val="4BB23021"/>
    <w:rsid w:val="4BB351BD"/>
    <w:rsid w:val="4BB41C5E"/>
    <w:rsid w:val="4BB513C0"/>
    <w:rsid w:val="4BB616EF"/>
    <w:rsid w:val="4BB672A9"/>
    <w:rsid w:val="4BB741F4"/>
    <w:rsid w:val="4BB80AF8"/>
    <w:rsid w:val="4BB83E2E"/>
    <w:rsid w:val="4BB9041C"/>
    <w:rsid w:val="4BBA2895"/>
    <w:rsid w:val="4BBA309A"/>
    <w:rsid w:val="4BBA394F"/>
    <w:rsid w:val="4BBA7F44"/>
    <w:rsid w:val="4BBD1469"/>
    <w:rsid w:val="4BC05E44"/>
    <w:rsid w:val="4BC108B4"/>
    <w:rsid w:val="4BC17CF1"/>
    <w:rsid w:val="4BC23325"/>
    <w:rsid w:val="4BC61367"/>
    <w:rsid w:val="4BC72261"/>
    <w:rsid w:val="4BC83C1B"/>
    <w:rsid w:val="4BCA052C"/>
    <w:rsid w:val="4BCA30C8"/>
    <w:rsid w:val="4BCA4542"/>
    <w:rsid w:val="4BCA664B"/>
    <w:rsid w:val="4BCB40E3"/>
    <w:rsid w:val="4BCC3193"/>
    <w:rsid w:val="4BCC5D64"/>
    <w:rsid w:val="4BCC7E5E"/>
    <w:rsid w:val="4BCD4BF1"/>
    <w:rsid w:val="4BD008F2"/>
    <w:rsid w:val="4BD02864"/>
    <w:rsid w:val="4BD20495"/>
    <w:rsid w:val="4BD22A3C"/>
    <w:rsid w:val="4BD5286C"/>
    <w:rsid w:val="4BD5303E"/>
    <w:rsid w:val="4BD53BB9"/>
    <w:rsid w:val="4BD63105"/>
    <w:rsid w:val="4BD63114"/>
    <w:rsid w:val="4BD66E16"/>
    <w:rsid w:val="4BD72140"/>
    <w:rsid w:val="4BD81F5F"/>
    <w:rsid w:val="4BD877C8"/>
    <w:rsid w:val="4BDA1471"/>
    <w:rsid w:val="4BDA148F"/>
    <w:rsid w:val="4BDC009E"/>
    <w:rsid w:val="4BDC6496"/>
    <w:rsid w:val="4BDC6AE3"/>
    <w:rsid w:val="4BDD3035"/>
    <w:rsid w:val="4BDE7BB0"/>
    <w:rsid w:val="4BDF12E5"/>
    <w:rsid w:val="4BE02AF3"/>
    <w:rsid w:val="4BE04229"/>
    <w:rsid w:val="4BE23B43"/>
    <w:rsid w:val="4BE26BC2"/>
    <w:rsid w:val="4BE513DA"/>
    <w:rsid w:val="4BE64A79"/>
    <w:rsid w:val="4BE7296C"/>
    <w:rsid w:val="4BE859C8"/>
    <w:rsid w:val="4BE912B7"/>
    <w:rsid w:val="4BEB0653"/>
    <w:rsid w:val="4BEB540D"/>
    <w:rsid w:val="4BEC5CFE"/>
    <w:rsid w:val="4BF032EC"/>
    <w:rsid w:val="4BF03FDE"/>
    <w:rsid w:val="4BF13B63"/>
    <w:rsid w:val="4BF1543B"/>
    <w:rsid w:val="4BF221BC"/>
    <w:rsid w:val="4BF302B0"/>
    <w:rsid w:val="4BF334A5"/>
    <w:rsid w:val="4BF3382D"/>
    <w:rsid w:val="4BF43277"/>
    <w:rsid w:val="4BF453E8"/>
    <w:rsid w:val="4BF51ACD"/>
    <w:rsid w:val="4BF575C3"/>
    <w:rsid w:val="4BF577C6"/>
    <w:rsid w:val="4BF61160"/>
    <w:rsid w:val="4BF671B9"/>
    <w:rsid w:val="4C001E3B"/>
    <w:rsid w:val="4C004BDE"/>
    <w:rsid w:val="4C0207BC"/>
    <w:rsid w:val="4C026800"/>
    <w:rsid w:val="4C040D3F"/>
    <w:rsid w:val="4C0570BC"/>
    <w:rsid w:val="4C071319"/>
    <w:rsid w:val="4C071E26"/>
    <w:rsid w:val="4C077053"/>
    <w:rsid w:val="4C0818C8"/>
    <w:rsid w:val="4C08221F"/>
    <w:rsid w:val="4C0849EF"/>
    <w:rsid w:val="4C095B5D"/>
    <w:rsid w:val="4C0C1E1C"/>
    <w:rsid w:val="4C0D1851"/>
    <w:rsid w:val="4C0D429C"/>
    <w:rsid w:val="4C0E74EC"/>
    <w:rsid w:val="4C1027A3"/>
    <w:rsid w:val="4C107D48"/>
    <w:rsid w:val="4C117FBC"/>
    <w:rsid w:val="4C1232CF"/>
    <w:rsid w:val="4C135C12"/>
    <w:rsid w:val="4C1415E6"/>
    <w:rsid w:val="4C14526B"/>
    <w:rsid w:val="4C150230"/>
    <w:rsid w:val="4C1532E2"/>
    <w:rsid w:val="4C1536E5"/>
    <w:rsid w:val="4C1566AE"/>
    <w:rsid w:val="4C157E96"/>
    <w:rsid w:val="4C1720CC"/>
    <w:rsid w:val="4C1765BF"/>
    <w:rsid w:val="4C176A51"/>
    <w:rsid w:val="4C1840F3"/>
    <w:rsid w:val="4C18651C"/>
    <w:rsid w:val="4C186974"/>
    <w:rsid w:val="4C187578"/>
    <w:rsid w:val="4C1A1186"/>
    <w:rsid w:val="4C1B3AE5"/>
    <w:rsid w:val="4C1D5C33"/>
    <w:rsid w:val="4C1E4213"/>
    <w:rsid w:val="4C20645B"/>
    <w:rsid w:val="4C214760"/>
    <w:rsid w:val="4C215795"/>
    <w:rsid w:val="4C21697F"/>
    <w:rsid w:val="4C217F44"/>
    <w:rsid w:val="4C242BBD"/>
    <w:rsid w:val="4C250A44"/>
    <w:rsid w:val="4C25154C"/>
    <w:rsid w:val="4C252A72"/>
    <w:rsid w:val="4C257A37"/>
    <w:rsid w:val="4C2771D6"/>
    <w:rsid w:val="4C285E4C"/>
    <w:rsid w:val="4C286C77"/>
    <w:rsid w:val="4C28759A"/>
    <w:rsid w:val="4C2C7C0F"/>
    <w:rsid w:val="4C2E1799"/>
    <w:rsid w:val="4C2F6420"/>
    <w:rsid w:val="4C2F7123"/>
    <w:rsid w:val="4C3039A2"/>
    <w:rsid w:val="4C325F10"/>
    <w:rsid w:val="4C335F9C"/>
    <w:rsid w:val="4C34368B"/>
    <w:rsid w:val="4C35403A"/>
    <w:rsid w:val="4C356CEC"/>
    <w:rsid w:val="4C360602"/>
    <w:rsid w:val="4C373AFD"/>
    <w:rsid w:val="4C3801D3"/>
    <w:rsid w:val="4C382ABD"/>
    <w:rsid w:val="4C39104D"/>
    <w:rsid w:val="4C3A380D"/>
    <w:rsid w:val="4C3A4176"/>
    <w:rsid w:val="4C3B065C"/>
    <w:rsid w:val="4C3B583D"/>
    <w:rsid w:val="4C3E67FC"/>
    <w:rsid w:val="4C4119A7"/>
    <w:rsid w:val="4C426F80"/>
    <w:rsid w:val="4C4311BD"/>
    <w:rsid w:val="4C434A2D"/>
    <w:rsid w:val="4C452244"/>
    <w:rsid w:val="4C460902"/>
    <w:rsid w:val="4C462F90"/>
    <w:rsid w:val="4C485734"/>
    <w:rsid w:val="4C4C1952"/>
    <w:rsid w:val="4C4F3781"/>
    <w:rsid w:val="4C4F5E62"/>
    <w:rsid w:val="4C52210E"/>
    <w:rsid w:val="4C523EBC"/>
    <w:rsid w:val="4C545088"/>
    <w:rsid w:val="4C5477EB"/>
    <w:rsid w:val="4C550B88"/>
    <w:rsid w:val="4C560F29"/>
    <w:rsid w:val="4C561BFF"/>
    <w:rsid w:val="4C561F0E"/>
    <w:rsid w:val="4C566B5F"/>
    <w:rsid w:val="4C571AC7"/>
    <w:rsid w:val="4C5744E1"/>
    <w:rsid w:val="4C576ECB"/>
    <w:rsid w:val="4C59132B"/>
    <w:rsid w:val="4C5916EF"/>
    <w:rsid w:val="4C5B038F"/>
    <w:rsid w:val="4C5C2F8D"/>
    <w:rsid w:val="4C5C7478"/>
    <w:rsid w:val="4C5D5F56"/>
    <w:rsid w:val="4C5E7566"/>
    <w:rsid w:val="4C5F726F"/>
    <w:rsid w:val="4C6030C0"/>
    <w:rsid w:val="4C604A40"/>
    <w:rsid w:val="4C613F7C"/>
    <w:rsid w:val="4C61656D"/>
    <w:rsid w:val="4C6222FA"/>
    <w:rsid w:val="4C624B27"/>
    <w:rsid w:val="4C634E7D"/>
    <w:rsid w:val="4C64110B"/>
    <w:rsid w:val="4C653921"/>
    <w:rsid w:val="4C6576EC"/>
    <w:rsid w:val="4C6644FE"/>
    <w:rsid w:val="4C66692A"/>
    <w:rsid w:val="4C682C01"/>
    <w:rsid w:val="4C6B1110"/>
    <w:rsid w:val="4C6B4F28"/>
    <w:rsid w:val="4C6E2610"/>
    <w:rsid w:val="4C6E4433"/>
    <w:rsid w:val="4C6E544A"/>
    <w:rsid w:val="4C6F0F12"/>
    <w:rsid w:val="4C6F3A23"/>
    <w:rsid w:val="4C6F4A6E"/>
    <w:rsid w:val="4C704112"/>
    <w:rsid w:val="4C714C8A"/>
    <w:rsid w:val="4C72305B"/>
    <w:rsid w:val="4C7555EC"/>
    <w:rsid w:val="4C764325"/>
    <w:rsid w:val="4C776CFA"/>
    <w:rsid w:val="4C780389"/>
    <w:rsid w:val="4C7A0B36"/>
    <w:rsid w:val="4C7B73ED"/>
    <w:rsid w:val="4C7B78B7"/>
    <w:rsid w:val="4C7D3EC6"/>
    <w:rsid w:val="4C7D6BEF"/>
    <w:rsid w:val="4C7E15B6"/>
    <w:rsid w:val="4C7E1A56"/>
    <w:rsid w:val="4C7F7765"/>
    <w:rsid w:val="4C801545"/>
    <w:rsid w:val="4C8107A0"/>
    <w:rsid w:val="4C820493"/>
    <w:rsid w:val="4C820662"/>
    <w:rsid w:val="4C8224FA"/>
    <w:rsid w:val="4C8272C8"/>
    <w:rsid w:val="4C83051A"/>
    <w:rsid w:val="4C830F58"/>
    <w:rsid w:val="4C840CF7"/>
    <w:rsid w:val="4C847D2F"/>
    <w:rsid w:val="4C871DB8"/>
    <w:rsid w:val="4C8845CA"/>
    <w:rsid w:val="4C893A5C"/>
    <w:rsid w:val="4C8A3367"/>
    <w:rsid w:val="4C8C2ED0"/>
    <w:rsid w:val="4C8C310F"/>
    <w:rsid w:val="4C8C3872"/>
    <w:rsid w:val="4C8D34B8"/>
    <w:rsid w:val="4C8D5D26"/>
    <w:rsid w:val="4C8E7EF7"/>
    <w:rsid w:val="4C8F2CAD"/>
    <w:rsid w:val="4C8F6EBF"/>
    <w:rsid w:val="4C922150"/>
    <w:rsid w:val="4C924959"/>
    <w:rsid w:val="4C9300FE"/>
    <w:rsid w:val="4C9359CC"/>
    <w:rsid w:val="4C93644B"/>
    <w:rsid w:val="4C9414B3"/>
    <w:rsid w:val="4C944053"/>
    <w:rsid w:val="4C951A02"/>
    <w:rsid w:val="4C952CDF"/>
    <w:rsid w:val="4C96024D"/>
    <w:rsid w:val="4C9659ED"/>
    <w:rsid w:val="4C96649F"/>
    <w:rsid w:val="4C966BCE"/>
    <w:rsid w:val="4C9704DA"/>
    <w:rsid w:val="4C970E98"/>
    <w:rsid w:val="4C976D08"/>
    <w:rsid w:val="4C9900C6"/>
    <w:rsid w:val="4C9A2AE8"/>
    <w:rsid w:val="4C9A3174"/>
    <w:rsid w:val="4C9B3AA9"/>
    <w:rsid w:val="4C9B737F"/>
    <w:rsid w:val="4C9C0900"/>
    <w:rsid w:val="4C9C5185"/>
    <w:rsid w:val="4C9E31DB"/>
    <w:rsid w:val="4C9F32BB"/>
    <w:rsid w:val="4C9F3BFF"/>
    <w:rsid w:val="4CA01F0D"/>
    <w:rsid w:val="4CA103D5"/>
    <w:rsid w:val="4CA27F4D"/>
    <w:rsid w:val="4CA30966"/>
    <w:rsid w:val="4CA37CC7"/>
    <w:rsid w:val="4CA54934"/>
    <w:rsid w:val="4CA60A90"/>
    <w:rsid w:val="4CA74B4B"/>
    <w:rsid w:val="4CA8348C"/>
    <w:rsid w:val="4CA87FCD"/>
    <w:rsid w:val="4CA94307"/>
    <w:rsid w:val="4CA971E0"/>
    <w:rsid w:val="4CAA39A1"/>
    <w:rsid w:val="4CAC46E6"/>
    <w:rsid w:val="4CAE1A3B"/>
    <w:rsid w:val="4CAE7EFD"/>
    <w:rsid w:val="4CAF03DC"/>
    <w:rsid w:val="4CAF0C93"/>
    <w:rsid w:val="4CB1219C"/>
    <w:rsid w:val="4CB1386B"/>
    <w:rsid w:val="4CB22BAD"/>
    <w:rsid w:val="4CB366C8"/>
    <w:rsid w:val="4CB45604"/>
    <w:rsid w:val="4CB61F07"/>
    <w:rsid w:val="4CB67C11"/>
    <w:rsid w:val="4CB76D6C"/>
    <w:rsid w:val="4CB85941"/>
    <w:rsid w:val="4CBB016C"/>
    <w:rsid w:val="4CBB1C4A"/>
    <w:rsid w:val="4CBC15A3"/>
    <w:rsid w:val="4CBD460D"/>
    <w:rsid w:val="4CBF4E12"/>
    <w:rsid w:val="4CC12410"/>
    <w:rsid w:val="4CC201AF"/>
    <w:rsid w:val="4CC2070E"/>
    <w:rsid w:val="4CC22E15"/>
    <w:rsid w:val="4CC27294"/>
    <w:rsid w:val="4CC30B43"/>
    <w:rsid w:val="4CC44A4F"/>
    <w:rsid w:val="4CC451D3"/>
    <w:rsid w:val="4CC46F48"/>
    <w:rsid w:val="4CC55349"/>
    <w:rsid w:val="4CC62B8A"/>
    <w:rsid w:val="4CC6330F"/>
    <w:rsid w:val="4CC71A67"/>
    <w:rsid w:val="4CC72AFC"/>
    <w:rsid w:val="4CC748AA"/>
    <w:rsid w:val="4CC77F77"/>
    <w:rsid w:val="4CC8571B"/>
    <w:rsid w:val="4CCA749C"/>
    <w:rsid w:val="4CCC15A8"/>
    <w:rsid w:val="4CCC2AA1"/>
    <w:rsid w:val="4CCD2F0E"/>
    <w:rsid w:val="4CCF7EC2"/>
    <w:rsid w:val="4CD00B02"/>
    <w:rsid w:val="4CD01739"/>
    <w:rsid w:val="4CD03AEA"/>
    <w:rsid w:val="4CD05CE0"/>
    <w:rsid w:val="4CD342B9"/>
    <w:rsid w:val="4CD40D75"/>
    <w:rsid w:val="4CD40F6D"/>
    <w:rsid w:val="4CD442D5"/>
    <w:rsid w:val="4CD46FC7"/>
    <w:rsid w:val="4CD50838"/>
    <w:rsid w:val="4CD52DDA"/>
    <w:rsid w:val="4CD55219"/>
    <w:rsid w:val="4CD60A61"/>
    <w:rsid w:val="4CD66F9B"/>
    <w:rsid w:val="4CD754F1"/>
    <w:rsid w:val="4CD77387"/>
    <w:rsid w:val="4CDA3E72"/>
    <w:rsid w:val="4CDC5ED5"/>
    <w:rsid w:val="4CDE04B9"/>
    <w:rsid w:val="4CDE53C4"/>
    <w:rsid w:val="4CDE676D"/>
    <w:rsid w:val="4CE10E72"/>
    <w:rsid w:val="4CE246F2"/>
    <w:rsid w:val="4CE31554"/>
    <w:rsid w:val="4CE37436"/>
    <w:rsid w:val="4CE46272"/>
    <w:rsid w:val="4CE54D31"/>
    <w:rsid w:val="4CE55BEF"/>
    <w:rsid w:val="4CE717CE"/>
    <w:rsid w:val="4CE72372"/>
    <w:rsid w:val="4CE92A3C"/>
    <w:rsid w:val="4CE92A73"/>
    <w:rsid w:val="4CEA3819"/>
    <w:rsid w:val="4CEC4C74"/>
    <w:rsid w:val="4CEC6C2B"/>
    <w:rsid w:val="4CEE7165"/>
    <w:rsid w:val="4CEF16C3"/>
    <w:rsid w:val="4CF06ED7"/>
    <w:rsid w:val="4CF12E00"/>
    <w:rsid w:val="4CF1651E"/>
    <w:rsid w:val="4CF23C94"/>
    <w:rsid w:val="4CF2400B"/>
    <w:rsid w:val="4CF32DA2"/>
    <w:rsid w:val="4CF355F1"/>
    <w:rsid w:val="4CF37072"/>
    <w:rsid w:val="4CF76E6B"/>
    <w:rsid w:val="4CFB23C1"/>
    <w:rsid w:val="4CFD02CC"/>
    <w:rsid w:val="4D004C60"/>
    <w:rsid w:val="4D0241A8"/>
    <w:rsid w:val="4D0375AA"/>
    <w:rsid w:val="4D041916"/>
    <w:rsid w:val="4D062A7F"/>
    <w:rsid w:val="4D070ADD"/>
    <w:rsid w:val="4D070EC4"/>
    <w:rsid w:val="4D07739D"/>
    <w:rsid w:val="4D080F53"/>
    <w:rsid w:val="4D083ED2"/>
    <w:rsid w:val="4D093B09"/>
    <w:rsid w:val="4D096E73"/>
    <w:rsid w:val="4D0A2F51"/>
    <w:rsid w:val="4D0A7CCD"/>
    <w:rsid w:val="4D0C140B"/>
    <w:rsid w:val="4D0D6138"/>
    <w:rsid w:val="4D0F5E59"/>
    <w:rsid w:val="4D0F7FFF"/>
    <w:rsid w:val="4D105B53"/>
    <w:rsid w:val="4D113D78"/>
    <w:rsid w:val="4D114E3A"/>
    <w:rsid w:val="4D136243"/>
    <w:rsid w:val="4D15004A"/>
    <w:rsid w:val="4D151330"/>
    <w:rsid w:val="4D163FF8"/>
    <w:rsid w:val="4D185106"/>
    <w:rsid w:val="4D1B24FA"/>
    <w:rsid w:val="4D1B4794"/>
    <w:rsid w:val="4D1B4BF6"/>
    <w:rsid w:val="4D1B5A35"/>
    <w:rsid w:val="4D1D0B56"/>
    <w:rsid w:val="4D1D692A"/>
    <w:rsid w:val="4D1D7D6E"/>
    <w:rsid w:val="4D1E32DC"/>
    <w:rsid w:val="4D1F3F2D"/>
    <w:rsid w:val="4D1F59B7"/>
    <w:rsid w:val="4D2211D8"/>
    <w:rsid w:val="4D231FC6"/>
    <w:rsid w:val="4D244F88"/>
    <w:rsid w:val="4D245859"/>
    <w:rsid w:val="4D245C0C"/>
    <w:rsid w:val="4D2747B6"/>
    <w:rsid w:val="4D276A14"/>
    <w:rsid w:val="4D2B441B"/>
    <w:rsid w:val="4D2C6E03"/>
    <w:rsid w:val="4D2D0FDC"/>
    <w:rsid w:val="4D2E17BC"/>
    <w:rsid w:val="4D2E37AA"/>
    <w:rsid w:val="4D2F601D"/>
    <w:rsid w:val="4D312F8F"/>
    <w:rsid w:val="4D313484"/>
    <w:rsid w:val="4D317F76"/>
    <w:rsid w:val="4D361DE7"/>
    <w:rsid w:val="4D3874B5"/>
    <w:rsid w:val="4D3A1520"/>
    <w:rsid w:val="4D3D2DBF"/>
    <w:rsid w:val="4D3E7537"/>
    <w:rsid w:val="4D4001B9"/>
    <w:rsid w:val="4D414F80"/>
    <w:rsid w:val="4D4256D6"/>
    <w:rsid w:val="4D434678"/>
    <w:rsid w:val="4D442A75"/>
    <w:rsid w:val="4D444E77"/>
    <w:rsid w:val="4D470B7A"/>
    <w:rsid w:val="4D475393"/>
    <w:rsid w:val="4D4819A3"/>
    <w:rsid w:val="4D4952BF"/>
    <w:rsid w:val="4D4A6F97"/>
    <w:rsid w:val="4D4B1038"/>
    <w:rsid w:val="4D4B3976"/>
    <w:rsid w:val="4D4B4798"/>
    <w:rsid w:val="4D4C2F0D"/>
    <w:rsid w:val="4D4C2F15"/>
    <w:rsid w:val="4D4D167D"/>
    <w:rsid w:val="4D4D1E00"/>
    <w:rsid w:val="4D510DA5"/>
    <w:rsid w:val="4D51679C"/>
    <w:rsid w:val="4D524F23"/>
    <w:rsid w:val="4D5325E2"/>
    <w:rsid w:val="4D53466B"/>
    <w:rsid w:val="4D540442"/>
    <w:rsid w:val="4D54229C"/>
    <w:rsid w:val="4D551EB6"/>
    <w:rsid w:val="4D553DB6"/>
    <w:rsid w:val="4D561ADF"/>
    <w:rsid w:val="4D565C2E"/>
    <w:rsid w:val="4D574D7A"/>
    <w:rsid w:val="4D5A3320"/>
    <w:rsid w:val="4D5A5591"/>
    <w:rsid w:val="4D5C2E3E"/>
    <w:rsid w:val="4D5C6F74"/>
    <w:rsid w:val="4D5D10BD"/>
    <w:rsid w:val="4D5D44D1"/>
    <w:rsid w:val="4D5D4809"/>
    <w:rsid w:val="4D5F07D1"/>
    <w:rsid w:val="4D60140A"/>
    <w:rsid w:val="4D610548"/>
    <w:rsid w:val="4D61529C"/>
    <w:rsid w:val="4D6153F6"/>
    <w:rsid w:val="4D62469B"/>
    <w:rsid w:val="4D624D8F"/>
    <w:rsid w:val="4D6252C0"/>
    <w:rsid w:val="4D627E85"/>
    <w:rsid w:val="4D6449D9"/>
    <w:rsid w:val="4D6473B4"/>
    <w:rsid w:val="4D655557"/>
    <w:rsid w:val="4D660BC1"/>
    <w:rsid w:val="4D664345"/>
    <w:rsid w:val="4D66647C"/>
    <w:rsid w:val="4D673869"/>
    <w:rsid w:val="4D676071"/>
    <w:rsid w:val="4D682D4A"/>
    <w:rsid w:val="4D6869B1"/>
    <w:rsid w:val="4D694DFD"/>
    <w:rsid w:val="4D6B0099"/>
    <w:rsid w:val="4D6B0EB7"/>
    <w:rsid w:val="4D6B3488"/>
    <w:rsid w:val="4D6B4B4B"/>
    <w:rsid w:val="4D6B792C"/>
    <w:rsid w:val="4D6C5C8E"/>
    <w:rsid w:val="4D6D2159"/>
    <w:rsid w:val="4D6D5712"/>
    <w:rsid w:val="4D6D7F92"/>
    <w:rsid w:val="4D6E43AF"/>
    <w:rsid w:val="4D6E4D26"/>
    <w:rsid w:val="4D6F1DCF"/>
    <w:rsid w:val="4D6F2D46"/>
    <w:rsid w:val="4D704F42"/>
    <w:rsid w:val="4D70568E"/>
    <w:rsid w:val="4D706D4F"/>
    <w:rsid w:val="4D716331"/>
    <w:rsid w:val="4D716EB3"/>
    <w:rsid w:val="4D724A1E"/>
    <w:rsid w:val="4D726CBA"/>
    <w:rsid w:val="4D731B45"/>
    <w:rsid w:val="4D734136"/>
    <w:rsid w:val="4D7563FD"/>
    <w:rsid w:val="4D76301F"/>
    <w:rsid w:val="4D77007F"/>
    <w:rsid w:val="4D776549"/>
    <w:rsid w:val="4D7766E6"/>
    <w:rsid w:val="4D780095"/>
    <w:rsid w:val="4D792E7E"/>
    <w:rsid w:val="4D7C7B78"/>
    <w:rsid w:val="4D7D236A"/>
    <w:rsid w:val="4D7E388E"/>
    <w:rsid w:val="4D7E5B4F"/>
    <w:rsid w:val="4D802E4B"/>
    <w:rsid w:val="4D81508F"/>
    <w:rsid w:val="4D8252C8"/>
    <w:rsid w:val="4D831AD0"/>
    <w:rsid w:val="4D8471DD"/>
    <w:rsid w:val="4D847860"/>
    <w:rsid w:val="4D856693"/>
    <w:rsid w:val="4D8A0846"/>
    <w:rsid w:val="4D8A22E8"/>
    <w:rsid w:val="4D8A7E91"/>
    <w:rsid w:val="4D8C5DDF"/>
    <w:rsid w:val="4D90476E"/>
    <w:rsid w:val="4D910D29"/>
    <w:rsid w:val="4D92310A"/>
    <w:rsid w:val="4D931B78"/>
    <w:rsid w:val="4D942FDF"/>
    <w:rsid w:val="4D961A55"/>
    <w:rsid w:val="4D9626D8"/>
    <w:rsid w:val="4D966703"/>
    <w:rsid w:val="4D970BDA"/>
    <w:rsid w:val="4D974FB8"/>
    <w:rsid w:val="4D990A98"/>
    <w:rsid w:val="4D9950BC"/>
    <w:rsid w:val="4D997BC9"/>
    <w:rsid w:val="4D9A1350"/>
    <w:rsid w:val="4D9B6238"/>
    <w:rsid w:val="4D9C0838"/>
    <w:rsid w:val="4D9D7278"/>
    <w:rsid w:val="4D9E72CE"/>
    <w:rsid w:val="4D9F2DF2"/>
    <w:rsid w:val="4DA01E66"/>
    <w:rsid w:val="4DA05357"/>
    <w:rsid w:val="4DA1243B"/>
    <w:rsid w:val="4DA177E5"/>
    <w:rsid w:val="4DAC634B"/>
    <w:rsid w:val="4DAF52D7"/>
    <w:rsid w:val="4DB05E50"/>
    <w:rsid w:val="4DB07781"/>
    <w:rsid w:val="4DB14B52"/>
    <w:rsid w:val="4DB1508C"/>
    <w:rsid w:val="4DB33341"/>
    <w:rsid w:val="4DB73C0B"/>
    <w:rsid w:val="4DBB0C27"/>
    <w:rsid w:val="4DBB438C"/>
    <w:rsid w:val="4DBD0F93"/>
    <w:rsid w:val="4DBD2312"/>
    <w:rsid w:val="4DC0760F"/>
    <w:rsid w:val="4DC13C49"/>
    <w:rsid w:val="4DC323C1"/>
    <w:rsid w:val="4DC47FB0"/>
    <w:rsid w:val="4DC61F83"/>
    <w:rsid w:val="4DC62DB4"/>
    <w:rsid w:val="4DC64B62"/>
    <w:rsid w:val="4DC64BA7"/>
    <w:rsid w:val="4DC71747"/>
    <w:rsid w:val="4DC735AD"/>
    <w:rsid w:val="4DC807F9"/>
    <w:rsid w:val="4DC82884"/>
    <w:rsid w:val="4DC86B2C"/>
    <w:rsid w:val="4DC94652"/>
    <w:rsid w:val="4DC967FE"/>
    <w:rsid w:val="4DCA55F3"/>
    <w:rsid w:val="4DCA5DBC"/>
    <w:rsid w:val="4DCC78C5"/>
    <w:rsid w:val="4DCD4C46"/>
    <w:rsid w:val="4DCE3D50"/>
    <w:rsid w:val="4DCF0877"/>
    <w:rsid w:val="4DCF24FA"/>
    <w:rsid w:val="4DCF699D"/>
    <w:rsid w:val="4DCF7E2A"/>
    <w:rsid w:val="4DD21759"/>
    <w:rsid w:val="4DD361CE"/>
    <w:rsid w:val="4DD52E66"/>
    <w:rsid w:val="4DD609E2"/>
    <w:rsid w:val="4DD645F8"/>
    <w:rsid w:val="4DD728A2"/>
    <w:rsid w:val="4DD728CB"/>
    <w:rsid w:val="4DD8740D"/>
    <w:rsid w:val="4DD952EB"/>
    <w:rsid w:val="4DDA6459"/>
    <w:rsid w:val="4DDA685F"/>
    <w:rsid w:val="4DDC453C"/>
    <w:rsid w:val="4DDD1B9B"/>
    <w:rsid w:val="4DDE60C6"/>
    <w:rsid w:val="4DDE6B8E"/>
    <w:rsid w:val="4DE05162"/>
    <w:rsid w:val="4DE1374A"/>
    <w:rsid w:val="4DE13DE0"/>
    <w:rsid w:val="4DE35714"/>
    <w:rsid w:val="4DE45B37"/>
    <w:rsid w:val="4DE566F3"/>
    <w:rsid w:val="4DE66FB2"/>
    <w:rsid w:val="4DE72E3F"/>
    <w:rsid w:val="4DE75B94"/>
    <w:rsid w:val="4DE81FCA"/>
    <w:rsid w:val="4DEB281B"/>
    <w:rsid w:val="4DED5753"/>
    <w:rsid w:val="4DEF243E"/>
    <w:rsid w:val="4DF11EFB"/>
    <w:rsid w:val="4DF21BB5"/>
    <w:rsid w:val="4DF40B34"/>
    <w:rsid w:val="4DF41807"/>
    <w:rsid w:val="4DF567E2"/>
    <w:rsid w:val="4DF83218"/>
    <w:rsid w:val="4DFA52EE"/>
    <w:rsid w:val="4DFA5872"/>
    <w:rsid w:val="4DFA5D5B"/>
    <w:rsid w:val="4DFB1D29"/>
    <w:rsid w:val="4DFC5726"/>
    <w:rsid w:val="4DFD286B"/>
    <w:rsid w:val="4DFD6241"/>
    <w:rsid w:val="4DFE4DF4"/>
    <w:rsid w:val="4DFF0C7B"/>
    <w:rsid w:val="4DFF74BE"/>
    <w:rsid w:val="4E001BB7"/>
    <w:rsid w:val="4E02691E"/>
    <w:rsid w:val="4E026DC4"/>
    <w:rsid w:val="4E05046A"/>
    <w:rsid w:val="4E06594B"/>
    <w:rsid w:val="4E066C4A"/>
    <w:rsid w:val="4E0807A7"/>
    <w:rsid w:val="4E082F75"/>
    <w:rsid w:val="4E086F29"/>
    <w:rsid w:val="4E094A4F"/>
    <w:rsid w:val="4E097693"/>
    <w:rsid w:val="4E0A01BA"/>
    <w:rsid w:val="4E0A0413"/>
    <w:rsid w:val="4E0A7728"/>
    <w:rsid w:val="4E0C3478"/>
    <w:rsid w:val="4E0C6B5E"/>
    <w:rsid w:val="4E0E4BB5"/>
    <w:rsid w:val="4E0F02B7"/>
    <w:rsid w:val="4E106694"/>
    <w:rsid w:val="4E121E37"/>
    <w:rsid w:val="4E1251ED"/>
    <w:rsid w:val="4E143BEC"/>
    <w:rsid w:val="4E1522C2"/>
    <w:rsid w:val="4E18656F"/>
    <w:rsid w:val="4E187B9F"/>
    <w:rsid w:val="4E1A4820"/>
    <w:rsid w:val="4E1B5446"/>
    <w:rsid w:val="4E1C29D5"/>
    <w:rsid w:val="4E1E04FA"/>
    <w:rsid w:val="4E1F24C4"/>
    <w:rsid w:val="4E2234FC"/>
    <w:rsid w:val="4E227930"/>
    <w:rsid w:val="4E23222F"/>
    <w:rsid w:val="4E2365ED"/>
    <w:rsid w:val="4E241459"/>
    <w:rsid w:val="4E242516"/>
    <w:rsid w:val="4E2579AB"/>
    <w:rsid w:val="4E262D24"/>
    <w:rsid w:val="4E282A42"/>
    <w:rsid w:val="4E28581D"/>
    <w:rsid w:val="4E2B03A9"/>
    <w:rsid w:val="4E2B280D"/>
    <w:rsid w:val="4E2F2707"/>
    <w:rsid w:val="4E304B14"/>
    <w:rsid w:val="4E315E5A"/>
    <w:rsid w:val="4E322352"/>
    <w:rsid w:val="4E326C84"/>
    <w:rsid w:val="4E342D23"/>
    <w:rsid w:val="4E347DF0"/>
    <w:rsid w:val="4E353A96"/>
    <w:rsid w:val="4E367A91"/>
    <w:rsid w:val="4E3712DB"/>
    <w:rsid w:val="4E3715BC"/>
    <w:rsid w:val="4E375A78"/>
    <w:rsid w:val="4E37780E"/>
    <w:rsid w:val="4E39609E"/>
    <w:rsid w:val="4E3A220D"/>
    <w:rsid w:val="4E3A33E5"/>
    <w:rsid w:val="4E3E1E61"/>
    <w:rsid w:val="4E3F6C23"/>
    <w:rsid w:val="4E41112D"/>
    <w:rsid w:val="4E41212E"/>
    <w:rsid w:val="4E4365CB"/>
    <w:rsid w:val="4E437F61"/>
    <w:rsid w:val="4E4453FC"/>
    <w:rsid w:val="4E451F2B"/>
    <w:rsid w:val="4E456278"/>
    <w:rsid w:val="4E473EF5"/>
    <w:rsid w:val="4E48180D"/>
    <w:rsid w:val="4E481E04"/>
    <w:rsid w:val="4E492622"/>
    <w:rsid w:val="4E4A05B2"/>
    <w:rsid w:val="4E4A3EC7"/>
    <w:rsid w:val="4E4B32B9"/>
    <w:rsid w:val="4E4D1F7D"/>
    <w:rsid w:val="4E4D6D9B"/>
    <w:rsid w:val="4E5021F1"/>
    <w:rsid w:val="4E503B4D"/>
    <w:rsid w:val="4E506CDA"/>
    <w:rsid w:val="4E520472"/>
    <w:rsid w:val="4E5527B1"/>
    <w:rsid w:val="4E554CFA"/>
    <w:rsid w:val="4E556430"/>
    <w:rsid w:val="4E570604"/>
    <w:rsid w:val="4E571AC5"/>
    <w:rsid w:val="4E593A09"/>
    <w:rsid w:val="4E593C28"/>
    <w:rsid w:val="4E5945A0"/>
    <w:rsid w:val="4E5A1636"/>
    <w:rsid w:val="4E5B5CFD"/>
    <w:rsid w:val="4E5C54C6"/>
    <w:rsid w:val="4E5E7BB0"/>
    <w:rsid w:val="4E5F26A1"/>
    <w:rsid w:val="4E61675E"/>
    <w:rsid w:val="4E6343F5"/>
    <w:rsid w:val="4E660972"/>
    <w:rsid w:val="4E6664AB"/>
    <w:rsid w:val="4E6706FE"/>
    <w:rsid w:val="4E676345"/>
    <w:rsid w:val="4E68343F"/>
    <w:rsid w:val="4E68449B"/>
    <w:rsid w:val="4E685C19"/>
    <w:rsid w:val="4E697333"/>
    <w:rsid w:val="4E6A4B94"/>
    <w:rsid w:val="4E6B275E"/>
    <w:rsid w:val="4E6C5BD4"/>
    <w:rsid w:val="4E6E77B2"/>
    <w:rsid w:val="4E7050F6"/>
    <w:rsid w:val="4E710E25"/>
    <w:rsid w:val="4E712D20"/>
    <w:rsid w:val="4E720846"/>
    <w:rsid w:val="4E7330FA"/>
    <w:rsid w:val="4E7355DD"/>
    <w:rsid w:val="4E750842"/>
    <w:rsid w:val="4E7524C7"/>
    <w:rsid w:val="4E765D09"/>
    <w:rsid w:val="4E771FEC"/>
    <w:rsid w:val="4E7732F8"/>
    <w:rsid w:val="4E783ADD"/>
    <w:rsid w:val="4E790A73"/>
    <w:rsid w:val="4E7939C1"/>
    <w:rsid w:val="4E7977A1"/>
    <w:rsid w:val="4E7B5752"/>
    <w:rsid w:val="4E7C2D1C"/>
    <w:rsid w:val="4E7C3473"/>
    <w:rsid w:val="4E7C7675"/>
    <w:rsid w:val="4E7E0E8A"/>
    <w:rsid w:val="4E7E2C51"/>
    <w:rsid w:val="4E7E368F"/>
    <w:rsid w:val="4E7E543D"/>
    <w:rsid w:val="4E7F169D"/>
    <w:rsid w:val="4E800D26"/>
    <w:rsid w:val="4E802F63"/>
    <w:rsid w:val="4E807407"/>
    <w:rsid w:val="4E825634"/>
    <w:rsid w:val="4E854A1D"/>
    <w:rsid w:val="4E87268D"/>
    <w:rsid w:val="4E872696"/>
    <w:rsid w:val="4E87437C"/>
    <w:rsid w:val="4E877F24"/>
    <w:rsid w:val="4E887857"/>
    <w:rsid w:val="4E8A011D"/>
    <w:rsid w:val="4E8A2033"/>
    <w:rsid w:val="4E8D6872"/>
    <w:rsid w:val="4E8E2F0D"/>
    <w:rsid w:val="4E8F58D2"/>
    <w:rsid w:val="4E9133C2"/>
    <w:rsid w:val="4E925632"/>
    <w:rsid w:val="4E925D8C"/>
    <w:rsid w:val="4E946B24"/>
    <w:rsid w:val="4E953FA2"/>
    <w:rsid w:val="4E9844F5"/>
    <w:rsid w:val="4E9B4517"/>
    <w:rsid w:val="4E9B6401"/>
    <w:rsid w:val="4E9C0547"/>
    <w:rsid w:val="4E9C4EF8"/>
    <w:rsid w:val="4E9C58C3"/>
    <w:rsid w:val="4E9C773B"/>
    <w:rsid w:val="4E9D28BF"/>
    <w:rsid w:val="4E9E3248"/>
    <w:rsid w:val="4E9E698D"/>
    <w:rsid w:val="4EA0799F"/>
    <w:rsid w:val="4EA11120"/>
    <w:rsid w:val="4EA23983"/>
    <w:rsid w:val="4EA277E5"/>
    <w:rsid w:val="4EA31407"/>
    <w:rsid w:val="4EA31E8F"/>
    <w:rsid w:val="4EA41181"/>
    <w:rsid w:val="4EA50344"/>
    <w:rsid w:val="4EA54365"/>
    <w:rsid w:val="4EA63654"/>
    <w:rsid w:val="4EA66BE5"/>
    <w:rsid w:val="4EA67F49"/>
    <w:rsid w:val="4EA7443E"/>
    <w:rsid w:val="4EA82499"/>
    <w:rsid w:val="4EAA25F0"/>
    <w:rsid w:val="4EAA651A"/>
    <w:rsid w:val="4EAA72A2"/>
    <w:rsid w:val="4EAC07EE"/>
    <w:rsid w:val="4EAC15A2"/>
    <w:rsid w:val="4EAC1FAA"/>
    <w:rsid w:val="4EAE1458"/>
    <w:rsid w:val="4EAF1DD2"/>
    <w:rsid w:val="4EB01730"/>
    <w:rsid w:val="4EB04235"/>
    <w:rsid w:val="4EB05A12"/>
    <w:rsid w:val="4EB07816"/>
    <w:rsid w:val="4EB257AD"/>
    <w:rsid w:val="4EB307D7"/>
    <w:rsid w:val="4EB329FB"/>
    <w:rsid w:val="4EB40BF4"/>
    <w:rsid w:val="4EB40F74"/>
    <w:rsid w:val="4EB470B0"/>
    <w:rsid w:val="4EB57823"/>
    <w:rsid w:val="4EB65E32"/>
    <w:rsid w:val="4EB70C79"/>
    <w:rsid w:val="4EB96856"/>
    <w:rsid w:val="4EBC0332"/>
    <w:rsid w:val="4EBC3A67"/>
    <w:rsid w:val="4EBE7E3F"/>
    <w:rsid w:val="4EBF2F61"/>
    <w:rsid w:val="4EC14021"/>
    <w:rsid w:val="4EC30BAA"/>
    <w:rsid w:val="4EC62474"/>
    <w:rsid w:val="4EC739E5"/>
    <w:rsid w:val="4ECA2430"/>
    <w:rsid w:val="4ECA68D4"/>
    <w:rsid w:val="4ECC43FA"/>
    <w:rsid w:val="4ECC7124"/>
    <w:rsid w:val="4ECD0FFC"/>
    <w:rsid w:val="4ECD5D6B"/>
    <w:rsid w:val="4ECD6362"/>
    <w:rsid w:val="4ED03489"/>
    <w:rsid w:val="4ED03E3A"/>
    <w:rsid w:val="4ED07D21"/>
    <w:rsid w:val="4ED14027"/>
    <w:rsid w:val="4ED23221"/>
    <w:rsid w:val="4ED92673"/>
    <w:rsid w:val="4ED97AE6"/>
    <w:rsid w:val="4EDA0E08"/>
    <w:rsid w:val="4EDB63EB"/>
    <w:rsid w:val="4EDC3346"/>
    <w:rsid w:val="4EDC6A33"/>
    <w:rsid w:val="4EDC7B7D"/>
    <w:rsid w:val="4EDF1E27"/>
    <w:rsid w:val="4EE03A01"/>
    <w:rsid w:val="4EE07EA5"/>
    <w:rsid w:val="4EE112EA"/>
    <w:rsid w:val="4EE3487E"/>
    <w:rsid w:val="4EE4401A"/>
    <w:rsid w:val="4EE54B0B"/>
    <w:rsid w:val="4EE812B4"/>
    <w:rsid w:val="4EE864BD"/>
    <w:rsid w:val="4EE904CC"/>
    <w:rsid w:val="4EE92784"/>
    <w:rsid w:val="4EEA223F"/>
    <w:rsid w:val="4EEC34EA"/>
    <w:rsid w:val="4EED094E"/>
    <w:rsid w:val="4EED1107"/>
    <w:rsid w:val="4EED611E"/>
    <w:rsid w:val="4EEE6235"/>
    <w:rsid w:val="4EEF208C"/>
    <w:rsid w:val="4EEF6434"/>
    <w:rsid w:val="4EF132C3"/>
    <w:rsid w:val="4EF13E61"/>
    <w:rsid w:val="4EF15C0F"/>
    <w:rsid w:val="4EF20302"/>
    <w:rsid w:val="4EF2224E"/>
    <w:rsid w:val="4EF233DF"/>
    <w:rsid w:val="4EF31DBE"/>
    <w:rsid w:val="4EF44307"/>
    <w:rsid w:val="4EF60BF0"/>
    <w:rsid w:val="4EF71CCF"/>
    <w:rsid w:val="4EF72676"/>
    <w:rsid w:val="4EF770CB"/>
    <w:rsid w:val="4EFA24EA"/>
    <w:rsid w:val="4EFC142B"/>
    <w:rsid w:val="4EFC2793"/>
    <w:rsid w:val="4EFC3A63"/>
    <w:rsid w:val="4EFD004B"/>
    <w:rsid w:val="4EFD1232"/>
    <w:rsid w:val="4EFD595E"/>
    <w:rsid w:val="4EFE053A"/>
    <w:rsid w:val="4EFE4FDC"/>
    <w:rsid w:val="4EFE5B25"/>
    <w:rsid w:val="4F007E13"/>
    <w:rsid w:val="4F016739"/>
    <w:rsid w:val="4F027E1C"/>
    <w:rsid w:val="4F03120B"/>
    <w:rsid w:val="4F042BB4"/>
    <w:rsid w:val="4F044B8C"/>
    <w:rsid w:val="4F0771E0"/>
    <w:rsid w:val="4F080305"/>
    <w:rsid w:val="4F08342E"/>
    <w:rsid w:val="4F0A4F22"/>
    <w:rsid w:val="4F0B69B3"/>
    <w:rsid w:val="4F0D07B1"/>
    <w:rsid w:val="4F0D2633"/>
    <w:rsid w:val="4F0D444C"/>
    <w:rsid w:val="4F0D7F2C"/>
    <w:rsid w:val="4F0F6E7C"/>
    <w:rsid w:val="4F10098A"/>
    <w:rsid w:val="4F115D4A"/>
    <w:rsid w:val="4F12306A"/>
    <w:rsid w:val="4F134CF9"/>
    <w:rsid w:val="4F1538FD"/>
    <w:rsid w:val="4F163039"/>
    <w:rsid w:val="4F176330"/>
    <w:rsid w:val="4F182466"/>
    <w:rsid w:val="4F1C1644"/>
    <w:rsid w:val="4F1C3129"/>
    <w:rsid w:val="4F1C324D"/>
    <w:rsid w:val="4F1C50A3"/>
    <w:rsid w:val="4F1C6B9B"/>
    <w:rsid w:val="4F1D2EA8"/>
    <w:rsid w:val="4F1D754B"/>
    <w:rsid w:val="4F1E2E56"/>
    <w:rsid w:val="4F20353F"/>
    <w:rsid w:val="4F217391"/>
    <w:rsid w:val="4F226A9E"/>
    <w:rsid w:val="4F24484D"/>
    <w:rsid w:val="4F254080"/>
    <w:rsid w:val="4F26716D"/>
    <w:rsid w:val="4F26750A"/>
    <w:rsid w:val="4F281560"/>
    <w:rsid w:val="4F284BD5"/>
    <w:rsid w:val="4F2935FA"/>
    <w:rsid w:val="4F295AEE"/>
    <w:rsid w:val="4F2A47DA"/>
    <w:rsid w:val="4F2B6FFC"/>
    <w:rsid w:val="4F2D0C2D"/>
    <w:rsid w:val="4F2F2C4F"/>
    <w:rsid w:val="4F2F6737"/>
    <w:rsid w:val="4F306126"/>
    <w:rsid w:val="4F310160"/>
    <w:rsid w:val="4F327548"/>
    <w:rsid w:val="4F3328D0"/>
    <w:rsid w:val="4F3501F1"/>
    <w:rsid w:val="4F351F9F"/>
    <w:rsid w:val="4F36029F"/>
    <w:rsid w:val="4F361088"/>
    <w:rsid w:val="4F361873"/>
    <w:rsid w:val="4F365FAE"/>
    <w:rsid w:val="4F3662A0"/>
    <w:rsid w:val="4F3710E1"/>
    <w:rsid w:val="4F376868"/>
    <w:rsid w:val="4F376C75"/>
    <w:rsid w:val="4F39769F"/>
    <w:rsid w:val="4F3E4AF7"/>
    <w:rsid w:val="4F3E65D1"/>
    <w:rsid w:val="4F3F325D"/>
    <w:rsid w:val="4F3F4BCC"/>
    <w:rsid w:val="4F4164C3"/>
    <w:rsid w:val="4F4479FC"/>
    <w:rsid w:val="4F4526FF"/>
    <w:rsid w:val="4F453C71"/>
    <w:rsid w:val="4F4641AC"/>
    <w:rsid w:val="4F4B37AF"/>
    <w:rsid w:val="4F4D2279"/>
    <w:rsid w:val="4F4F5599"/>
    <w:rsid w:val="4F5142C0"/>
    <w:rsid w:val="4F517E50"/>
    <w:rsid w:val="4F524D86"/>
    <w:rsid w:val="4F5301FA"/>
    <w:rsid w:val="4F530677"/>
    <w:rsid w:val="4F5307A9"/>
    <w:rsid w:val="4F532425"/>
    <w:rsid w:val="4F5368C9"/>
    <w:rsid w:val="4F5502EC"/>
    <w:rsid w:val="4F5540F3"/>
    <w:rsid w:val="4F5543EF"/>
    <w:rsid w:val="4F557D75"/>
    <w:rsid w:val="4F561AF7"/>
    <w:rsid w:val="4F561F16"/>
    <w:rsid w:val="4F56216C"/>
    <w:rsid w:val="4F565B5C"/>
    <w:rsid w:val="4F584631"/>
    <w:rsid w:val="4F594562"/>
    <w:rsid w:val="4F5A3C5F"/>
    <w:rsid w:val="4F5A7C58"/>
    <w:rsid w:val="4F5C2950"/>
    <w:rsid w:val="4F5D08D5"/>
    <w:rsid w:val="4F5D14F6"/>
    <w:rsid w:val="4F603E3B"/>
    <w:rsid w:val="4F635A31"/>
    <w:rsid w:val="4F641F83"/>
    <w:rsid w:val="4F65731D"/>
    <w:rsid w:val="4F681132"/>
    <w:rsid w:val="4F6936D6"/>
    <w:rsid w:val="4F6C1739"/>
    <w:rsid w:val="4F6D5E2F"/>
    <w:rsid w:val="4F6E54B1"/>
    <w:rsid w:val="4F6F65D6"/>
    <w:rsid w:val="4F6F79B4"/>
    <w:rsid w:val="4F700CE9"/>
    <w:rsid w:val="4F714FA1"/>
    <w:rsid w:val="4F717EA3"/>
    <w:rsid w:val="4F726EEE"/>
    <w:rsid w:val="4F730852"/>
    <w:rsid w:val="4F766D5C"/>
    <w:rsid w:val="4F775585"/>
    <w:rsid w:val="4F78479A"/>
    <w:rsid w:val="4F786330"/>
    <w:rsid w:val="4F787048"/>
    <w:rsid w:val="4F797F3C"/>
    <w:rsid w:val="4F7A655F"/>
    <w:rsid w:val="4F7B197C"/>
    <w:rsid w:val="4F7B5AC9"/>
    <w:rsid w:val="4F7B780F"/>
    <w:rsid w:val="4F807D3B"/>
    <w:rsid w:val="4F826F9A"/>
    <w:rsid w:val="4F847F63"/>
    <w:rsid w:val="4F850C9A"/>
    <w:rsid w:val="4F8628A0"/>
    <w:rsid w:val="4F870DAD"/>
    <w:rsid w:val="4F8712FF"/>
    <w:rsid w:val="4F871ED9"/>
    <w:rsid w:val="4F876573"/>
    <w:rsid w:val="4F885D2B"/>
    <w:rsid w:val="4F8922EB"/>
    <w:rsid w:val="4F892C33"/>
    <w:rsid w:val="4F894099"/>
    <w:rsid w:val="4F8968D9"/>
    <w:rsid w:val="4F8A23F4"/>
    <w:rsid w:val="4F8B1BBF"/>
    <w:rsid w:val="4F8C1D57"/>
    <w:rsid w:val="4F8C6496"/>
    <w:rsid w:val="4F8D1BA3"/>
    <w:rsid w:val="4F8D7FC1"/>
    <w:rsid w:val="4F9071D6"/>
    <w:rsid w:val="4F9273F2"/>
    <w:rsid w:val="4F932AC0"/>
    <w:rsid w:val="4F93316A"/>
    <w:rsid w:val="4F934F18"/>
    <w:rsid w:val="4F943124"/>
    <w:rsid w:val="4F944685"/>
    <w:rsid w:val="4F953579"/>
    <w:rsid w:val="4F954038"/>
    <w:rsid w:val="4F9554B0"/>
    <w:rsid w:val="4F975776"/>
    <w:rsid w:val="4F995124"/>
    <w:rsid w:val="4F9D6A43"/>
    <w:rsid w:val="4F9E28CD"/>
    <w:rsid w:val="4F9E4C29"/>
    <w:rsid w:val="4F9F4349"/>
    <w:rsid w:val="4FA05C21"/>
    <w:rsid w:val="4FA101B8"/>
    <w:rsid w:val="4FA1148B"/>
    <w:rsid w:val="4FA14CBD"/>
    <w:rsid w:val="4FA17635"/>
    <w:rsid w:val="4FA2445B"/>
    <w:rsid w:val="4FA73087"/>
    <w:rsid w:val="4FA830FD"/>
    <w:rsid w:val="4FA85319"/>
    <w:rsid w:val="4FAA6041"/>
    <w:rsid w:val="4FAA71DE"/>
    <w:rsid w:val="4FAB6D53"/>
    <w:rsid w:val="4FAC2F03"/>
    <w:rsid w:val="4FAC42C2"/>
    <w:rsid w:val="4FAD001B"/>
    <w:rsid w:val="4FAD6C9F"/>
    <w:rsid w:val="4FAE66DD"/>
    <w:rsid w:val="4FAF16BB"/>
    <w:rsid w:val="4FB038BB"/>
    <w:rsid w:val="4FB12D62"/>
    <w:rsid w:val="4FB30686"/>
    <w:rsid w:val="4FB32C07"/>
    <w:rsid w:val="4FB42387"/>
    <w:rsid w:val="4FB46C68"/>
    <w:rsid w:val="4FB54E8E"/>
    <w:rsid w:val="4FB55FFB"/>
    <w:rsid w:val="4FB629B4"/>
    <w:rsid w:val="4FB715EB"/>
    <w:rsid w:val="4FB7776D"/>
    <w:rsid w:val="4FB82EF3"/>
    <w:rsid w:val="4FB85036"/>
    <w:rsid w:val="4FBC1FD3"/>
    <w:rsid w:val="4FC20F88"/>
    <w:rsid w:val="4FC21359"/>
    <w:rsid w:val="4FC3063F"/>
    <w:rsid w:val="4FC3345B"/>
    <w:rsid w:val="4FC33B8C"/>
    <w:rsid w:val="4FC47104"/>
    <w:rsid w:val="4FC744D3"/>
    <w:rsid w:val="4FC767E2"/>
    <w:rsid w:val="4FC77EC1"/>
    <w:rsid w:val="4FC868B1"/>
    <w:rsid w:val="4FC910B7"/>
    <w:rsid w:val="4FC96B8B"/>
    <w:rsid w:val="4FCB6F95"/>
    <w:rsid w:val="4FCD2C12"/>
    <w:rsid w:val="4FCE57F3"/>
    <w:rsid w:val="4FD01614"/>
    <w:rsid w:val="4FD01E2D"/>
    <w:rsid w:val="4FD147FB"/>
    <w:rsid w:val="4FD21C04"/>
    <w:rsid w:val="4FD22C93"/>
    <w:rsid w:val="4FD37A25"/>
    <w:rsid w:val="4FD42BD2"/>
    <w:rsid w:val="4FD44405"/>
    <w:rsid w:val="4FD613AD"/>
    <w:rsid w:val="4FD9013F"/>
    <w:rsid w:val="4FD96C5F"/>
    <w:rsid w:val="4FDA0003"/>
    <w:rsid w:val="4FDA10A3"/>
    <w:rsid w:val="4FDC241B"/>
    <w:rsid w:val="4FDC5B99"/>
    <w:rsid w:val="4FDD5BD7"/>
    <w:rsid w:val="4FDF02B8"/>
    <w:rsid w:val="4FDF3361"/>
    <w:rsid w:val="4FE03BF0"/>
    <w:rsid w:val="4FE0758B"/>
    <w:rsid w:val="4FE2271F"/>
    <w:rsid w:val="4FE2511A"/>
    <w:rsid w:val="4FE305A5"/>
    <w:rsid w:val="4FE34F30"/>
    <w:rsid w:val="4FE4453E"/>
    <w:rsid w:val="4FE51205"/>
    <w:rsid w:val="4FE515EA"/>
    <w:rsid w:val="4FE6009D"/>
    <w:rsid w:val="4FE6773D"/>
    <w:rsid w:val="4FE860F1"/>
    <w:rsid w:val="4FE87012"/>
    <w:rsid w:val="4FE90FDC"/>
    <w:rsid w:val="4FE91D72"/>
    <w:rsid w:val="4FEA57FA"/>
    <w:rsid w:val="4FEB6B02"/>
    <w:rsid w:val="4FEC3CA2"/>
    <w:rsid w:val="4FEC3EFF"/>
    <w:rsid w:val="4FEE1472"/>
    <w:rsid w:val="4FF27E90"/>
    <w:rsid w:val="4FF309CB"/>
    <w:rsid w:val="4FF30D06"/>
    <w:rsid w:val="4FF32FBA"/>
    <w:rsid w:val="4FF33A14"/>
    <w:rsid w:val="4FF34EAE"/>
    <w:rsid w:val="4FF421D0"/>
    <w:rsid w:val="4FF44B94"/>
    <w:rsid w:val="4FF44D7B"/>
    <w:rsid w:val="4FF45606"/>
    <w:rsid w:val="4FF64F40"/>
    <w:rsid w:val="4FF736F9"/>
    <w:rsid w:val="4FF7699F"/>
    <w:rsid w:val="4FF80D8C"/>
    <w:rsid w:val="4FF9121F"/>
    <w:rsid w:val="4FFC2310"/>
    <w:rsid w:val="4FFC557D"/>
    <w:rsid w:val="4FFF124B"/>
    <w:rsid w:val="50006175"/>
    <w:rsid w:val="5000763F"/>
    <w:rsid w:val="500247F4"/>
    <w:rsid w:val="50050D66"/>
    <w:rsid w:val="50055E16"/>
    <w:rsid w:val="500569C2"/>
    <w:rsid w:val="50072B3F"/>
    <w:rsid w:val="5008060B"/>
    <w:rsid w:val="500A3750"/>
    <w:rsid w:val="500B0859"/>
    <w:rsid w:val="500B0D54"/>
    <w:rsid w:val="500C572F"/>
    <w:rsid w:val="500D387F"/>
    <w:rsid w:val="500F69BB"/>
    <w:rsid w:val="501041E8"/>
    <w:rsid w:val="50116050"/>
    <w:rsid w:val="50131A9F"/>
    <w:rsid w:val="501375C6"/>
    <w:rsid w:val="50150863"/>
    <w:rsid w:val="50152910"/>
    <w:rsid w:val="50171AC6"/>
    <w:rsid w:val="5017213D"/>
    <w:rsid w:val="50180A38"/>
    <w:rsid w:val="50181F31"/>
    <w:rsid w:val="50191DB5"/>
    <w:rsid w:val="50195818"/>
    <w:rsid w:val="501A0857"/>
    <w:rsid w:val="501A1195"/>
    <w:rsid w:val="501C4F0D"/>
    <w:rsid w:val="501D5EB6"/>
    <w:rsid w:val="501E4797"/>
    <w:rsid w:val="50211B71"/>
    <w:rsid w:val="50237746"/>
    <w:rsid w:val="50253EC4"/>
    <w:rsid w:val="50261E37"/>
    <w:rsid w:val="5027335B"/>
    <w:rsid w:val="50291142"/>
    <w:rsid w:val="502927D3"/>
    <w:rsid w:val="50297959"/>
    <w:rsid w:val="502B0D17"/>
    <w:rsid w:val="502C4BEB"/>
    <w:rsid w:val="502D2C76"/>
    <w:rsid w:val="502D3DF8"/>
    <w:rsid w:val="502D3FBD"/>
    <w:rsid w:val="502D765B"/>
    <w:rsid w:val="502E571C"/>
    <w:rsid w:val="502F7B08"/>
    <w:rsid w:val="5030251A"/>
    <w:rsid w:val="50302AA9"/>
    <w:rsid w:val="50313532"/>
    <w:rsid w:val="5032045A"/>
    <w:rsid w:val="50320D5F"/>
    <w:rsid w:val="50334005"/>
    <w:rsid w:val="50346588"/>
    <w:rsid w:val="5035452D"/>
    <w:rsid w:val="50370B6F"/>
    <w:rsid w:val="50370B8E"/>
    <w:rsid w:val="5038131B"/>
    <w:rsid w:val="50394C31"/>
    <w:rsid w:val="503B41B9"/>
    <w:rsid w:val="503B572B"/>
    <w:rsid w:val="503C110B"/>
    <w:rsid w:val="50404F60"/>
    <w:rsid w:val="50412727"/>
    <w:rsid w:val="50412F77"/>
    <w:rsid w:val="504330FC"/>
    <w:rsid w:val="5045785F"/>
    <w:rsid w:val="50477663"/>
    <w:rsid w:val="50482D28"/>
    <w:rsid w:val="50494A56"/>
    <w:rsid w:val="50497CC2"/>
    <w:rsid w:val="504A255B"/>
    <w:rsid w:val="504B2EFC"/>
    <w:rsid w:val="504B35D3"/>
    <w:rsid w:val="504C7B26"/>
    <w:rsid w:val="50502E09"/>
    <w:rsid w:val="5051799A"/>
    <w:rsid w:val="50527605"/>
    <w:rsid w:val="505301A3"/>
    <w:rsid w:val="50533B81"/>
    <w:rsid w:val="50545FFA"/>
    <w:rsid w:val="50551558"/>
    <w:rsid w:val="50565954"/>
    <w:rsid w:val="505731E7"/>
    <w:rsid w:val="50577CF3"/>
    <w:rsid w:val="50577DEB"/>
    <w:rsid w:val="505873CB"/>
    <w:rsid w:val="50592314"/>
    <w:rsid w:val="505B4739"/>
    <w:rsid w:val="505B6325"/>
    <w:rsid w:val="505B6F9B"/>
    <w:rsid w:val="505E043D"/>
    <w:rsid w:val="505F1978"/>
    <w:rsid w:val="505F7271"/>
    <w:rsid w:val="50610F7F"/>
    <w:rsid w:val="50612F3A"/>
    <w:rsid w:val="506650E4"/>
    <w:rsid w:val="50674ED9"/>
    <w:rsid w:val="5067715E"/>
    <w:rsid w:val="5067769D"/>
    <w:rsid w:val="50696D3C"/>
    <w:rsid w:val="506B379F"/>
    <w:rsid w:val="506C3966"/>
    <w:rsid w:val="506C58AC"/>
    <w:rsid w:val="506E2420"/>
    <w:rsid w:val="506E4F65"/>
    <w:rsid w:val="507158C0"/>
    <w:rsid w:val="50717F25"/>
    <w:rsid w:val="507213D4"/>
    <w:rsid w:val="50733CE0"/>
    <w:rsid w:val="5073470D"/>
    <w:rsid w:val="50744C66"/>
    <w:rsid w:val="507537AB"/>
    <w:rsid w:val="507635D5"/>
    <w:rsid w:val="507730EB"/>
    <w:rsid w:val="50795EBC"/>
    <w:rsid w:val="507B7E86"/>
    <w:rsid w:val="507D4CD9"/>
    <w:rsid w:val="507E1724"/>
    <w:rsid w:val="507E1AA8"/>
    <w:rsid w:val="507E47AD"/>
    <w:rsid w:val="507E7976"/>
    <w:rsid w:val="50800E6C"/>
    <w:rsid w:val="50812FC2"/>
    <w:rsid w:val="50813E96"/>
    <w:rsid w:val="508149E0"/>
    <w:rsid w:val="50835DA5"/>
    <w:rsid w:val="508360D1"/>
    <w:rsid w:val="508402CA"/>
    <w:rsid w:val="508458B2"/>
    <w:rsid w:val="5087207C"/>
    <w:rsid w:val="508827B1"/>
    <w:rsid w:val="508847D7"/>
    <w:rsid w:val="50885B18"/>
    <w:rsid w:val="50894052"/>
    <w:rsid w:val="508952CA"/>
    <w:rsid w:val="508D49F6"/>
    <w:rsid w:val="508E62BD"/>
    <w:rsid w:val="5090187D"/>
    <w:rsid w:val="50903B37"/>
    <w:rsid w:val="50920761"/>
    <w:rsid w:val="509237FD"/>
    <w:rsid w:val="509251CF"/>
    <w:rsid w:val="50930868"/>
    <w:rsid w:val="50936591"/>
    <w:rsid w:val="50947199"/>
    <w:rsid w:val="50950286"/>
    <w:rsid w:val="50950B6D"/>
    <w:rsid w:val="509568B0"/>
    <w:rsid w:val="50974C6F"/>
    <w:rsid w:val="50993F3D"/>
    <w:rsid w:val="509A4DD8"/>
    <w:rsid w:val="509B3FCA"/>
    <w:rsid w:val="509B4460"/>
    <w:rsid w:val="509C7DFC"/>
    <w:rsid w:val="509D3AF7"/>
    <w:rsid w:val="509D5C69"/>
    <w:rsid w:val="509D7812"/>
    <w:rsid w:val="50A00392"/>
    <w:rsid w:val="50A11925"/>
    <w:rsid w:val="50A12196"/>
    <w:rsid w:val="50A224FC"/>
    <w:rsid w:val="50A25D9F"/>
    <w:rsid w:val="50A31A25"/>
    <w:rsid w:val="50A36C7E"/>
    <w:rsid w:val="50A54F03"/>
    <w:rsid w:val="50A665E1"/>
    <w:rsid w:val="50A67031"/>
    <w:rsid w:val="50A73F8D"/>
    <w:rsid w:val="50A8237D"/>
    <w:rsid w:val="50A9490D"/>
    <w:rsid w:val="50AC128E"/>
    <w:rsid w:val="50AE3E60"/>
    <w:rsid w:val="50AE523C"/>
    <w:rsid w:val="50B060E2"/>
    <w:rsid w:val="50B16946"/>
    <w:rsid w:val="50B17DEA"/>
    <w:rsid w:val="50B22B68"/>
    <w:rsid w:val="50B23543"/>
    <w:rsid w:val="50B3168A"/>
    <w:rsid w:val="50B45146"/>
    <w:rsid w:val="50B6080B"/>
    <w:rsid w:val="50B85A83"/>
    <w:rsid w:val="50B96C00"/>
    <w:rsid w:val="50B96EF3"/>
    <w:rsid w:val="50BB3A45"/>
    <w:rsid w:val="50BB64D4"/>
    <w:rsid w:val="50BB6EA5"/>
    <w:rsid w:val="50BC1D77"/>
    <w:rsid w:val="50BC3FD7"/>
    <w:rsid w:val="50BC3FFA"/>
    <w:rsid w:val="50C13896"/>
    <w:rsid w:val="50C15EEC"/>
    <w:rsid w:val="50C36206"/>
    <w:rsid w:val="50C64E79"/>
    <w:rsid w:val="50C75CD0"/>
    <w:rsid w:val="50C809D0"/>
    <w:rsid w:val="50C820AA"/>
    <w:rsid w:val="50C846D3"/>
    <w:rsid w:val="50C84918"/>
    <w:rsid w:val="50C94F27"/>
    <w:rsid w:val="50CA45A4"/>
    <w:rsid w:val="50CA69FC"/>
    <w:rsid w:val="50CA78A8"/>
    <w:rsid w:val="50CC07FE"/>
    <w:rsid w:val="50CD5263"/>
    <w:rsid w:val="50CF3D2E"/>
    <w:rsid w:val="50CF7667"/>
    <w:rsid w:val="50D353AA"/>
    <w:rsid w:val="50D519A4"/>
    <w:rsid w:val="50D637B3"/>
    <w:rsid w:val="50D91050"/>
    <w:rsid w:val="50D92DFE"/>
    <w:rsid w:val="50DA38D6"/>
    <w:rsid w:val="50DC24A9"/>
    <w:rsid w:val="50DE0ACA"/>
    <w:rsid w:val="50E00B13"/>
    <w:rsid w:val="50E034C4"/>
    <w:rsid w:val="50E16005"/>
    <w:rsid w:val="50E22C1F"/>
    <w:rsid w:val="50E24360"/>
    <w:rsid w:val="50E246A6"/>
    <w:rsid w:val="50E2736D"/>
    <w:rsid w:val="50E42BD5"/>
    <w:rsid w:val="50E509DF"/>
    <w:rsid w:val="50E512B9"/>
    <w:rsid w:val="50E615A0"/>
    <w:rsid w:val="50E6185A"/>
    <w:rsid w:val="50E67400"/>
    <w:rsid w:val="50E81293"/>
    <w:rsid w:val="50E91B23"/>
    <w:rsid w:val="50E941A0"/>
    <w:rsid w:val="50E95A29"/>
    <w:rsid w:val="50E97F4E"/>
    <w:rsid w:val="50EA500B"/>
    <w:rsid w:val="50EA5561"/>
    <w:rsid w:val="50EB3F82"/>
    <w:rsid w:val="50EC093D"/>
    <w:rsid w:val="50ED1830"/>
    <w:rsid w:val="50ED6098"/>
    <w:rsid w:val="50EE683D"/>
    <w:rsid w:val="50EF49D0"/>
    <w:rsid w:val="50F05223"/>
    <w:rsid w:val="50F1755D"/>
    <w:rsid w:val="50F20FF6"/>
    <w:rsid w:val="50F33BA4"/>
    <w:rsid w:val="50F57475"/>
    <w:rsid w:val="50F6589D"/>
    <w:rsid w:val="50F66A11"/>
    <w:rsid w:val="50F6750C"/>
    <w:rsid w:val="50F70BD7"/>
    <w:rsid w:val="50F80162"/>
    <w:rsid w:val="50F960B1"/>
    <w:rsid w:val="50F97720"/>
    <w:rsid w:val="50FA2CEF"/>
    <w:rsid w:val="50FA47E0"/>
    <w:rsid w:val="50FB112B"/>
    <w:rsid w:val="50FB4BED"/>
    <w:rsid w:val="50FB5419"/>
    <w:rsid w:val="50FE2865"/>
    <w:rsid w:val="50FF01C2"/>
    <w:rsid w:val="50FF76EE"/>
    <w:rsid w:val="51016120"/>
    <w:rsid w:val="51036FE5"/>
    <w:rsid w:val="51050B7D"/>
    <w:rsid w:val="51060479"/>
    <w:rsid w:val="51063CEB"/>
    <w:rsid w:val="510674CA"/>
    <w:rsid w:val="510720B3"/>
    <w:rsid w:val="5107287C"/>
    <w:rsid w:val="510746F1"/>
    <w:rsid w:val="51083645"/>
    <w:rsid w:val="510A432F"/>
    <w:rsid w:val="510A49CA"/>
    <w:rsid w:val="510B0A72"/>
    <w:rsid w:val="510D238B"/>
    <w:rsid w:val="510E07AC"/>
    <w:rsid w:val="510F3D41"/>
    <w:rsid w:val="51113F85"/>
    <w:rsid w:val="51114D80"/>
    <w:rsid w:val="51116FD7"/>
    <w:rsid w:val="51134562"/>
    <w:rsid w:val="51142088"/>
    <w:rsid w:val="51152D54"/>
    <w:rsid w:val="511552D2"/>
    <w:rsid w:val="511775AB"/>
    <w:rsid w:val="51177F4D"/>
    <w:rsid w:val="511827FB"/>
    <w:rsid w:val="5119144D"/>
    <w:rsid w:val="511A2107"/>
    <w:rsid w:val="511B2E9A"/>
    <w:rsid w:val="511D493C"/>
    <w:rsid w:val="511E0149"/>
    <w:rsid w:val="511E4B8C"/>
    <w:rsid w:val="512027DB"/>
    <w:rsid w:val="512178AF"/>
    <w:rsid w:val="51220301"/>
    <w:rsid w:val="51226553"/>
    <w:rsid w:val="512359DE"/>
    <w:rsid w:val="512473D9"/>
    <w:rsid w:val="5125461E"/>
    <w:rsid w:val="51271DBC"/>
    <w:rsid w:val="5127608E"/>
    <w:rsid w:val="512A365A"/>
    <w:rsid w:val="512B6180"/>
    <w:rsid w:val="512C3213"/>
    <w:rsid w:val="512C7869"/>
    <w:rsid w:val="512D51C5"/>
    <w:rsid w:val="512E144B"/>
    <w:rsid w:val="512F5729"/>
    <w:rsid w:val="5131086D"/>
    <w:rsid w:val="51325702"/>
    <w:rsid w:val="51327BA7"/>
    <w:rsid w:val="513425A0"/>
    <w:rsid w:val="51347986"/>
    <w:rsid w:val="51347BD0"/>
    <w:rsid w:val="51381F99"/>
    <w:rsid w:val="51386295"/>
    <w:rsid w:val="513933BD"/>
    <w:rsid w:val="513D2675"/>
    <w:rsid w:val="513D3172"/>
    <w:rsid w:val="513E0EAA"/>
    <w:rsid w:val="513F07E0"/>
    <w:rsid w:val="51434BC5"/>
    <w:rsid w:val="51435F5B"/>
    <w:rsid w:val="514364CA"/>
    <w:rsid w:val="51452194"/>
    <w:rsid w:val="51452242"/>
    <w:rsid w:val="514526E9"/>
    <w:rsid w:val="514527E1"/>
    <w:rsid w:val="51454191"/>
    <w:rsid w:val="51456276"/>
    <w:rsid w:val="51473AA6"/>
    <w:rsid w:val="51491D32"/>
    <w:rsid w:val="514C1822"/>
    <w:rsid w:val="514C5742"/>
    <w:rsid w:val="514D1683"/>
    <w:rsid w:val="5150213B"/>
    <w:rsid w:val="51510BE7"/>
    <w:rsid w:val="51525C4E"/>
    <w:rsid w:val="51527CF8"/>
    <w:rsid w:val="5153495F"/>
    <w:rsid w:val="5154741D"/>
    <w:rsid w:val="51552C9C"/>
    <w:rsid w:val="515661FD"/>
    <w:rsid w:val="51571C09"/>
    <w:rsid w:val="515720D8"/>
    <w:rsid w:val="515802E8"/>
    <w:rsid w:val="51580DF3"/>
    <w:rsid w:val="515914BC"/>
    <w:rsid w:val="515C2C15"/>
    <w:rsid w:val="515C444E"/>
    <w:rsid w:val="515D57DD"/>
    <w:rsid w:val="515E33F2"/>
    <w:rsid w:val="515F6C95"/>
    <w:rsid w:val="515F70FE"/>
    <w:rsid w:val="51626C20"/>
    <w:rsid w:val="516343B1"/>
    <w:rsid w:val="51636259"/>
    <w:rsid w:val="51653D6E"/>
    <w:rsid w:val="51673073"/>
    <w:rsid w:val="51695361"/>
    <w:rsid w:val="516A3CD7"/>
    <w:rsid w:val="516C21AC"/>
    <w:rsid w:val="516C22F8"/>
    <w:rsid w:val="516D2658"/>
    <w:rsid w:val="516D4B4A"/>
    <w:rsid w:val="516F213E"/>
    <w:rsid w:val="51711289"/>
    <w:rsid w:val="51713037"/>
    <w:rsid w:val="51714DE5"/>
    <w:rsid w:val="517226D9"/>
    <w:rsid w:val="51723FD8"/>
    <w:rsid w:val="51731135"/>
    <w:rsid w:val="5174610D"/>
    <w:rsid w:val="51752B27"/>
    <w:rsid w:val="51756AF6"/>
    <w:rsid w:val="51774E4B"/>
    <w:rsid w:val="5178164C"/>
    <w:rsid w:val="51783D88"/>
    <w:rsid w:val="51785E06"/>
    <w:rsid w:val="517A7518"/>
    <w:rsid w:val="517B4359"/>
    <w:rsid w:val="517B51EF"/>
    <w:rsid w:val="517B7D99"/>
    <w:rsid w:val="517C40D7"/>
    <w:rsid w:val="517C66A4"/>
    <w:rsid w:val="517C6C63"/>
    <w:rsid w:val="517E37BF"/>
    <w:rsid w:val="517F3320"/>
    <w:rsid w:val="517F7270"/>
    <w:rsid w:val="51804083"/>
    <w:rsid w:val="51815AC1"/>
    <w:rsid w:val="518247CD"/>
    <w:rsid w:val="518279A9"/>
    <w:rsid w:val="51836714"/>
    <w:rsid w:val="51840539"/>
    <w:rsid w:val="51844B18"/>
    <w:rsid w:val="51855CFC"/>
    <w:rsid w:val="51861E52"/>
    <w:rsid w:val="51865082"/>
    <w:rsid w:val="51870AAC"/>
    <w:rsid w:val="5188302A"/>
    <w:rsid w:val="51890216"/>
    <w:rsid w:val="518A4CFF"/>
    <w:rsid w:val="518A5EA7"/>
    <w:rsid w:val="518B56FB"/>
    <w:rsid w:val="518C0F90"/>
    <w:rsid w:val="518C2D77"/>
    <w:rsid w:val="518D45B6"/>
    <w:rsid w:val="518E681A"/>
    <w:rsid w:val="518F583E"/>
    <w:rsid w:val="5190566A"/>
    <w:rsid w:val="51906E29"/>
    <w:rsid w:val="51922AAE"/>
    <w:rsid w:val="51954A31"/>
    <w:rsid w:val="51955765"/>
    <w:rsid w:val="51963AAE"/>
    <w:rsid w:val="51981FF3"/>
    <w:rsid w:val="519821A9"/>
    <w:rsid w:val="51984F06"/>
    <w:rsid w:val="51994189"/>
    <w:rsid w:val="519A7C0E"/>
    <w:rsid w:val="519A7DC4"/>
    <w:rsid w:val="519B5DB6"/>
    <w:rsid w:val="519B62CB"/>
    <w:rsid w:val="519C2DCB"/>
    <w:rsid w:val="519D6B66"/>
    <w:rsid w:val="519E0A6A"/>
    <w:rsid w:val="519F143A"/>
    <w:rsid w:val="519F1952"/>
    <w:rsid w:val="519F78D8"/>
    <w:rsid w:val="51A3402D"/>
    <w:rsid w:val="51A422F8"/>
    <w:rsid w:val="51A43D79"/>
    <w:rsid w:val="51A53C9E"/>
    <w:rsid w:val="51A742B0"/>
    <w:rsid w:val="51A753D3"/>
    <w:rsid w:val="51A91CCA"/>
    <w:rsid w:val="51AB5CCC"/>
    <w:rsid w:val="51AC0513"/>
    <w:rsid w:val="51AD282D"/>
    <w:rsid w:val="51AE428B"/>
    <w:rsid w:val="51AE6039"/>
    <w:rsid w:val="51AF348D"/>
    <w:rsid w:val="51B024A9"/>
    <w:rsid w:val="51B2240A"/>
    <w:rsid w:val="51B3364F"/>
    <w:rsid w:val="51B463D3"/>
    <w:rsid w:val="51B62BC0"/>
    <w:rsid w:val="51B65B2B"/>
    <w:rsid w:val="51B7353F"/>
    <w:rsid w:val="51B8783B"/>
    <w:rsid w:val="51B96E96"/>
    <w:rsid w:val="51BA32B3"/>
    <w:rsid w:val="51BB5312"/>
    <w:rsid w:val="51BC0756"/>
    <w:rsid w:val="51BC1053"/>
    <w:rsid w:val="51BD2161"/>
    <w:rsid w:val="51BE2D00"/>
    <w:rsid w:val="51BF0FF3"/>
    <w:rsid w:val="51BF5093"/>
    <w:rsid w:val="51C0091A"/>
    <w:rsid w:val="51C05F04"/>
    <w:rsid w:val="51C0600D"/>
    <w:rsid w:val="51C10525"/>
    <w:rsid w:val="51C17BC3"/>
    <w:rsid w:val="51C36F2F"/>
    <w:rsid w:val="51C51D3E"/>
    <w:rsid w:val="51C53A9B"/>
    <w:rsid w:val="51C60F61"/>
    <w:rsid w:val="51C770FB"/>
    <w:rsid w:val="51C86407"/>
    <w:rsid w:val="51CA154D"/>
    <w:rsid w:val="51CE66DB"/>
    <w:rsid w:val="51CE738D"/>
    <w:rsid w:val="51CF3035"/>
    <w:rsid w:val="51D11F3A"/>
    <w:rsid w:val="51D27F79"/>
    <w:rsid w:val="51D351A1"/>
    <w:rsid w:val="51D40345"/>
    <w:rsid w:val="51D457A6"/>
    <w:rsid w:val="51D71203"/>
    <w:rsid w:val="51D87142"/>
    <w:rsid w:val="51D91967"/>
    <w:rsid w:val="51DA5080"/>
    <w:rsid w:val="51DC1903"/>
    <w:rsid w:val="51DD18E7"/>
    <w:rsid w:val="51E11E2F"/>
    <w:rsid w:val="51E14D3C"/>
    <w:rsid w:val="51E43C34"/>
    <w:rsid w:val="51E46EE6"/>
    <w:rsid w:val="51E47CAD"/>
    <w:rsid w:val="51E60575"/>
    <w:rsid w:val="51E7654F"/>
    <w:rsid w:val="51E843AB"/>
    <w:rsid w:val="51E87E4E"/>
    <w:rsid w:val="51E928BE"/>
    <w:rsid w:val="51E97561"/>
    <w:rsid w:val="51EC036F"/>
    <w:rsid w:val="51EC1240"/>
    <w:rsid w:val="51EF069A"/>
    <w:rsid w:val="51EF146B"/>
    <w:rsid w:val="51EF4A62"/>
    <w:rsid w:val="51F003FF"/>
    <w:rsid w:val="51F021AD"/>
    <w:rsid w:val="51F061A7"/>
    <w:rsid w:val="51F21F4B"/>
    <w:rsid w:val="51F2334E"/>
    <w:rsid w:val="51F37EF0"/>
    <w:rsid w:val="51F4065F"/>
    <w:rsid w:val="51F45959"/>
    <w:rsid w:val="51F577C4"/>
    <w:rsid w:val="51F67CA8"/>
    <w:rsid w:val="51F806BC"/>
    <w:rsid w:val="51F85506"/>
    <w:rsid w:val="51F92090"/>
    <w:rsid w:val="51FA1FD5"/>
    <w:rsid w:val="51FA2777"/>
    <w:rsid w:val="51FA302C"/>
    <w:rsid w:val="51FA6A44"/>
    <w:rsid w:val="51FA74D0"/>
    <w:rsid w:val="51FB7581"/>
    <w:rsid w:val="51FB7710"/>
    <w:rsid w:val="51FC0012"/>
    <w:rsid w:val="51FD2B1C"/>
    <w:rsid w:val="51FD3754"/>
    <w:rsid w:val="51FE0F3D"/>
    <w:rsid w:val="51FF6894"/>
    <w:rsid w:val="51FF7C0E"/>
    <w:rsid w:val="52000723"/>
    <w:rsid w:val="5200778B"/>
    <w:rsid w:val="52013BE4"/>
    <w:rsid w:val="520204FA"/>
    <w:rsid w:val="52022E52"/>
    <w:rsid w:val="520573DE"/>
    <w:rsid w:val="52061C8F"/>
    <w:rsid w:val="52094E9C"/>
    <w:rsid w:val="520970DF"/>
    <w:rsid w:val="520B6FE7"/>
    <w:rsid w:val="520B7076"/>
    <w:rsid w:val="520D1996"/>
    <w:rsid w:val="520E060B"/>
    <w:rsid w:val="520E7D88"/>
    <w:rsid w:val="520F6916"/>
    <w:rsid w:val="52126D35"/>
    <w:rsid w:val="52134FB6"/>
    <w:rsid w:val="52147D0E"/>
    <w:rsid w:val="521735F8"/>
    <w:rsid w:val="52190FE2"/>
    <w:rsid w:val="521A547C"/>
    <w:rsid w:val="521B6D91"/>
    <w:rsid w:val="521C0CD7"/>
    <w:rsid w:val="521C5A48"/>
    <w:rsid w:val="521F2F74"/>
    <w:rsid w:val="52214A5D"/>
    <w:rsid w:val="52215680"/>
    <w:rsid w:val="52216D58"/>
    <w:rsid w:val="52253DCF"/>
    <w:rsid w:val="522602C5"/>
    <w:rsid w:val="522634B6"/>
    <w:rsid w:val="522956BF"/>
    <w:rsid w:val="522A21E6"/>
    <w:rsid w:val="522A5477"/>
    <w:rsid w:val="522B601C"/>
    <w:rsid w:val="522B768A"/>
    <w:rsid w:val="522E1E73"/>
    <w:rsid w:val="522E717A"/>
    <w:rsid w:val="522F68D9"/>
    <w:rsid w:val="5231278F"/>
    <w:rsid w:val="52320A18"/>
    <w:rsid w:val="5232321D"/>
    <w:rsid w:val="52343EDB"/>
    <w:rsid w:val="52354FB9"/>
    <w:rsid w:val="52360E3C"/>
    <w:rsid w:val="52363EF8"/>
    <w:rsid w:val="52365194"/>
    <w:rsid w:val="52365D7A"/>
    <w:rsid w:val="52377DDC"/>
    <w:rsid w:val="52382C7E"/>
    <w:rsid w:val="52392697"/>
    <w:rsid w:val="52392F23"/>
    <w:rsid w:val="523963BD"/>
    <w:rsid w:val="523A5B3F"/>
    <w:rsid w:val="523B5B41"/>
    <w:rsid w:val="523C7F9F"/>
    <w:rsid w:val="523F30FC"/>
    <w:rsid w:val="52410C5B"/>
    <w:rsid w:val="52416EAD"/>
    <w:rsid w:val="5242431B"/>
    <w:rsid w:val="524259BE"/>
    <w:rsid w:val="5243507E"/>
    <w:rsid w:val="52445C69"/>
    <w:rsid w:val="52456535"/>
    <w:rsid w:val="52466271"/>
    <w:rsid w:val="524840EC"/>
    <w:rsid w:val="52493F12"/>
    <w:rsid w:val="524B2DC8"/>
    <w:rsid w:val="524C11DC"/>
    <w:rsid w:val="524C5EA3"/>
    <w:rsid w:val="524D02DF"/>
    <w:rsid w:val="524D7600"/>
    <w:rsid w:val="524D7CC3"/>
    <w:rsid w:val="524E27EF"/>
    <w:rsid w:val="524E2E8A"/>
    <w:rsid w:val="5251726B"/>
    <w:rsid w:val="52520E92"/>
    <w:rsid w:val="525224E2"/>
    <w:rsid w:val="52524E89"/>
    <w:rsid w:val="52551F21"/>
    <w:rsid w:val="52567130"/>
    <w:rsid w:val="5257047F"/>
    <w:rsid w:val="52583F3C"/>
    <w:rsid w:val="52585CAD"/>
    <w:rsid w:val="52587BD1"/>
    <w:rsid w:val="525A3F94"/>
    <w:rsid w:val="525B15D0"/>
    <w:rsid w:val="525D4D14"/>
    <w:rsid w:val="525E2CE4"/>
    <w:rsid w:val="525E7DAE"/>
    <w:rsid w:val="526130AB"/>
    <w:rsid w:val="52613725"/>
    <w:rsid w:val="526241AF"/>
    <w:rsid w:val="52632790"/>
    <w:rsid w:val="52636E23"/>
    <w:rsid w:val="526374C9"/>
    <w:rsid w:val="52641260"/>
    <w:rsid w:val="526426BA"/>
    <w:rsid w:val="52642B9B"/>
    <w:rsid w:val="52643326"/>
    <w:rsid w:val="52644E71"/>
    <w:rsid w:val="526469F7"/>
    <w:rsid w:val="52650414"/>
    <w:rsid w:val="5265579F"/>
    <w:rsid w:val="52677F6F"/>
    <w:rsid w:val="52683892"/>
    <w:rsid w:val="526A0018"/>
    <w:rsid w:val="526A2481"/>
    <w:rsid w:val="526A6404"/>
    <w:rsid w:val="526B0D4E"/>
    <w:rsid w:val="526C119A"/>
    <w:rsid w:val="526C337C"/>
    <w:rsid w:val="526E4730"/>
    <w:rsid w:val="526E7374"/>
    <w:rsid w:val="527329F8"/>
    <w:rsid w:val="52742FD2"/>
    <w:rsid w:val="527821A3"/>
    <w:rsid w:val="52791A19"/>
    <w:rsid w:val="527960C1"/>
    <w:rsid w:val="52796647"/>
    <w:rsid w:val="527A1982"/>
    <w:rsid w:val="527D13F1"/>
    <w:rsid w:val="527D2B36"/>
    <w:rsid w:val="527D39F0"/>
    <w:rsid w:val="527E1EAF"/>
    <w:rsid w:val="527E490B"/>
    <w:rsid w:val="527F3531"/>
    <w:rsid w:val="528059E2"/>
    <w:rsid w:val="52810754"/>
    <w:rsid w:val="528133F8"/>
    <w:rsid w:val="5281560B"/>
    <w:rsid w:val="52834727"/>
    <w:rsid w:val="52834D6E"/>
    <w:rsid w:val="52851792"/>
    <w:rsid w:val="52860E10"/>
    <w:rsid w:val="5289067D"/>
    <w:rsid w:val="528A4BC9"/>
    <w:rsid w:val="528B2997"/>
    <w:rsid w:val="528C4D2C"/>
    <w:rsid w:val="528D0A73"/>
    <w:rsid w:val="528D6E8D"/>
    <w:rsid w:val="528E22CF"/>
    <w:rsid w:val="528F0A7C"/>
    <w:rsid w:val="528F17AD"/>
    <w:rsid w:val="528F23FD"/>
    <w:rsid w:val="528F2803"/>
    <w:rsid w:val="52905E25"/>
    <w:rsid w:val="52910563"/>
    <w:rsid w:val="529128BB"/>
    <w:rsid w:val="529202DB"/>
    <w:rsid w:val="52927CA3"/>
    <w:rsid w:val="5294066D"/>
    <w:rsid w:val="52943808"/>
    <w:rsid w:val="5295077F"/>
    <w:rsid w:val="52953EDE"/>
    <w:rsid w:val="529547D0"/>
    <w:rsid w:val="52971B22"/>
    <w:rsid w:val="52974B1E"/>
    <w:rsid w:val="529808E4"/>
    <w:rsid w:val="5298444C"/>
    <w:rsid w:val="52995261"/>
    <w:rsid w:val="529B5D0A"/>
    <w:rsid w:val="529C1F4C"/>
    <w:rsid w:val="529C6C5D"/>
    <w:rsid w:val="529D683D"/>
    <w:rsid w:val="529D7CD3"/>
    <w:rsid w:val="529F2249"/>
    <w:rsid w:val="52A03BD4"/>
    <w:rsid w:val="52A31B68"/>
    <w:rsid w:val="52A44127"/>
    <w:rsid w:val="52A535DD"/>
    <w:rsid w:val="52A61A01"/>
    <w:rsid w:val="52A65097"/>
    <w:rsid w:val="52A829E9"/>
    <w:rsid w:val="52A87720"/>
    <w:rsid w:val="52AA1001"/>
    <w:rsid w:val="52AA2CA4"/>
    <w:rsid w:val="52AA60D1"/>
    <w:rsid w:val="52AA77E4"/>
    <w:rsid w:val="52AB4642"/>
    <w:rsid w:val="52AB7C62"/>
    <w:rsid w:val="52AD62F0"/>
    <w:rsid w:val="52AE016E"/>
    <w:rsid w:val="52AE4D91"/>
    <w:rsid w:val="52AF3E17"/>
    <w:rsid w:val="52AF696E"/>
    <w:rsid w:val="52B0193D"/>
    <w:rsid w:val="52B03D9A"/>
    <w:rsid w:val="52B1337B"/>
    <w:rsid w:val="52B143BC"/>
    <w:rsid w:val="52B1645A"/>
    <w:rsid w:val="52B27C15"/>
    <w:rsid w:val="52B47140"/>
    <w:rsid w:val="52B50A93"/>
    <w:rsid w:val="52B50EA5"/>
    <w:rsid w:val="52B551A5"/>
    <w:rsid w:val="52B82387"/>
    <w:rsid w:val="52B8277E"/>
    <w:rsid w:val="52B87507"/>
    <w:rsid w:val="52B93254"/>
    <w:rsid w:val="52B953EE"/>
    <w:rsid w:val="52B96A43"/>
    <w:rsid w:val="52BA7480"/>
    <w:rsid w:val="52BB7FB0"/>
    <w:rsid w:val="52BC29D7"/>
    <w:rsid w:val="52BD163A"/>
    <w:rsid w:val="52BD5BF7"/>
    <w:rsid w:val="52BD6977"/>
    <w:rsid w:val="52BD7F3F"/>
    <w:rsid w:val="52BF6691"/>
    <w:rsid w:val="52BF7800"/>
    <w:rsid w:val="52C03774"/>
    <w:rsid w:val="52C04276"/>
    <w:rsid w:val="52C35B14"/>
    <w:rsid w:val="52C50566"/>
    <w:rsid w:val="52C553E8"/>
    <w:rsid w:val="52C64A18"/>
    <w:rsid w:val="52C67266"/>
    <w:rsid w:val="52C76DDF"/>
    <w:rsid w:val="52C77B7F"/>
    <w:rsid w:val="52C87D88"/>
    <w:rsid w:val="52C9499A"/>
    <w:rsid w:val="52C96AAB"/>
    <w:rsid w:val="52CA2DCE"/>
    <w:rsid w:val="52CA5A1A"/>
    <w:rsid w:val="52CA6EA2"/>
    <w:rsid w:val="52CB49C9"/>
    <w:rsid w:val="52CC2C1B"/>
    <w:rsid w:val="52CC72DE"/>
    <w:rsid w:val="52CE00D7"/>
    <w:rsid w:val="52CE21BB"/>
    <w:rsid w:val="52CF030B"/>
    <w:rsid w:val="52D000D0"/>
    <w:rsid w:val="52D1656F"/>
    <w:rsid w:val="52D26640"/>
    <w:rsid w:val="52D44E78"/>
    <w:rsid w:val="52D526EB"/>
    <w:rsid w:val="52D63F42"/>
    <w:rsid w:val="52D65641"/>
    <w:rsid w:val="52D72187"/>
    <w:rsid w:val="52D84F6A"/>
    <w:rsid w:val="52DA5A41"/>
    <w:rsid w:val="52DA5E34"/>
    <w:rsid w:val="52DA72E1"/>
    <w:rsid w:val="52DB4C0C"/>
    <w:rsid w:val="52DB7417"/>
    <w:rsid w:val="52DE42CD"/>
    <w:rsid w:val="52DE46FC"/>
    <w:rsid w:val="52DF0443"/>
    <w:rsid w:val="52E04137"/>
    <w:rsid w:val="52E350B6"/>
    <w:rsid w:val="52E455A4"/>
    <w:rsid w:val="52E55A8A"/>
    <w:rsid w:val="52E567E1"/>
    <w:rsid w:val="52E622F6"/>
    <w:rsid w:val="52E71DAC"/>
    <w:rsid w:val="52E7532B"/>
    <w:rsid w:val="52EB5AEA"/>
    <w:rsid w:val="52ED493F"/>
    <w:rsid w:val="52EF3DF8"/>
    <w:rsid w:val="52F061DD"/>
    <w:rsid w:val="52F26050"/>
    <w:rsid w:val="52F42171"/>
    <w:rsid w:val="52F54E68"/>
    <w:rsid w:val="52F60A01"/>
    <w:rsid w:val="52F8568F"/>
    <w:rsid w:val="52FA439A"/>
    <w:rsid w:val="52FC308C"/>
    <w:rsid w:val="52FC560B"/>
    <w:rsid w:val="52FD61A9"/>
    <w:rsid w:val="52FF0E89"/>
    <w:rsid w:val="52FF6089"/>
    <w:rsid w:val="53000485"/>
    <w:rsid w:val="53013630"/>
    <w:rsid w:val="530157A9"/>
    <w:rsid w:val="53033073"/>
    <w:rsid w:val="53042F77"/>
    <w:rsid w:val="5304402B"/>
    <w:rsid w:val="53050CA6"/>
    <w:rsid w:val="5305612D"/>
    <w:rsid w:val="5305650D"/>
    <w:rsid w:val="53074F7D"/>
    <w:rsid w:val="530974C5"/>
    <w:rsid w:val="530A3743"/>
    <w:rsid w:val="530C451E"/>
    <w:rsid w:val="530E3915"/>
    <w:rsid w:val="530E6214"/>
    <w:rsid w:val="531037AF"/>
    <w:rsid w:val="5311062D"/>
    <w:rsid w:val="53121CDA"/>
    <w:rsid w:val="53135C5B"/>
    <w:rsid w:val="53135DC6"/>
    <w:rsid w:val="53136212"/>
    <w:rsid w:val="5314478E"/>
    <w:rsid w:val="5315305D"/>
    <w:rsid w:val="53155374"/>
    <w:rsid w:val="53157358"/>
    <w:rsid w:val="53177879"/>
    <w:rsid w:val="5319278C"/>
    <w:rsid w:val="53197738"/>
    <w:rsid w:val="531A32D1"/>
    <w:rsid w:val="531A4661"/>
    <w:rsid w:val="531B30CF"/>
    <w:rsid w:val="531B541D"/>
    <w:rsid w:val="531C2675"/>
    <w:rsid w:val="531C30A8"/>
    <w:rsid w:val="531C65D6"/>
    <w:rsid w:val="531D6664"/>
    <w:rsid w:val="532046EE"/>
    <w:rsid w:val="53204D14"/>
    <w:rsid w:val="532103EE"/>
    <w:rsid w:val="53210730"/>
    <w:rsid w:val="5322671C"/>
    <w:rsid w:val="532273B9"/>
    <w:rsid w:val="532277F7"/>
    <w:rsid w:val="532365B3"/>
    <w:rsid w:val="53276652"/>
    <w:rsid w:val="53293B36"/>
    <w:rsid w:val="532A610A"/>
    <w:rsid w:val="532C022F"/>
    <w:rsid w:val="532C36B9"/>
    <w:rsid w:val="532C5467"/>
    <w:rsid w:val="532C59DE"/>
    <w:rsid w:val="532D0580"/>
    <w:rsid w:val="532E01F9"/>
    <w:rsid w:val="53303F2B"/>
    <w:rsid w:val="53306891"/>
    <w:rsid w:val="53312AA7"/>
    <w:rsid w:val="53341D8D"/>
    <w:rsid w:val="5334256E"/>
    <w:rsid w:val="533564EB"/>
    <w:rsid w:val="533568A2"/>
    <w:rsid w:val="5337070E"/>
    <w:rsid w:val="53370B35"/>
    <w:rsid w:val="533802B0"/>
    <w:rsid w:val="533816D3"/>
    <w:rsid w:val="533909AB"/>
    <w:rsid w:val="533917EB"/>
    <w:rsid w:val="5339476F"/>
    <w:rsid w:val="53397ECF"/>
    <w:rsid w:val="533A275A"/>
    <w:rsid w:val="533A442F"/>
    <w:rsid w:val="533B38FC"/>
    <w:rsid w:val="533B7DA0"/>
    <w:rsid w:val="533C7A3F"/>
    <w:rsid w:val="533D505A"/>
    <w:rsid w:val="533E33EC"/>
    <w:rsid w:val="533E6ACD"/>
    <w:rsid w:val="534014BF"/>
    <w:rsid w:val="534049B3"/>
    <w:rsid w:val="534053B7"/>
    <w:rsid w:val="534112A6"/>
    <w:rsid w:val="53417631"/>
    <w:rsid w:val="534239E1"/>
    <w:rsid w:val="53426A39"/>
    <w:rsid w:val="53465EF1"/>
    <w:rsid w:val="534702D4"/>
    <w:rsid w:val="5348605B"/>
    <w:rsid w:val="534E03B9"/>
    <w:rsid w:val="534E0D01"/>
    <w:rsid w:val="534E3FB7"/>
    <w:rsid w:val="534E7AD3"/>
    <w:rsid w:val="534F1156"/>
    <w:rsid w:val="53517039"/>
    <w:rsid w:val="53532477"/>
    <w:rsid w:val="53545E55"/>
    <w:rsid w:val="53557C80"/>
    <w:rsid w:val="53570176"/>
    <w:rsid w:val="535817B9"/>
    <w:rsid w:val="53590226"/>
    <w:rsid w:val="535C0EA9"/>
    <w:rsid w:val="535D5118"/>
    <w:rsid w:val="535E72E2"/>
    <w:rsid w:val="53603363"/>
    <w:rsid w:val="53630514"/>
    <w:rsid w:val="53640895"/>
    <w:rsid w:val="5365482D"/>
    <w:rsid w:val="5368631A"/>
    <w:rsid w:val="53695B54"/>
    <w:rsid w:val="536A3D92"/>
    <w:rsid w:val="536A6FA8"/>
    <w:rsid w:val="536B54C7"/>
    <w:rsid w:val="536C2239"/>
    <w:rsid w:val="536D71D1"/>
    <w:rsid w:val="536D7391"/>
    <w:rsid w:val="536F33C6"/>
    <w:rsid w:val="53703032"/>
    <w:rsid w:val="5371089E"/>
    <w:rsid w:val="53715570"/>
    <w:rsid w:val="53716E49"/>
    <w:rsid w:val="5373002E"/>
    <w:rsid w:val="53745413"/>
    <w:rsid w:val="53755DED"/>
    <w:rsid w:val="53771AFF"/>
    <w:rsid w:val="53774E78"/>
    <w:rsid w:val="53776A90"/>
    <w:rsid w:val="53777E38"/>
    <w:rsid w:val="53794320"/>
    <w:rsid w:val="537A03CC"/>
    <w:rsid w:val="537B01CE"/>
    <w:rsid w:val="537D466F"/>
    <w:rsid w:val="537D4BBD"/>
    <w:rsid w:val="53806916"/>
    <w:rsid w:val="5382152B"/>
    <w:rsid w:val="53835CEA"/>
    <w:rsid w:val="538472CD"/>
    <w:rsid w:val="538709E1"/>
    <w:rsid w:val="538739F4"/>
    <w:rsid w:val="53875DA7"/>
    <w:rsid w:val="53876E78"/>
    <w:rsid w:val="538A42CA"/>
    <w:rsid w:val="538A68C5"/>
    <w:rsid w:val="538A7962"/>
    <w:rsid w:val="538B1C3E"/>
    <w:rsid w:val="538B4554"/>
    <w:rsid w:val="538B57AC"/>
    <w:rsid w:val="538C02B4"/>
    <w:rsid w:val="538C7932"/>
    <w:rsid w:val="538D23F9"/>
    <w:rsid w:val="538E6B6E"/>
    <w:rsid w:val="538F3C48"/>
    <w:rsid w:val="5391176E"/>
    <w:rsid w:val="539320C9"/>
    <w:rsid w:val="53932EC7"/>
    <w:rsid w:val="53937AC2"/>
    <w:rsid w:val="539543D2"/>
    <w:rsid w:val="539656B8"/>
    <w:rsid w:val="5398074C"/>
    <w:rsid w:val="539867B1"/>
    <w:rsid w:val="53990C1F"/>
    <w:rsid w:val="53996AFD"/>
    <w:rsid w:val="539A3E53"/>
    <w:rsid w:val="539A41BB"/>
    <w:rsid w:val="539F032F"/>
    <w:rsid w:val="53A0341B"/>
    <w:rsid w:val="53A05E55"/>
    <w:rsid w:val="53A14C9F"/>
    <w:rsid w:val="53A53C8D"/>
    <w:rsid w:val="53A72FD1"/>
    <w:rsid w:val="53A82B98"/>
    <w:rsid w:val="53A8422C"/>
    <w:rsid w:val="53A84DEF"/>
    <w:rsid w:val="53A92219"/>
    <w:rsid w:val="53AA0FF0"/>
    <w:rsid w:val="53AC5B59"/>
    <w:rsid w:val="53AD73B0"/>
    <w:rsid w:val="53AD79C9"/>
    <w:rsid w:val="53AE0779"/>
    <w:rsid w:val="53B02A24"/>
    <w:rsid w:val="53B06DE7"/>
    <w:rsid w:val="53B1737E"/>
    <w:rsid w:val="53B214EB"/>
    <w:rsid w:val="53B2326A"/>
    <w:rsid w:val="53B27D78"/>
    <w:rsid w:val="53B4646A"/>
    <w:rsid w:val="53B512A1"/>
    <w:rsid w:val="53B55546"/>
    <w:rsid w:val="53B70566"/>
    <w:rsid w:val="53B813F1"/>
    <w:rsid w:val="53B86445"/>
    <w:rsid w:val="53B9160B"/>
    <w:rsid w:val="53B9453D"/>
    <w:rsid w:val="53BB438C"/>
    <w:rsid w:val="53BC0116"/>
    <w:rsid w:val="53BC1897"/>
    <w:rsid w:val="53BD7BAA"/>
    <w:rsid w:val="53BE40A3"/>
    <w:rsid w:val="53BE477E"/>
    <w:rsid w:val="53BE4F88"/>
    <w:rsid w:val="53BE4FF6"/>
    <w:rsid w:val="53BF6826"/>
    <w:rsid w:val="53BF77E5"/>
    <w:rsid w:val="53C03D6A"/>
    <w:rsid w:val="53C04BC3"/>
    <w:rsid w:val="53C125EB"/>
    <w:rsid w:val="53C2102F"/>
    <w:rsid w:val="53C214D3"/>
    <w:rsid w:val="53C25DCC"/>
    <w:rsid w:val="53C27B7A"/>
    <w:rsid w:val="53C30095"/>
    <w:rsid w:val="53C602EC"/>
    <w:rsid w:val="53C6327A"/>
    <w:rsid w:val="53C6338B"/>
    <w:rsid w:val="53C9189D"/>
    <w:rsid w:val="53CB1384"/>
    <w:rsid w:val="53CF08F5"/>
    <w:rsid w:val="53D1600F"/>
    <w:rsid w:val="53D167AB"/>
    <w:rsid w:val="53D177AD"/>
    <w:rsid w:val="53D17946"/>
    <w:rsid w:val="53D17DBD"/>
    <w:rsid w:val="53D224C1"/>
    <w:rsid w:val="53D374C2"/>
    <w:rsid w:val="53D43C9C"/>
    <w:rsid w:val="53D5512C"/>
    <w:rsid w:val="53D708D8"/>
    <w:rsid w:val="53DA7F94"/>
    <w:rsid w:val="53DB482B"/>
    <w:rsid w:val="53DC2D24"/>
    <w:rsid w:val="53DD7930"/>
    <w:rsid w:val="53E0649A"/>
    <w:rsid w:val="53E259A0"/>
    <w:rsid w:val="53E2646E"/>
    <w:rsid w:val="53E47AF0"/>
    <w:rsid w:val="53E51E92"/>
    <w:rsid w:val="53E52D77"/>
    <w:rsid w:val="53E66D93"/>
    <w:rsid w:val="53E71A1F"/>
    <w:rsid w:val="53E74448"/>
    <w:rsid w:val="53E82A87"/>
    <w:rsid w:val="53E86827"/>
    <w:rsid w:val="53EC4BF7"/>
    <w:rsid w:val="53EC518E"/>
    <w:rsid w:val="53EE7B52"/>
    <w:rsid w:val="53EF7163"/>
    <w:rsid w:val="53F11874"/>
    <w:rsid w:val="53F1220D"/>
    <w:rsid w:val="53F13C34"/>
    <w:rsid w:val="53F31701"/>
    <w:rsid w:val="53F31DE7"/>
    <w:rsid w:val="53F47545"/>
    <w:rsid w:val="53F51078"/>
    <w:rsid w:val="53F6645B"/>
    <w:rsid w:val="53F87D1B"/>
    <w:rsid w:val="53F94903"/>
    <w:rsid w:val="53FA195C"/>
    <w:rsid w:val="53FB3968"/>
    <w:rsid w:val="53FC0355"/>
    <w:rsid w:val="53FC10D4"/>
    <w:rsid w:val="53FD0DA4"/>
    <w:rsid w:val="53FE6D0A"/>
    <w:rsid w:val="53FF4E7A"/>
    <w:rsid w:val="54000ED0"/>
    <w:rsid w:val="54015914"/>
    <w:rsid w:val="54021CBF"/>
    <w:rsid w:val="54022119"/>
    <w:rsid w:val="54046D5C"/>
    <w:rsid w:val="54046DFD"/>
    <w:rsid w:val="5405531C"/>
    <w:rsid w:val="540878B5"/>
    <w:rsid w:val="540C5E54"/>
    <w:rsid w:val="540C6827"/>
    <w:rsid w:val="540C7047"/>
    <w:rsid w:val="5410101E"/>
    <w:rsid w:val="54106536"/>
    <w:rsid w:val="54107BDD"/>
    <w:rsid w:val="5412035C"/>
    <w:rsid w:val="541226B2"/>
    <w:rsid w:val="54124B7D"/>
    <w:rsid w:val="541303D5"/>
    <w:rsid w:val="54133961"/>
    <w:rsid w:val="54133D7C"/>
    <w:rsid w:val="541558B0"/>
    <w:rsid w:val="541648CE"/>
    <w:rsid w:val="5418705D"/>
    <w:rsid w:val="541A291A"/>
    <w:rsid w:val="541A317A"/>
    <w:rsid w:val="541A66F2"/>
    <w:rsid w:val="541C45DB"/>
    <w:rsid w:val="541D6638"/>
    <w:rsid w:val="541F4CAE"/>
    <w:rsid w:val="54200023"/>
    <w:rsid w:val="542076D2"/>
    <w:rsid w:val="54223F19"/>
    <w:rsid w:val="542244BE"/>
    <w:rsid w:val="54224639"/>
    <w:rsid w:val="54245A4A"/>
    <w:rsid w:val="54251C6B"/>
    <w:rsid w:val="5425781E"/>
    <w:rsid w:val="542645AC"/>
    <w:rsid w:val="54275F69"/>
    <w:rsid w:val="542E0620"/>
    <w:rsid w:val="542E3166"/>
    <w:rsid w:val="542E7CA1"/>
    <w:rsid w:val="542F26FF"/>
    <w:rsid w:val="54300F87"/>
    <w:rsid w:val="543143B4"/>
    <w:rsid w:val="543315F7"/>
    <w:rsid w:val="54335B48"/>
    <w:rsid w:val="54366FC1"/>
    <w:rsid w:val="54373311"/>
    <w:rsid w:val="54376455"/>
    <w:rsid w:val="54384218"/>
    <w:rsid w:val="543A3E6F"/>
    <w:rsid w:val="543B3E3B"/>
    <w:rsid w:val="543C166A"/>
    <w:rsid w:val="543C16DA"/>
    <w:rsid w:val="543E111E"/>
    <w:rsid w:val="543E18F6"/>
    <w:rsid w:val="543E7A02"/>
    <w:rsid w:val="543F01B5"/>
    <w:rsid w:val="543F2C9A"/>
    <w:rsid w:val="543F2D91"/>
    <w:rsid w:val="54417AF7"/>
    <w:rsid w:val="544204FF"/>
    <w:rsid w:val="54427E9B"/>
    <w:rsid w:val="5443080D"/>
    <w:rsid w:val="54435DBA"/>
    <w:rsid w:val="54455CD4"/>
    <w:rsid w:val="54462559"/>
    <w:rsid w:val="54462AAE"/>
    <w:rsid w:val="54474677"/>
    <w:rsid w:val="54483FC5"/>
    <w:rsid w:val="54485636"/>
    <w:rsid w:val="544868EA"/>
    <w:rsid w:val="54486D5E"/>
    <w:rsid w:val="5449178E"/>
    <w:rsid w:val="544B3BE4"/>
    <w:rsid w:val="544C4768"/>
    <w:rsid w:val="544C4B78"/>
    <w:rsid w:val="544E1B5A"/>
    <w:rsid w:val="544E36B6"/>
    <w:rsid w:val="544F3B03"/>
    <w:rsid w:val="54501D20"/>
    <w:rsid w:val="54504584"/>
    <w:rsid w:val="54507259"/>
    <w:rsid w:val="54530666"/>
    <w:rsid w:val="54547399"/>
    <w:rsid w:val="545478BA"/>
    <w:rsid w:val="5456664B"/>
    <w:rsid w:val="54577081"/>
    <w:rsid w:val="54592C29"/>
    <w:rsid w:val="5459582B"/>
    <w:rsid w:val="545D3FC1"/>
    <w:rsid w:val="545D4AA3"/>
    <w:rsid w:val="545E15A3"/>
    <w:rsid w:val="545E246E"/>
    <w:rsid w:val="54602B84"/>
    <w:rsid w:val="54605CC9"/>
    <w:rsid w:val="54607F58"/>
    <w:rsid w:val="54617E32"/>
    <w:rsid w:val="54622923"/>
    <w:rsid w:val="5463135D"/>
    <w:rsid w:val="546365BB"/>
    <w:rsid w:val="54642471"/>
    <w:rsid w:val="546732AF"/>
    <w:rsid w:val="54681FE5"/>
    <w:rsid w:val="546832F7"/>
    <w:rsid w:val="54694932"/>
    <w:rsid w:val="54696F41"/>
    <w:rsid w:val="546B0B1D"/>
    <w:rsid w:val="546B16F0"/>
    <w:rsid w:val="546B69D2"/>
    <w:rsid w:val="546E1AAF"/>
    <w:rsid w:val="546F1853"/>
    <w:rsid w:val="546F5713"/>
    <w:rsid w:val="54705100"/>
    <w:rsid w:val="54705F59"/>
    <w:rsid w:val="54707211"/>
    <w:rsid w:val="547146BE"/>
    <w:rsid w:val="5471647D"/>
    <w:rsid w:val="5472334E"/>
    <w:rsid w:val="54727A31"/>
    <w:rsid w:val="54750068"/>
    <w:rsid w:val="54750089"/>
    <w:rsid w:val="54760740"/>
    <w:rsid w:val="5476414F"/>
    <w:rsid w:val="54764F44"/>
    <w:rsid w:val="547A2BCA"/>
    <w:rsid w:val="547B36BF"/>
    <w:rsid w:val="547C0049"/>
    <w:rsid w:val="547C5F48"/>
    <w:rsid w:val="547D6C5E"/>
    <w:rsid w:val="547E5523"/>
    <w:rsid w:val="547E6196"/>
    <w:rsid w:val="547F5D61"/>
    <w:rsid w:val="548103ED"/>
    <w:rsid w:val="54817A35"/>
    <w:rsid w:val="5482532E"/>
    <w:rsid w:val="54834C53"/>
    <w:rsid w:val="54843F60"/>
    <w:rsid w:val="548468A1"/>
    <w:rsid w:val="54860F2C"/>
    <w:rsid w:val="548718ED"/>
    <w:rsid w:val="54871DDE"/>
    <w:rsid w:val="548910DC"/>
    <w:rsid w:val="54896849"/>
    <w:rsid w:val="548A23E6"/>
    <w:rsid w:val="548B440F"/>
    <w:rsid w:val="548C0FB1"/>
    <w:rsid w:val="548D1C3A"/>
    <w:rsid w:val="548D462B"/>
    <w:rsid w:val="548D68CE"/>
    <w:rsid w:val="548F7085"/>
    <w:rsid w:val="548F745F"/>
    <w:rsid w:val="54907C78"/>
    <w:rsid w:val="5491208C"/>
    <w:rsid w:val="54936727"/>
    <w:rsid w:val="549414E2"/>
    <w:rsid w:val="54947768"/>
    <w:rsid w:val="549733F7"/>
    <w:rsid w:val="54977258"/>
    <w:rsid w:val="54984EB3"/>
    <w:rsid w:val="54985569"/>
    <w:rsid w:val="549A0304"/>
    <w:rsid w:val="549A2107"/>
    <w:rsid w:val="549A4653"/>
    <w:rsid w:val="549B6FF0"/>
    <w:rsid w:val="549C32EC"/>
    <w:rsid w:val="549C43DF"/>
    <w:rsid w:val="549C486F"/>
    <w:rsid w:val="549C661D"/>
    <w:rsid w:val="549E2395"/>
    <w:rsid w:val="549E4AC8"/>
    <w:rsid w:val="54A0579F"/>
    <w:rsid w:val="54A23E3E"/>
    <w:rsid w:val="54A274E9"/>
    <w:rsid w:val="54A33784"/>
    <w:rsid w:val="54A35A0A"/>
    <w:rsid w:val="54A35BFD"/>
    <w:rsid w:val="54A42D8D"/>
    <w:rsid w:val="54A43EC9"/>
    <w:rsid w:val="54A67F65"/>
    <w:rsid w:val="54A80615"/>
    <w:rsid w:val="54A83213"/>
    <w:rsid w:val="54A84FC1"/>
    <w:rsid w:val="54A8564D"/>
    <w:rsid w:val="54A908F5"/>
    <w:rsid w:val="54A97595"/>
    <w:rsid w:val="54AA699E"/>
    <w:rsid w:val="54AB1D27"/>
    <w:rsid w:val="54AD26B7"/>
    <w:rsid w:val="54AE468E"/>
    <w:rsid w:val="54B0256E"/>
    <w:rsid w:val="54B14C81"/>
    <w:rsid w:val="54B215D0"/>
    <w:rsid w:val="54B463BF"/>
    <w:rsid w:val="54B607F4"/>
    <w:rsid w:val="54B773D8"/>
    <w:rsid w:val="54B848B8"/>
    <w:rsid w:val="54B95421"/>
    <w:rsid w:val="54C150BC"/>
    <w:rsid w:val="54C23F02"/>
    <w:rsid w:val="54C3004D"/>
    <w:rsid w:val="54C40D82"/>
    <w:rsid w:val="54C46176"/>
    <w:rsid w:val="54C55B73"/>
    <w:rsid w:val="54C567EE"/>
    <w:rsid w:val="54C6113C"/>
    <w:rsid w:val="54C703D9"/>
    <w:rsid w:val="54C751A2"/>
    <w:rsid w:val="54C81535"/>
    <w:rsid w:val="54C92123"/>
    <w:rsid w:val="54C9785D"/>
    <w:rsid w:val="54CB5DD3"/>
    <w:rsid w:val="54CC0208"/>
    <w:rsid w:val="54CC0708"/>
    <w:rsid w:val="54CC2D3C"/>
    <w:rsid w:val="54CC5B4C"/>
    <w:rsid w:val="54CC6C29"/>
    <w:rsid w:val="54CD5D78"/>
    <w:rsid w:val="54CD684F"/>
    <w:rsid w:val="54CD726F"/>
    <w:rsid w:val="54D04518"/>
    <w:rsid w:val="54D21FDB"/>
    <w:rsid w:val="54D379A5"/>
    <w:rsid w:val="54D44008"/>
    <w:rsid w:val="54D72FD2"/>
    <w:rsid w:val="54D80D19"/>
    <w:rsid w:val="54D816B5"/>
    <w:rsid w:val="54D92188"/>
    <w:rsid w:val="54DA1F11"/>
    <w:rsid w:val="54DB5397"/>
    <w:rsid w:val="54DC11B0"/>
    <w:rsid w:val="54DE4B42"/>
    <w:rsid w:val="54E1091A"/>
    <w:rsid w:val="54E2522D"/>
    <w:rsid w:val="54E31F9A"/>
    <w:rsid w:val="54E3249D"/>
    <w:rsid w:val="54E3400B"/>
    <w:rsid w:val="54E51D72"/>
    <w:rsid w:val="54E56216"/>
    <w:rsid w:val="54E6218E"/>
    <w:rsid w:val="54E6652D"/>
    <w:rsid w:val="54E74394"/>
    <w:rsid w:val="54E83610"/>
    <w:rsid w:val="54E85A6A"/>
    <w:rsid w:val="54EB1352"/>
    <w:rsid w:val="54EB209C"/>
    <w:rsid w:val="54EB24A7"/>
    <w:rsid w:val="54EB6507"/>
    <w:rsid w:val="54ED0D18"/>
    <w:rsid w:val="54ED122B"/>
    <w:rsid w:val="54ED4F59"/>
    <w:rsid w:val="54EE034D"/>
    <w:rsid w:val="54F01C5F"/>
    <w:rsid w:val="54F043B1"/>
    <w:rsid w:val="54F17EA3"/>
    <w:rsid w:val="54F219DC"/>
    <w:rsid w:val="54F441BF"/>
    <w:rsid w:val="54F5226D"/>
    <w:rsid w:val="54F52B40"/>
    <w:rsid w:val="54F9216C"/>
    <w:rsid w:val="54F9581D"/>
    <w:rsid w:val="54F97CC6"/>
    <w:rsid w:val="54FA25F3"/>
    <w:rsid w:val="54FE48C4"/>
    <w:rsid w:val="54FF5C81"/>
    <w:rsid w:val="54FF7D34"/>
    <w:rsid w:val="55023A07"/>
    <w:rsid w:val="55024737"/>
    <w:rsid w:val="55036B77"/>
    <w:rsid w:val="55050372"/>
    <w:rsid w:val="55050666"/>
    <w:rsid w:val="55052414"/>
    <w:rsid w:val="5506128A"/>
    <w:rsid w:val="55072F2A"/>
    <w:rsid w:val="550A3B17"/>
    <w:rsid w:val="550C1C8F"/>
    <w:rsid w:val="550C35ED"/>
    <w:rsid w:val="550D1A0E"/>
    <w:rsid w:val="550D47F4"/>
    <w:rsid w:val="550D6933"/>
    <w:rsid w:val="550E7937"/>
    <w:rsid w:val="550F1330"/>
    <w:rsid w:val="550F7D3E"/>
    <w:rsid w:val="550F7EF4"/>
    <w:rsid w:val="5510020C"/>
    <w:rsid w:val="551013C9"/>
    <w:rsid w:val="55104BC9"/>
    <w:rsid w:val="5511700B"/>
    <w:rsid w:val="55132D9D"/>
    <w:rsid w:val="55132F7E"/>
    <w:rsid w:val="551340F2"/>
    <w:rsid w:val="551354C1"/>
    <w:rsid w:val="551408A9"/>
    <w:rsid w:val="55142BF9"/>
    <w:rsid w:val="551576B8"/>
    <w:rsid w:val="55163B69"/>
    <w:rsid w:val="551A5967"/>
    <w:rsid w:val="551A5EDA"/>
    <w:rsid w:val="551D3B3D"/>
    <w:rsid w:val="551E18FF"/>
    <w:rsid w:val="551E4582"/>
    <w:rsid w:val="552046B7"/>
    <w:rsid w:val="55216B22"/>
    <w:rsid w:val="552173E4"/>
    <w:rsid w:val="552256E6"/>
    <w:rsid w:val="55236889"/>
    <w:rsid w:val="552374E7"/>
    <w:rsid w:val="552542D2"/>
    <w:rsid w:val="55256578"/>
    <w:rsid w:val="552608A2"/>
    <w:rsid w:val="552804FF"/>
    <w:rsid w:val="5528147A"/>
    <w:rsid w:val="552863E9"/>
    <w:rsid w:val="55287EB0"/>
    <w:rsid w:val="55294C21"/>
    <w:rsid w:val="55297E6C"/>
    <w:rsid w:val="552A3C28"/>
    <w:rsid w:val="552C198B"/>
    <w:rsid w:val="552D1A7A"/>
    <w:rsid w:val="552E0D42"/>
    <w:rsid w:val="552F77ED"/>
    <w:rsid w:val="55301B12"/>
    <w:rsid w:val="5531145B"/>
    <w:rsid w:val="553141F3"/>
    <w:rsid w:val="55324BCE"/>
    <w:rsid w:val="553363DA"/>
    <w:rsid w:val="55357DC1"/>
    <w:rsid w:val="55381ED8"/>
    <w:rsid w:val="55384A4E"/>
    <w:rsid w:val="553C5E9D"/>
    <w:rsid w:val="553D09D3"/>
    <w:rsid w:val="553E76D4"/>
    <w:rsid w:val="55403521"/>
    <w:rsid w:val="55432F3C"/>
    <w:rsid w:val="55443E0B"/>
    <w:rsid w:val="55447030"/>
    <w:rsid w:val="554538AF"/>
    <w:rsid w:val="55466588"/>
    <w:rsid w:val="554724E4"/>
    <w:rsid w:val="55472A2C"/>
    <w:rsid w:val="55482F11"/>
    <w:rsid w:val="55491CE3"/>
    <w:rsid w:val="554936C9"/>
    <w:rsid w:val="5549734D"/>
    <w:rsid w:val="554B2C26"/>
    <w:rsid w:val="554C0D69"/>
    <w:rsid w:val="554D505F"/>
    <w:rsid w:val="554E0F01"/>
    <w:rsid w:val="554E2385"/>
    <w:rsid w:val="554E25D0"/>
    <w:rsid w:val="554E7BA3"/>
    <w:rsid w:val="554F21C6"/>
    <w:rsid w:val="554F6681"/>
    <w:rsid w:val="555016B1"/>
    <w:rsid w:val="55503B49"/>
    <w:rsid w:val="555058C2"/>
    <w:rsid w:val="55506728"/>
    <w:rsid w:val="5551093D"/>
    <w:rsid w:val="555146F9"/>
    <w:rsid w:val="555230F3"/>
    <w:rsid w:val="5552317F"/>
    <w:rsid w:val="555374AB"/>
    <w:rsid w:val="55542EC9"/>
    <w:rsid w:val="55547B63"/>
    <w:rsid w:val="555775BD"/>
    <w:rsid w:val="55583E48"/>
    <w:rsid w:val="5559450E"/>
    <w:rsid w:val="55594FDD"/>
    <w:rsid w:val="555A12FD"/>
    <w:rsid w:val="555B1EB0"/>
    <w:rsid w:val="555B42EF"/>
    <w:rsid w:val="555C1F1E"/>
    <w:rsid w:val="555C5351"/>
    <w:rsid w:val="555D0F78"/>
    <w:rsid w:val="555F3463"/>
    <w:rsid w:val="5560764A"/>
    <w:rsid w:val="55611AFF"/>
    <w:rsid w:val="55624986"/>
    <w:rsid w:val="55631609"/>
    <w:rsid w:val="55631E7D"/>
    <w:rsid w:val="5563713A"/>
    <w:rsid w:val="55661D64"/>
    <w:rsid w:val="5569324E"/>
    <w:rsid w:val="5569654C"/>
    <w:rsid w:val="556A7134"/>
    <w:rsid w:val="556C114B"/>
    <w:rsid w:val="556C2493"/>
    <w:rsid w:val="556C5F94"/>
    <w:rsid w:val="556D1114"/>
    <w:rsid w:val="556E169B"/>
    <w:rsid w:val="55716EFF"/>
    <w:rsid w:val="55727B3F"/>
    <w:rsid w:val="55771203"/>
    <w:rsid w:val="5577646D"/>
    <w:rsid w:val="55784F2D"/>
    <w:rsid w:val="557A0AE7"/>
    <w:rsid w:val="557A3DE7"/>
    <w:rsid w:val="557D667C"/>
    <w:rsid w:val="557E23A2"/>
    <w:rsid w:val="557E2768"/>
    <w:rsid w:val="557E3DB2"/>
    <w:rsid w:val="557E4EF0"/>
    <w:rsid w:val="557F21C6"/>
    <w:rsid w:val="557F30D6"/>
    <w:rsid w:val="558220F1"/>
    <w:rsid w:val="55822BB4"/>
    <w:rsid w:val="55831706"/>
    <w:rsid w:val="55833A00"/>
    <w:rsid w:val="55847F7E"/>
    <w:rsid w:val="55851CF2"/>
    <w:rsid w:val="558A46C7"/>
    <w:rsid w:val="558C043F"/>
    <w:rsid w:val="558C65C3"/>
    <w:rsid w:val="558D603D"/>
    <w:rsid w:val="558E0B1C"/>
    <w:rsid w:val="558E13F1"/>
    <w:rsid w:val="5591297D"/>
    <w:rsid w:val="55914B95"/>
    <w:rsid w:val="559267E1"/>
    <w:rsid w:val="5594267A"/>
    <w:rsid w:val="55973350"/>
    <w:rsid w:val="55977448"/>
    <w:rsid w:val="55986144"/>
    <w:rsid w:val="559A78B2"/>
    <w:rsid w:val="559C5CF1"/>
    <w:rsid w:val="559E0172"/>
    <w:rsid w:val="559E3318"/>
    <w:rsid w:val="559E390F"/>
    <w:rsid w:val="559F51D4"/>
    <w:rsid w:val="55A0213D"/>
    <w:rsid w:val="55A06377"/>
    <w:rsid w:val="55A10BF2"/>
    <w:rsid w:val="55A35696"/>
    <w:rsid w:val="55A468C7"/>
    <w:rsid w:val="55A52347"/>
    <w:rsid w:val="55A734CB"/>
    <w:rsid w:val="55A82E06"/>
    <w:rsid w:val="55A9139B"/>
    <w:rsid w:val="55AA05EB"/>
    <w:rsid w:val="55AA11BA"/>
    <w:rsid w:val="55AA58ED"/>
    <w:rsid w:val="55AB0C41"/>
    <w:rsid w:val="55AC0C03"/>
    <w:rsid w:val="55AC288F"/>
    <w:rsid w:val="55AC3936"/>
    <w:rsid w:val="55AC3F4E"/>
    <w:rsid w:val="55AC5374"/>
    <w:rsid w:val="55AC6D33"/>
    <w:rsid w:val="55AD23C0"/>
    <w:rsid w:val="55AE0F7D"/>
    <w:rsid w:val="55AE2AAB"/>
    <w:rsid w:val="55AF05D2"/>
    <w:rsid w:val="55AF1596"/>
    <w:rsid w:val="55B00855"/>
    <w:rsid w:val="55B02768"/>
    <w:rsid w:val="55B13259"/>
    <w:rsid w:val="55B369F5"/>
    <w:rsid w:val="55B575E1"/>
    <w:rsid w:val="55B6198C"/>
    <w:rsid w:val="55B62645"/>
    <w:rsid w:val="55B74969"/>
    <w:rsid w:val="55B86DFB"/>
    <w:rsid w:val="55BA13B7"/>
    <w:rsid w:val="55BA7584"/>
    <w:rsid w:val="55BC52DB"/>
    <w:rsid w:val="55BE2333"/>
    <w:rsid w:val="55BE2984"/>
    <w:rsid w:val="55BE7800"/>
    <w:rsid w:val="55BF05E4"/>
    <w:rsid w:val="55BF0815"/>
    <w:rsid w:val="55C050B0"/>
    <w:rsid w:val="55C43A6D"/>
    <w:rsid w:val="55C45CB5"/>
    <w:rsid w:val="55C45E2B"/>
    <w:rsid w:val="55C62F77"/>
    <w:rsid w:val="55C65792"/>
    <w:rsid w:val="55C8057F"/>
    <w:rsid w:val="55C84A4F"/>
    <w:rsid w:val="55C90FFB"/>
    <w:rsid w:val="55C957F1"/>
    <w:rsid w:val="55CA0F67"/>
    <w:rsid w:val="55CA33E4"/>
    <w:rsid w:val="55CD48F6"/>
    <w:rsid w:val="55CE2806"/>
    <w:rsid w:val="55CE6CAA"/>
    <w:rsid w:val="55CE76F0"/>
    <w:rsid w:val="55CF3236"/>
    <w:rsid w:val="55CF61CF"/>
    <w:rsid w:val="55D0147D"/>
    <w:rsid w:val="55D1220B"/>
    <w:rsid w:val="55D17D6F"/>
    <w:rsid w:val="55D21640"/>
    <w:rsid w:val="55D331A8"/>
    <w:rsid w:val="55D3478A"/>
    <w:rsid w:val="55D46382"/>
    <w:rsid w:val="55D47E63"/>
    <w:rsid w:val="55D82A43"/>
    <w:rsid w:val="55DA64FB"/>
    <w:rsid w:val="55DC36BF"/>
    <w:rsid w:val="55DD6540"/>
    <w:rsid w:val="55DE384C"/>
    <w:rsid w:val="55DF1E39"/>
    <w:rsid w:val="55E00330"/>
    <w:rsid w:val="55E03438"/>
    <w:rsid w:val="55E1302E"/>
    <w:rsid w:val="55E40D46"/>
    <w:rsid w:val="55E418F9"/>
    <w:rsid w:val="55E56ABC"/>
    <w:rsid w:val="55E70393"/>
    <w:rsid w:val="55E81B6E"/>
    <w:rsid w:val="55E94386"/>
    <w:rsid w:val="55E97640"/>
    <w:rsid w:val="55EA65FA"/>
    <w:rsid w:val="55EA6D85"/>
    <w:rsid w:val="55EC0647"/>
    <w:rsid w:val="55ED29C8"/>
    <w:rsid w:val="55ED4505"/>
    <w:rsid w:val="55EE10FA"/>
    <w:rsid w:val="55EE4EAE"/>
    <w:rsid w:val="55EF09CE"/>
    <w:rsid w:val="55F304BE"/>
    <w:rsid w:val="55F352BC"/>
    <w:rsid w:val="55F36710"/>
    <w:rsid w:val="55F663A1"/>
    <w:rsid w:val="55F668FC"/>
    <w:rsid w:val="55F71C24"/>
    <w:rsid w:val="55F7258B"/>
    <w:rsid w:val="55F84694"/>
    <w:rsid w:val="55F935FB"/>
    <w:rsid w:val="55FA7AFD"/>
    <w:rsid w:val="55FB414C"/>
    <w:rsid w:val="55FD064E"/>
    <w:rsid w:val="55FE1D5B"/>
    <w:rsid w:val="55FF5BE7"/>
    <w:rsid w:val="560002EE"/>
    <w:rsid w:val="5600044A"/>
    <w:rsid w:val="5600684A"/>
    <w:rsid w:val="5600787C"/>
    <w:rsid w:val="56021109"/>
    <w:rsid w:val="56032CDB"/>
    <w:rsid w:val="56076A84"/>
    <w:rsid w:val="56085295"/>
    <w:rsid w:val="56091423"/>
    <w:rsid w:val="560A3AA7"/>
    <w:rsid w:val="560C37D3"/>
    <w:rsid w:val="560E11B3"/>
    <w:rsid w:val="560E52F8"/>
    <w:rsid w:val="561072C2"/>
    <w:rsid w:val="56121E18"/>
    <w:rsid w:val="5612439D"/>
    <w:rsid w:val="56161BD4"/>
    <w:rsid w:val="561623FF"/>
    <w:rsid w:val="56170E73"/>
    <w:rsid w:val="561973D4"/>
    <w:rsid w:val="561B7AC8"/>
    <w:rsid w:val="561C274D"/>
    <w:rsid w:val="561F1DAA"/>
    <w:rsid w:val="562118B8"/>
    <w:rsid w:val="56223724"/>
    <w:rsid w:val="562341D8"/>
    <w:rsid w:val="56235DEE"/>
    <w:rsid w:val="5624780D"/>
    <w:rsid w:val="562528DD"/>
    <w:rsid w:val="562619C4"/>
    <w:rsid w:val="56271E61"/>
    <w:rsid w:val="56275DE8"/>
    <w:rsid w:val="562A104E"/>
    <w:rsid w:val="562A22C5"/>
    <w:rsid w:val="562A237D"/>
    <w:rsid w:val="562C64A9"/>
    <w:rsid w:val="562D5ADC"/>
    <w:rsid w:val="562E7DEB"/>
    <w:rsid w:val="562F0BB7"/>
    <w:rsid w:val="562F4E00"/>
    <w:rsid w:val="562F595E"/>
    <w:rsid w:val="56303B5E"/>
    <w:rsid w:val="56327239"/>
    <w:rsid w:val="56327C6C"/>
    <w:rsid w:val="56332FB1"/>
    <w:rsid w:val="56334412"/>
    <w:rsid w:val="56334D5F"/>
    <w:rsid w:val="56343675"/>
    <w:rsid w:val="56343CD6"/>
    <w:rsid w:val="56360618"/>
    <w:rsid w:val="5637484F"/>
    <w:rsid w:val="563903A5"/>
    <w:rsid w:val="56390E84"/>
    <w:rsid w:val="563A1A5F"/>
    <w:rsid w:val="564051D2"/>
    <w:rsid w:val="56405C56"/>
    <w:rsid w:val="5642624B"/>
    <w:rsid w:val="56426CE9"/>
    <w:rsid w:val="56427054"/>
    <w:rsid w:val="564372DA"/>
    <w:rsid w:val="5645116C"/>
    <w:rsid w:val="564611CE"/>
    <w:rsid w:val="564725B8"/>
    <w:rsid w:val="564927D4"/>
    <w:rsid w:val="564A004F"/>
    <w:rsid w:val="564A39F3"/>
    <w:rsid w:val="564B3E56"/>
    <w:rsid w:val="564C5E20"/>
    <w:rsid w:val="56504D12"/>
    <w:rsid w:val="565161D5"/>
    <w:rsid w:val="56517C83"/>
    <w:rsid w:val="56522BCB"/>
    <w:rsid w:val="565432B3"/>
    <w:rsid w:val="565459A5"/>
    <w:rsid w:val="56550A77"/>
    <w:rsid w:val="56561C37"/>
    <w:rsid w:val="56567F7E"/>
    <w:rsid w:val="56581F0E"/>
    <w:rsid w:val="565847C5"/>
    <w:rsid w:val="5658506C"/>
    <w:rsid w:val="565A46E8"/>
    <w:rsid w:val="565E4F71"/>
    <w:rsid w:val="565E57F8"/>
    <w:rsid w:val="565E627F"/>
    <w:rsid w:val="565E71E1"/>
    <w:rsid w:val="566419AF"/>
    <w:rsid w:val="56663342"/>
    <w:rsid w:val="56670E57"/>
    <w:rsid w:val="566754CA"/>
    <w:rsid w:val="56683C9B"/>
    <w:rsid w:val="5668404C"/>
    <w:rsid w:val="566B35EC"/>
    <w:rsid w:val="566B5E16"/>
    <w:rsid w:val="566D4EE1"/>
    <w:rsid w:val="566D6D28"/>
    <w:rsid w:val="566E3FE9"/>
    <w:rsid w:val="566E6F36"/>
    <w:rsid w:val="56701449"/>
    <w:rsid w:val="56710849"/>
    <w:rsid w:val="56721E7C"/>
    <w:rsid w:val="56772568"/>
    <w:rsid w:val="56781FDD"/>
    <w:rsid w:val="567A298E"/>
    <w:rsid w:val="567B05CD"/>
    <w:rsid w:val="567B117E"/>
    <w:rsid w:val="567B1BC0"/>
    <w:rsid w:val="567B65DE"/>
    <w:rsid w:val="567C04B4"/>
    <w:rsid w:val="567D24D1"/>
    <w:rsid w:val="567E1D1F"/>
    <w:rsid w:val="567F1431"/>
    <w:rsid w:val="56811E26"/>
    <w:rsid w:val="56812062"/>
    <w:rsid w:val="56820291"/>
    <w:rsid w:val="568253C9"/>
    <w:rsid w:val="56826D71"/>
    <w:rsid w:val="568277C4"/>
    <w:rsid w:val="56850E56"/>
    <w:rsid w:val="56874E26"/>
    <w:rsid w:val="5688214E"/>
    <w:rsid w:val="5689613E"/>
    <w:rsid w:val="568A1D91"/>
    <w:rsid w:val="568B06F7"/>
    <w:rsid w:val="568C53DB"/>
    <w:rsid w:val="568D037F"/>
    <w:rsid w:val="568D446F"/>
    <w:rsid w:val="568D53E1"/>
    <w:rsid w:val="568F2C19"/>
    <w:rsid w:val="56903F5F"/>
    <w:rsid w:val="5691200F"/>
    <w:rsid w:val="56926383"/>
    <w:rsid w:val="56942869"/>
    <w:rsid w:val="56947719"/>
    <w:rsid w:val="56951575"/>
    <w:rsid w:val="56957417"/>
    <w:rsid w:val="56967C8D"/>
    <w:rsid w:val="569709F1"/>
    <w:rsid w:val="569829B4"/>
    <w:rsid w:val="56982A59"/>
    <w:rsid w:val="56982B10"/>
    <w:rsid w:val="56982E14"/>
    <w:rsid w:val="56997F34"/>
    <w:rsid w:val="569A064A"/>
    <w:rsid w:val="569A2D25"/>
    <w:rsid w:val="569A3030"/>
    <w:rsid w:val="569D19D7"/>
    <w:rsid w:val="569D4818"/>
    <w:rsid w:val="569D6932"/>
    <w:rsid w:val="569E13E1"/>
    <w:rsid w:val="569E2242"/>
    <w:rsid w:val="569F6E74"/>
    <w:rsid w:val="56A05DC4"/>
    <w:rsid w:val="56A20276"/>
    <w:rsid w:val="56A30136"/>
    <w:rsid w:val="56A31711"/>
    <w:rsid w:val="56A731AA"/>
    <w:rsid w:val="56A93F00"/>
    <w:rsid w:val="56A96530"/>
    <w:rsid w:val="56AA4D7E"/>
    <w:rsid w:val="56AE181F"/>
    <w:rsid w:val="56AF0889"/>
    <w:rsid w:val="56AF3C76"/>
    <w:rsid w:val="56B01A4F"/>
    <w:rsid w:val="56B065B6"/>
    <w:rsid w:val="56B527FF"/>
    <w:rsid w:val="56B57565"/>
    <w:rsid w:val="56B605AF"/>
    <w:rsid w:val="56B637B6"/>
    <w:rsid w:val="56B714EC"/>
    <w:rsid w:val="56B72B1A"/>
    <w:rsid w:val="56B816B7"/>
    <w:rsid w:val="56B86403"/>
    <w:rsid w:val="56BA73D7"/>
    <w:rsid w:val="56BB529B"/>
    <w:rsid w:val="56BB76C8"/>
    <w:rsid w:val="56BB784F"/>
    <w:rsid w:val="56BC0DE5"/>
    <w:rsid w:val="56BD24A9"/>
    <w:rsid w:val="56BD5A3A"/>
    <w:rsid w:val="56BF107F"/>
    <w:rsid w:val="56BF20BE"/>
    <w:rsid w:val="56C02A96"/>
    <w:rsid w:val="56C072C1"/>
    <w:rsid w:val="56C105BC"/>
    <w:rsid w:val="56C11808"/>
    <w:rsid w:val="56C16D30"/>
    <w:rsid w:val="56C34766"/>
    <w:rsid w:val="56C50CE6"/>
    <w:rsid w:val="56C52812"/>
    <w:rsid w:val="56C62E11"/>
    <w:rsid w:val="56C66864"/>
    <w:rsid w:val="56C6693C"/>
    <w:rsid w:val="56C70C24"/>
    <w:rsid w:val="56C75812"/>
    <w:rsid w:val="56C87944"/>
    <w:rsid w:val="56CA251D"/>
    <w:rsid w:val="56CA2972"/>
    <w:rsid w:val="56CB5680"/>
    <w:rsid w:val="56CC104D"/>
    <w:rsid w:val="56CC123E"/>
    <w:rsid w:val="56CC3DFB"/>
    <w:rsid w:val="56CD10B7"/>
    <w:rsid w:val="56CD6F61"/>
    <w:rsid w:val="56CE6835"/>
    <w:rsid w:val="56CF3944"/>
    <w:rsid w:val="56D15B9F"/>
    <w:rsid w:val="56D17811"/>
    <w:rsid w:val="56D73202"/>
    <w:rsid w:val="56D75E96"/>
    <w:rsid w:val="56D95906"/>
    <w:rsid w:val="56D95A9F"/>
    <w:rsid w:val="56DA167E"/>
    <w:rsid w:val="56DB3A24"/>
    <w:rsid w:val="56DB72BA"/>
    <w:rsid w:val="56DC1BB9"/>
    <w:rsid w:val="56DD2DB8"/>
    <w:rsid w:val="56DD7F5E"/>
    <w:rsid w:val="56DF0D2B"/>
    <w:rsid w:val="56DF59D6"/>
    <w:rsid w:val="56E322E1"/>
    <w:rsid w:val="56E33F90"/>
    <w:rsid w:val="56E3418D"/>
    <w:rsid w:val="56E37C18"/>
    <w:rsid w:val="56E40279"/>
    <w:rsid w:val="56E458CB"/>
    <w:rsid w:val="56E61481"/>
    <w:rsid w:val="56E63AF7"/>
    <w:rsid w:val="56E656BB"/>
    <w:rsid w:val="56E84031"/>
    <w:rsid w:val="56E870C4"/>
    <w:rsid w:val="56EA1C3A"/>
    <w:rsid w:val="56EB0EBF"/>
    <w:rsid w:val="56EB388B"/>
    <w:rsid w:val="56EB5302"/>
    <w:rsid w:val="56ED2417"/>
    <w:rsid w:val="56ED7603"/>
    <w:rsid w:val="56EE2E76"/>
    <w:rsid w:val="56EF0237"/>
    <w:rsid w:val="56EF1D17"/>
    <w:rsid w:val="56EF4470"/>
    <w:rsid w:val="56EF4990"/>
    <w:rsid w:val="56EF518A"/>
    <w:rsid w:val="56F031A2"/>
    <w:rsid w:val="56F32418"/>
    <w:rsid w:val="56F444C0"/>
    <w:rsid w:val="56F459B9"/>
    <w:rsid w:val="56F4639D"/>
    <w:rsid w:val="56F50100"/>
    <w:rsid w:val="56F50266"/>
    <w:rsid w:val="56F537C9"/>
    <w:rsid w:val="56F5780C"/>
    <w:rsid w:val="56F62932"/>
    <w:rsid w:val="56F72230"/>
    <w:rsid w:val="56F77C99"/>
    <w:rsid w:val="56F81C11"/>
    <w:rsid w:val="56F874E3"/>
    <w:rsid w:val="56FA4B85"/>
    <w:rsid w:val="56FC1824"/>
    <w:rsid w:val="56FC196A"/>
    <w:rsid w:val="56FE3136"/>
    <w:rsid w:val="57001653"/>
    <w:rsid w:val="57005DED"/>
    <w:rsid w:val="57032983"/>
    <w:rsid w:val="57034145"/>
    <w:rsid w:val="570477CB"/>
    <w:rsid w:val="570524FE"/>
    <w:rsid w:val="57090491"/>
    <w:rsid w:val="570A5ABF"/>
    <w:rsid w:val="570B4076"/>
    <w:rsid w:val="570E5ABC"/>
    <w:rsid w:val="570F43DF"/>
    <w:rsid w:val="57105837"/>
    <w:rsid w:val="57116717"/>
    <w:rsid w:val="57124072"/>
    <w:rsid w:val="5713584D"/>
    <w:rsid w:val="57135D3A"/>
    <w:rsid w:val="57143E61"/>
    <w:rsid w:val="57163AE0"/>
    <w:rsid w:val="571707FA"/>
    <w:rsid w:val="57184206"/>
    <w:rsid w:val="571960A6"/>
    <w:rsid w:val="571A1A7B"/>
    <w:rsid w:val="571B1801"/>
    <w:rsid w:val="571E55B1"/>
    <w:rsid w:val="571E7ECD"/>
    <w:rsid w:val="571F0A6C"/>
    <w:rsid w:val="571F0E7F"/>
    <w:rsid w:val="57216398"/>
    <w:rsid w:val="57243FF4"/>
    <w:rsid w:val="57247A3F"/>
    <w:rsid w:val="57254C9B"/>
    <w:rsid w:val="57256D9D"/>
    <w:rsid w:val="5726583A"/>
    <w:rsid w:val="57272B15"/>
    <w:rsid w:val="5728063B"/>
    <w:rsid w:val="57297DEA"/>
    <w:rsid w:val="572B009C"/>
    <w:rsid w:val="572C012C"/>
    <w:rsid w:val="572D5C52"/>
    <w:rsid w:val="57310283"/>
    <w:rsid w:val="5731087A"/>
    <w:rsid w:val="57314C37"/>
    <w:rsid w:val="57315C98"/>
    <w:rsid w:val="57316401"/>
    <w:rsid w:val="57330F4D"/>
    <w:rsid w:val="5733504E"/>
    <w:rsid w:val="573375CC"/>
    <w:rsid w:val="57341FE9"/>
    <w:rsid w:val="57345792"/>
    <w:rsid w:val="57347EE4"/>
    <w:rsid w:val="57354F79"/>
    <w:rsid w:val="57361F00"/>
    <w:rsid w:val="57362D58"/>
    <w:rsid w:val="573B285A"/>
    <w:rsid w:val="573B76AA"/>
    <w:rsid w:val="573C5F32"/>
    <w:rsid w:val="573D6BC2"/>
    <w:rsid w:val="573F3F03"/>
    <w:rsid w:val="574009B0"/>
    <w:rsid w:val="574014E1"/>
    <w:rsid w:val="574134AB"/>
    <w:rsid w:val="57424AEA"/>
    <w:rsid w:val="57432001"/>
    <w:rsid w:val="57432B3B"/>
    <w:rsid w:val="57435F5F"/>
    <w:rsid w:val="57447106"/>
    <w:rsid w:val="574564AF"/>
    <w:rsid w:val="5748205D"/>
    <w:rsid w:val="57482A8C"/>
    <w:rsid w:val="57486C8C"/>
    <w:rsid w:val="57491551"/>
    <w:rsid w:val="574A23EB"/>
    <w:rsid w:val="574A7F37"/>
    <w:rsid w:val="574B00F6"/>
    <w:rsid w:val="574B60D8"/>
    <w:rsid w:val="574D100E"/>
    <w:rsid w:val="574D4038"/>
    <w:rsid w:val="574E5444"/>
    <w:rsid w:val="574E6D22"/>
    <w:rsid w:val="575002AE"/>
    <w:rsid w:val="57506EAD"/>
    <w:rsid w:val="57517B92"/>
    <w:rsid w:val="57545744"/>
    <w:rsid w:val="57560D05"/>
    <w:rsid w:val="57574C84"/>
    <w:rsid w:val="57593F63"/>
    <w:rsid w:val="575A40C3"/>
    <w:rsid w:val="575B54C4"/>
    <w:rsid w:val="575C02E5"/>
    <w:rsid w:val="575C3DEA"/>
    <w:rsid w:val="575F252E"/>
    <w:rsid w:val="57604357"/>
    <w:rsid w:val="57607DD5"/>
    <w:rsid w:val="5761173E"/>
    <w:rsid w:val="576139C4"/>
    <w:rsid w:val="57617ACA"/>
    <w:rsid w:val="57623B4D"/>
    <w:rsid w:val="57646371"/>
    <w:rsid w:val="57653C35"/>
    <w:rsid w:val="576552B6"/>
    <w:rsid w:val="57671164"/>
    <w:rsid w:val="576763DB"/>
    <w:rsid w:val="57682E1F"/>
    <w:rsid w:val="57684EF3"/>
    <w:rsid w:val="5768542E"/>
    <w:rsid w:val="57686183"/>
    <w:rsid w:val="576919E8"/>
    <w:rsid w:val="576A3BD2"/>
    <w:rsid w:val="576B7069"/>
    <w:rsid w:val="576C30D0"/>
    <w:rsid w:val="576C555F"/>
    <w:rsid w:val="576C677A"/>
    <w:rsid w:val="576F39C9"/>
    <w:rsid w:val="57701E47"/>
    <w:rsid w:val="57711A9C"/>
    <w:rsid w:val="57740F07"/>
    <w:rsid w:val="5774783B"/>
    <w:rsid w:val="57751F5E"/>
    <w:rsid w:val="57760143"/>
    <w:rsid w:val="5777003E"/>
    <w:rsid w:val="577709DA"/>
    <w:rsid w:val="57786430"/>
    <w:rsid w:val="577963D9"/>
    <w:rsid w:val="577A00B7"/>
    <w:rsid w:val="577B43F3"/>
    <w:rsid w:val="577E3926"/>
    <w:rsid w:val="577E46FF"/>
    <w:rsid w:val="577F4F4A"/>
    <w:rsid w:val="5780396F"/>
    <w:rsid w:val="5783636C"/>
    <w:rsid w:val="57851700"/>
    <w:rsid w:val="57861C50"/>
    <w:rsid w:val="57864C41"/>
    <w:rsid w:val="578747C2"/>
    <w:rsid w:val="578F2919"/>
    <w:rsid w:val="578F4221"/>
    <w:rsid w:val="578F4443"/>
    <w:rsid w:val="5790539F"/>
    <w:rsid w:val="57915296"/>
    <w:rsid w:val="579237E9"/>
    <w:rsid w:val="57923C50"/>
    <w:rsid w:val="57934896"/>
    <w:rsid w:val="579358E9"/>
    <w:rsid w:val="57937943"/>
    <w:rsid w:val="579417D6"/>
    <w:rsid w:val="5794265E"/>
    <w:rsid w:val="57947A7F"/>
    <w:rsid w:val="57953C09"/>
    <w:rsid w:val="579615CE"/>
    <w:rsid w:val="57961A49"/>
    <w:rsid w:val="5796377C"/>
    <w:rsid w:val="579637F7"/>
    <w:rsid w:val="5796402C"/>
    <w:rsid w:val="57975828"/>
    <w:rsid w:val="57991466"/>
    <w:rsid w:val="57994FD5"/>
    <w:rsid w:val="579A7B1A"/>
    <w:rsid w:val="579B2BBB"/>
    <w:rsid w:val="579D4B86"/>
    <w:rsid w:val="579E7B7C"/>
    <w:rsid w:val="579F6DCF"/>
    <w:rsid w:val="57A001D2"/>
    <w:rsid w:val="57A061D8"/>
    <w:rsid w:val="57A26F96"/>
    <w:rsid w:val="57A37AA3"/>
    <w:rsid w:val="57A47805"/>
    <w:rsid w:val="57A52A39"/>
    <w:rsid w:val="57A60971"/>
    <w:rsid w:val="57A6267F"/>
    <w:rsid w:val="57A75BF2"/>
    <w:rsid w:val="57A75F2F"/>
    <w:rsid w:val="57A94FEA"/>
    <w:rsid w:val="57AA621C"/>
    <w:rsid w:val="57AC26C4"/>
    <w:rsid w:val="57AC287A"/>
    <w:rsid w:val="57AC7793"/>
    <w:rsid w:val="57AD45CF"/>
    <w:rsid w:val="57AE24E0"/>
    <w:rsid w:val="57AE36D7"/>
    <w:rsid w:val="57AE61CB"/>
    <w:rsid w:val="57B02EBF"/>
    <w:rsid w:val="57B126B0"/>
    <w:rsid w:val="57B1634D"/>
    <w:rsid w:val="57B2611B"/>
    <w:rsid w:val="57B34FD7"/>
    <w:rsid w:val="57B57F1C"/>
    <w:rsid w:val="57B85C9B"/>
    <w:rsid w:val="57BA3A58"/>
    <w:rsid w:val="57BA5D75"/>
    <w:rsid w:val="57BC18F9"/>
    <w:rsid w:val="57BC40F5"/>
    <w:rsid w:val="57BD01EA"/>
    <w:rsid w:val="57BD0ECB"/>
    <w:rsid w:val="57BD79EE"/>
    <w:rsid w:val="57BF2D4E"/>
    <w:rsid w:val="57C0196A"/>
    <w:rsid w:val="57C02622"/>
    <w:rsid w:val="57C522EE"/>
    <w:rsid w:val="57C52BDD"/>
    <w:rsid w:val="57C60BE9"/>
    <w:rsid w:val="57C6377C"/>
    <w:rsid w:val="57C65B49"/>
    <w:rsid w:val="57CA0BC1"/>
    <w:rsid w:val="57CA4FDD"/>
    <w:rsid w:val="57CD0385"/>
    <w:rsid w:val="57CD309F"/>
    <w:rsid w:val="57CE11E3"/>
    <w:rsid w:val="57CF2865"/>
    <w:rsid w:val="57CF5A8A"/>
    <w:rsid w:val="57D02C64"/>
    <w:rsid w:val="57D12A81"/>
    <w:rsid w:val="57D17591"/>
    <w:rsid w:val="57D2216C"/>
    <w:rsid w:val="57D25176"/>
    <w:rsid w:val="57D57589"/>
    <w:rsid w:val="57D615FC"/>
    <w:rsid w:val="57D8193B"/>
    <w:rsid w:val="57D85EB3"/>
    <w:rsid w:val="57D94165"/>
    <w:rsid w:val="57DD5015"/>
    <w:rsid w:val="57DE652C"/>
    <w:rsid w:val="57DF2AD9"/>
    <w:rsid w:val="57DF2E42"/>
    <w:rsid w:val="57E02CC4"/>
    <w:rsid w:val="57E10104"/>
    <w:rsid w:val="57E13CEA"/>
    <w:rsid w:val="57E16CC1"/>
    <w:rsid w:val="57E275E3"/>
    <w:rsid w:val="57E30286"/>
    <w:rsid w:val="57E427B4"/>
    <w:rsid w:val="57E64118"/>
    <w:rsid w:val="57E71AE7"/>
    <w:rsid w:val="57E734B7"/>
    <w:rsid w:val="57E914FA"/>
    <w:rsid w:val="57EB4D9C"/>
    <w:rsid w:val="57EB6F88"/>
    <w:rsid w:val="57EC5C6B"/>
    <w:rsid w:val="57ED2E88"/>
    <w:rsid w:val="57EE3633"/>
    <w:rsid w:val="57F02CE4"/>
    <w:rsid w:val="57F1160E"/>
    <w:rsid w:val="57F140EA"/>
    <w:rsid w:val="57F16FE6"/>
    <w:rsid w:val="57F26597"/>
    <w:rsid w:val="57F30E97"/>
    <w:rsid w:val="57F5442D"/>
    <w:rsid w:val="57F55B48"/>
    <w:rsid w:val="57F624E8"/>
    <w:rsid w:val="57F93041"/>
    <w:rsid w:val="57FB1943"/>
    <w:rsid w:val="57FB38DA"/>
    <w:rsid w:val="57FD5624"/>
    <w:rsid w:val="57FD6712"/>
    <w:rsid w:val="58006EC2"/>
    <w:rsid w:val="580140EF"/>
    <w:rsid w:val="58016AE1"/>
    <w:rsid w:val="580244CF"/>
    <w:rsid w:val="58027FB0"/>
    <w:rsid w:val="580520C8"/>
    <w:rsid w:val="58057122"/>
    <w:rsid w:val="58062172"/>
    <w:rsid w:val="5806240B"/>
    <w:rsid w:val="58063367"/>
    <w:rsid w:val="58077BB0"/>
    <w:rsid w:val="580814DC"/>
    <w:rsid w:val="58090773"/>
    <w:rsid w:val="580D02D9"/>
    <w:rsid w:val="58105627"/>
    <w:rsid w:val="58105E4E"/>
    <w:rsid w:val="581066D6"/>
    <w:rsid w:val="58127D36"/>
    <w:rsid w:val="581408D2"/>
    <w:rsid w:val="58150E2E"/>
    <w:rsid w:val="581528FE"/>
    <w:rsid w:val="58156E12"/>
    <w:rsid w:val="58166EA7"/>
    <w:rsid w:val="58174E10"/>
    <w:rsid w:val="58181D0A"/>
    <w:rsid w:val="581B1F4E"/>
    <w:rsid w:val="581B3303"/>
    <w:rsid w:val="581C3BD7"/>
    <w:rsid w:val="581D5A2C"/>
    <w:rsid w:val="581D5CC6"/>
    <w:rsid w:val="581E27FC"/>
    <w:rsid w:val="581F5323"/>
    <w:rsid w:val="58210B92"/>
    <w:rsid w:val="58214078"/>
    <w:rsid w:val="5821489E"/>
    <w:rsid w:val="58223AF1"/>
    <w:rsid w:val="58237473"/>
    <w:rsid w:val="58243761"/>
    <w:rsid w:val="582462B7"/>
    <w:rsid w:val="58251202"/>
    <w:rsid w:val="58266B22"/>
    <w:rsid w:val="58276B38"/>
    <w:rsid w:val="58280811"/>
    <w:rsid w:val="582B4E00"/>
    <w:rsid w:val="582C039B"/>
    <w:rsid w:val="582C1902"/>
    <w:rsid w:val="582C1B97"/>
    <w:rsid w:val="582C32BD"/>
    <w:rsid w:val="582C4AC7"/>
    <w:rsid w:val="582C6C15"/>
    <w:rsid w:val="582D2ECA"/>
    <w:rsid w:val="582E3A30"/>
    <w:rsid w:val="58300956"/>
    <w:rsid w:val="58301B41"/>
    <w:rsid w:val="58306118"/>
    <w:rsid w:val="583067EF"/>
    <w:rsid w:val="58310633"/>
    <w:rsid w:val="58315C0C"/>
    <w:rsid w:val="5835083F"/>
    <w:rsid w:val="58351A8B"/>
    <w:rsid w:val="58355079"/>
    <w:rsid w:val="583628E4"/>
    <w:rsid w:val="583673D3"/>
    <w:rsid w:val="583850EA"/>
    <w:rsid w:val="583B0741"/>
    <w:rsid w:val="583C2C4A"/>
    <w:rsid w:val="583C4F7C"/>
    <w:rsid w:val="583D1D79"/>
    <w:rsid w:val="583D216C"/>
    <w:rsid w:val="583F3276"/>
    <w:rsid w:val="583F3E8F"/>
    <w:rsid w:val="58402623"/>
    <w:rsid w:val="58407993"/>
    <w:rsid w:val="5841508C"/>
    <w:rsid w:val="58425AC6"/>
    <w:rsid w:val="58443253"/>
    <w:rsid w:val="58451850"/>
    <w:rsid w:val="584559A7"/>
    <w:rsid w:val="58462984"/>
    <w:rsid w:val="584677BD"/>
    <w:rsid w:val="58472D43"/>
    <w:rsid w:val="5849729B"/>
    <w:rsid w:val="584A7878"/>
    <w:rsid w:val="584B1D30"/>
    <w:rsid w:val="584C5802"/>
    <w:rsid w:val="584C587A"/>
    <w:rsid w:val="584D1A07"/>
    <w:rsid w:val="584D6D0A"/>
    <w:rsid w:val="584E0792"/>
    <w:rsid w:val="584E47B5"/>
    <w:rsid w:val="584E7381"/>
    <w:rsid w:val="584F6442"/>
    <w:rsid w:val="58510610"/>
    <w:rsid w:val="58526EE9"/>
    <w:rsid w:val="58527B70"/>
    <w:rsid w:val="585366B6"/>
    <w:rsid w:val="5854400C"/>
    <w:rsid w:val="5857124C"/>
    <w:rsid w:val="58591574"/>
    <w:rsid w:val="585B1260"/>
    <w:rsid w:val="585E0371"/>
    <w:rsid w:val="585E590B"/>
    <w:rsid w:val="585E5CF0"/>
    <w:rsid w:val="58613B8C"/>
    <w:rsid w:val="58616610"/>
    <w:rsid w:val="58620A1A"/>
    <w:rsid w:val="586367C5"/>
    <w:rsid w:val="58646215"/>
    <w:rsid w:val="58660CE3"/>
    <w:rsid w:val="58670D6E"/>
    <w:rsid w:val="58672BC3"/>
    <w:rsid w:val="5869181F"/>
    <w:rsid w:val="586A3022"/>
    <w:rsid w:val="586B3150"/>
    <w:rsid w:val="586C58ED"/>
    <w:rsid w:val="586E668C"/>
    <w:rsid w:val="587023AE"/>
    <w:rsid w:val="587035B7"/>
    <w:rsid w:val="58707308"/>
    <w:rsid w:val="58707563"/>
    <w:rsid w:val="58724BEF"/>
    <w:rsid w:val="58740E71"/>
    <w:rsid w:val="587562DC"/>
    <w:rsid w:val="5876195C"/>
    <w:rsid w:val="587647D5"/>
    <w:rsid w:val="58781CC6"/>
    <w:rsid w:val="58797236"/>
    <w:rsid w:val="587A0D10"/>
    <w:rsid w:val="587A1968"/>
    <w:rsid w:val="587B479B"/>
    <w:rsid w:val="587B5B50"/>
    <w:rsid w:val="587C043C"/>
    <w:rsid w:val="58816255"/>
    <w:rsid w:val="58816E29"/>
    <w:rsid w:val="588550AE"/>
    <w:rsid w:val="58877279"/>
    <w:rsid w:val="58886596"/>
    <w:rsid w:val="588A7487"/>
    <w:rsid w:val="588C2845"/>
    <w:rsid w:val="588C5A92"/>
    <w:rsid w:val="588D03AC"/>
    <w:rsid w:val="588F0F73"/>
    <w:rsid w:val="589050CC"/>
    <w:rsid w:val="58906498"/>
    <w:rsid w:val="589222C5"/>
    <w:rsid w:val="58937CD5"/>
    <w:rsid w:val="5894033E"/>
    <w:rsid w:val="589462A5"/>
    <w:rsid w:val="58951D01"/>
    <w:rsid w:val="589540F9"/>
    <w:rsid w:val="58986794"/>
    <w:rsid w:val="589935A3"/>
    <w:rsid w:val="5899642D"/>
    <w:rsid w:val="589B01C2"/>
    <w:rsid w:val="589B3E60"/>
    <w:rsid w:val="589B78B7"/>
    <w:rsid w:val="589D0BB5"/>
    <w:rsid w:val="589F0489"/>
    <w:rsid w:val="58A04049"/>
    <w:rsid w:val="58A27F7A"/>
    <w:rsid w:val="58A3532C"/>
    <w:rsid w:val="58A35F9C"/>
    <w:rsid w:val="58A363C3"/>
    <w:rsid w:val="58A6079F"/>
    <w:rsid w:val="58A638B4"/>
    <w:rsid w:val="58A64F81"/>
    <w:rsid w:val="58A83A20"/>
    <w:rsid w:val="58A84D1E"/>
    <w:rsid w:val="58AB1524"/>
    <w:rsid w:val="58AB5EAB"/>
    <w:rsid w:val="58AB7726"/>
    <w:rsid w:val="58AC228B"/>
    <w:rsid w:val="58AD0DF8"/>
    <w:rsid w:val="58AD167F"/>
    <w:rsid w:val="58AE17C9"/>
    <w:rsid w:val="58AF0381"/>
    <w:rsid w:val="58AF6F99"/>
    <w:rsid w:val="58B14A7E"/>
    <w:rsid w:val="58B205C9"/>
    <w:rsid w:val="58B20A49"/>
    <w:rsid w:val="58B21E57"/>
    <w:rsid w:val="58B35EB8"/>
    <w:rsid w:val="58B53658"/>
    <w:rsid w:val="58B5571B"/>
    <w:rsid w:val="58B6512E"/>
    <w:rsid w:val="58B9770A"/>
    <w:rsid w:val="58B97CA0"/>
    <w:rsid w:val="58BA59F2"/>
    <w:rsid w:val="58BB475E"/>
    <w:rsid w:val="58BD1E8F"/>
    <w:rsid w:val="58BF0312"/>
    <w:rsid w:val="58C019D4"/>
    <w:rsid w:val="58C05E92"/>
    <w:rsid w:val="58C41169"/>
    <w:rsid w:val="58C4462C"/>
    <w:rsid w:val="58C45F54"/>
    <w:rsid w:val="58C6175D"/>
    <w:rsid w:val="58C649A8"/>
    <w:rsid w:val="58C93758"/>
    <w:rsid w:val="58CC6764"/>
    <w:rsid w:val="58CD4FF7"/>
    <w:rsid w:val="58CF5E23"/>
    <w:rsid w:val="58D00315"/>
    <w:rsid w:val="58D05F94"/>
    <w:rsid w:val="58D10749"/>
    <w:rsid w:val="58D267BC"/>
    <w:rsid w:val="58D30038"/>
    <w:rsid w:val="58D30568"/>
    <w:rsid w:val="58D726E2"/>
    <w:rsid w:val="58D77719"/>
    <w:rsid w:val="58D85297"/>
    <w:rsid w:val="58DA2F27"/>
    <w:rsid w:val="58DD2811"/>
    <w:rsid w:val="58DD68BA"/>
    <w:rsid w:val="58DE7DE0"/>
    <w:rsid w:val="58DF2211"/>
    <w:rsid w:val="58DF2266"/>
    <w:rsid w:val="58DF2304"/>
    <w:rsid w:val="58DF3A45"/>
    <w:rsid w:val="58E014C7"/>
    <w:rsid w:val="58E0499E"/>
    <w:rsid w:val="58E04A8C"/>
    <w:rsid w:val="58E25763"/>
    <w:rsid w:val="58E415E6"/>
    <w:rsid w:val="58E5693E"/>
    <w:rsid w:val="58E606AC"/>
    <w:rsid w:val="58E62E0E"/>
    <w:rsid w:val="58EB1921"/>
    <w:rsid w:val="58EB7B01"/>
    <w:rsid w:val="58EC59A6"/>
    <w:rsid w:val="58EC6895"/>
    <w:rsid w:val="58EC7908"/>
    <w:rsid w:val="58ED1584"/>
    <w:rsid w:val="58ED4416"/>
    <w:rsid w:val="58ED74D9"/>
    <w:rsid w:val="58EE779C"/>
    <w:rsid w:val="58EF598F"/>
    <w:rsid w:val="58F00145"/>
    <w:rsid w:val="58F161E8"/>
    <w:rsid w:val="58F23089"/>
    <w:rsid w:val="58F230FB"/>
    <w:rsid w:val="58F235E0"/>
    <w:rsid w:val="58F3101F"/>
    <w:rsid w:val="58F31C0A"/>
    <w:rsid w:val="58F330AF"/>
    <w:rsid w:val="58F4136D"/>
    <w:rsid w:val="58F43766"/>
    <w:rsid w:val="58F5454D"/>
    <w:rsid w:val="58F7315C"/>
    <w:rsid w:val="58F83822"/>
    <w:rsid w:val="58F845EC"/>
    <w:rsid w:val="58F851F1"/>
    <w:rsid w:val="58FB7AAC"/>
    <w:rsid w:val="58FC1D80"/>
    <w:rsid w:val="58FC3501"/>
    <w:rsid w:val="58FD7ABD"/>
    <w:rsid w:val="58FE24A9"/>
    <w:rsid w:val="58FE725A"/>
    <w:rsid w:val="58FE78A6"/>
    <w:rsid w:val="58FF3D64"/>
    <w:rsid w:val="590008C6"/>
    <w:rsid w:val="59001C73"/>
    <w:rsid w:val="59002A1B"/>
    <w:rsid w:val="59005FF7"/>
    <w:rsid w:val="59033EB7"/>
    <w:rsid w:val="59040269"/>
    <w:rsid w:val="59040C3D"/>
    <w:rsid w:val="590456AD"/>
    <w:rsid w:val="59060CBF"/>
    <w:rsid w:val="590649AC"/>
    <w:rsid w:val="5908019E"/>
    <w:rsid w:val="590914C5"/>
    <w:rsid w:val="590A6A01"/>
    <w:rsid w:val="590B0A9B"/>
    <w:rsid w:val="590B163A"/>
    <w:rsid w:val="590B7FB7"/>
    <w:rsid w:val="590C1FE3"/>
    <w:rsid w:val="590C5C18"/>
    <w:rsid w:val="590F3DB6"/>
    <w:rsid w:val="590F41FC"/>
    <w:rsid w:val="59120BC1"/>
    <w:rsid w:val="59126EAD"/>
    <w:rsid w:val="591277EF"/>
    <w:rsid w:val="5914119B"/>
    <w:rsid w:val="591600AC"/>
    <w:rsid w:val="59166397"/>
    <w:rsid w:val="591827BA"/>
    <w:rsid w:val="591900D0"/>
    <w:rsid w:val="59195206"/>
    <w:rsid w:val="591A11EF"/>
    <w:rsid w:val="591A64F6"/>
    <w:rsid w:val="591B0C73"/>
    <w:rsid w:val="591B0C87"/>
    <w:rsid w:val="591B21FE"/>
    <w:rsid w:val="591B6943"/>
    <w:rsid w:val="591D1B7F"/>
    <w:rsid w:val="591D64DA"/>
    <w:rsid w:val="591D7EBC"/>
    <w:rsid w:val="591F2B9C"/>
    <w:rsid w:val="591F4A55"/>
    <w:rsid w:val="592014A1"/>
    <w:rsid w:val="59220479"/>
    <w:rsid w:val="59220F11"/>
    <w:rsid w:val="59232E69"/>
    <w:rsid w:val="59233B2A"/>
    <w:rsid w:val="59233F27"/>
    <w:rsid w:val="5923465F"/>
    <w:rsid w:val="59242230"/>
    <w:rsid w:val="59244AC5"/>
    <w:rsid w:val="59257CD8"/>
    <w:rsid w:val="59261410"/>
    <w:rsid w:val="59262959"/>
    <w:rsid w:val="5926524C"/>
    <w:rsid w:val="59265DAE"/>
    <w:rsid w:val="5927463D"/>
    <w:rsid w:val="59281422"/>
    <w:rsid w:val="59287B31"/>
    <w:rsid w:val="5929341A"/>
    <w:rsid w:val="592A33CC"/>
    <w:rsid w:val="592B226D"/>
    <w:rsid w:val="592D3CE7"/>
    <w:rsid w:val="592D6565"/>
    <w:rsid w:val="592E073D"/>
    <w:rsid w:val="59300401"/>
    <w:rsid w:val="5930667C"/>
    <w:rsid w:val="593226BA"/>
    <w:rsid w:val="593262E4"/>
    <w:rsid w:val="5933691A"/>
    <w:rsid w:val="59343DCF"/>
    <w:rsid w:val="59360827"/>
    <w:rsid w:val="593627B8"/>
    <w:rsid w:val="5936505F"/>
    <w:rsid w:val="59367DAB"/>
    <w:rsid w:val="593720BC"/>
    <w:rsid w:val="59372DB8"/>
    <w:rsid w:val="59377486"/>
    <w:rsid w:val="59386BAC"/>
    <w:rsid w:val="593C2000"/>
    <w:rsid w:val="593E2C74"/>
    <w:rsid w:val="593E3270"/>
    <w:rsid w:val="593F24E6"/>
    <w:rsid w:val="59401C6C"/>
    <w:rsid w:val="5942305B"/>
    <w:rsid w:val="59427AC2"/>
    <w:rsid w:val="59432FFD"/>
    <w:rsid w:val="59444B98"/>
    <w:rsid w:val="59451AAD"/>
    <w:rsid w:val="59464DA9"/>
    <w:rsid w:val="594A26C8"/>
    <w:rsid w:val="594B5D9D"/>
    <w:rsid w:val="594C23E9"/>
    <w:rsid w:val="594D4389"/>
    <w:rsid w:val="594E379E"/>
    <w:rsid w:val="594E69FC"/>
    <w:rsid w:val="59522CB1"/>
    <w:rsid w:val="59526286"/>
    <w:rsid w:val="59533895"/>
    <w:rsid w:val="59541257"/>
    <w:rsid w:val="59547425"/>
    <w:rsid w:val="59554726"/>
    <w:rsid w:val="595705DB"/>
    <w:rsid w:val="59577BD8"/>
    <w:rsid w:val="59582C76"/>
    <w:rsid w:val="59583AA2"/>
    <w:rsid w:val="59586215"/>
    <w:rsid w:val="59594ADC"/>
    <w:rsid w:val="595C6456"/>
    <w:rsid w:val="595D4916"/>
    <w:rsid w:val="595E7374"/>
    <w:rsid w:val="59604755"/>
    <w:rsid w:val="59622E18"/>
    <w:rsid w:val="59631CDB"/>
    <w:rsid w:val="59635888"/>
    <w:rsid w:val="59670A10"/>
    <w:rsid w:val="5967369D"/>
    <w:rsid w:val="59676C2B"/>
    <w:rsid w:val="596808C9"/>
    <w:rsid w:val="59682F71"/>
    <w:rsid w:val="59686785"/>
    <w:rsid w:val="59691D21"/>
    <w:rsid w:val="59695FCF"/>
    <w:rsid w:val="596B0926"/>
    <w:rsid w:val="596B480F"/>
    <w:rsid w:val="596B6CED"/>
    <w:rsid w:val="596C0FFA"/>
    <w:rsid w:val="596C705C"/>
    <w:rsid w:val="596D4A2C"/>
    <w:rsid w:val="596D722D"/>
    <w:rsid w:val="596F21A7"/>
    <w:rsid w:val="59701765"/>
    <w:rsid w:val="59710803"/>
    <w:rsid w:val="597312D4"/>
    <w:rsid w:val="59744C0A"/>
    <w:rsid w:val="59750523"/>
    <w:rsid w:val="59755FA2"/>
    <w:rsid w:val="59760241"/>
    <w:rsid w:val="59762190"/>
    <w:rsid w:val="597777F1"/>
    <w:rsid w:val="597931D9"/>
    <w:rsid w:val="59794CC5"/>
    <w:rsid w:val="59796380"/>
    <w:rsid w:val="597A0CE0"/>
    <w:rsid w:val="597C18C5"/>
    <w:rsid w:val="597C1D3B"/>
    <w:rsid w:val="597C73FD"/>
    <w:rsid w:val="597F386C"/>
    <w:rsid w:val="5980290A"/>
    <w:rsid w:val="59814033"/>
    <w:rsid w:val="59815825"/>
    <w:rsid w:val="59833487"/>
    <w:rsid w:val="59835FFD"/>
    <w:rsid w:val="59837DAB"/>
    <w:rsid w:val="59844F1B"/>
    <w:rsid w:val="59875D51"/>
    <w:rsid w:val="5987789B"/>
    <w:rsid w:val="59886D7F"/>
    <w:rsid w:val="59897866"/>
    <w:rsid w:val="598A1326"/>
    <w:rsid w:val="598B0206"/>
    <w:rsid w:val="598B2F92"/>
    <w:rsid w:val="598D1433"/>
    <w:rsid w:val="598D22F5"/>
    <w:rsid w:val="598D29D8"/>
    <w:rsid w:val="598D6049"/>
    <w:rsid w:val="598E5CDE"/>
    <w:rsid w:val="598E7E44"/>
    <w:rsid w:val="598F2F61"/>
    <w:rsid w:val="598F7D34"/>
    <w:rsid w:val="599124C8"/>
    <w:rsid w:val="59912675"/>
    <w:rsid w:val="59926240"/>
    <w:rsid w:val="5992660C"/>
    <w:rsid w:val="5994429F"/>
    <w:rsid w:val="59954CAC"/>
    <w:rsid w:val="59956EA0"/>
    <w:rsid w:val="599609D8"/>
    <w:rsid w:val="59977C33"/>
    <w:rsid w:val="59995C23"/>
    <w:rsid w:val="599B120F"/>
    <w:rsid w:val="599B48CE"/>
    <w:rsid w:val="599B50F5"/>
    <w:rsid w:val="599B6DB6"/>
    <w:rsid w:val="599B6EA3"/>
    <w:rsid w:val="599C0E6D"/>
    <w:rsid w:val="599C7AFD"/>
    <w:rsid w:val="599E3C0E"/>
    <w:rsid w:val="59A01DDE"/>
    <w:rsid w:val="59A044B9"/>
    <w:rsid w:val="59A06B1B"/>
    <w:rsid w:val="59A10799"/>
    <w:rsid w:val="59A120D7"/>
    <w:rsid w:val="59A12339"/>
    <w:rsid w:val="59A250DC"/>
    <w:rsid w:val="59A3389A"/>
    <w:rsid w:val="59A37FFC"/>
    <w:rsid w:val="59A54F46"/>
    <w:rsid w:val="59A633F1"/>
    <w:rsid w:val="59A72FE6"/>
    <w:rsid w:val="59A76369"/>
    <w:rsid w:val="59A87812"/>
    <w:rsid w:val="59A92BA4"/>
    <w:rsid w:val="59AC5554"/>
    <w:rsid w:val="59AE0E15"/>
    <w:rsid w:val="59AE1ABC"/>
    <w:rsid w:val="59B30690"/>
    <w:rsid w:val="59B35A53"/>
    <w:rsid w:val="59B461B6"/>
    <w:rsid w:val="59B77A55"/>
    <w:rsid w:val="59B960C5"/>
    <w:rsid w:val="59BA1C07"/>
    <w:rsid w:val="59BB510A"/>
    <w:rsid w:val="59BB6C64"/>
    <w:rsid w:val="59BB7545"/>
    <w:rsid w:val="59BC4B43"/>
    <w:rsid w:val="59BE0EAE"/>
    <w:rsid w:val="59BE3332"/>
    <w:rsid w:val="59BE71F3"/>
    <w:rsid w:val="59BE72F3"/>
    <w:rsid w:val="59BE7E7A"/>
    <w:rsid w:val="59C002CA"/>
    <w:rsid w:val="59C103E0"/>
    <w:rsid w:val="59C10744"/>
    <w:rsid w:val="59C1655E"/>
    <w:rsid w:val="59C21358"/>
    <w:rsid w:val="59C22E50"/>
    <w:rsid w:val="59C26133"/>
    <w:rsid w:val="59C3557D"/>
    <w:rsid w:val="59C60849"/>
    <w:rsid w:val="59C64145"/>
    <w:rsid w:val="59C7302F"/>
    <w:rsid w:val="59C77184"/>
    <w:rsid w:val="59C77E38"/>
    <w:rsid w:val="59C962AE"/>
    <w:rsid w:val="59CA2705"/>
    <w:rsid w:val="59CA7788"/>
    <w:rsid w:val="59CC1752"/>
    <w:rsid w:val="59CC281A"/>
    <w:rsid w:val="59CD1026"/>
    <w:rsid w:val="59CE0C85"/>
    <w:rsid w:val="59CE34BA"/>
    <w:rsid w:val="59CE4859"/>
    <w:rsid w:val="59D021E1"/>
    <w:rsid w:val="59D035A4"/>
    <w:rsid w:val="59D04961"/>
    <w:rsid w:val="59D0681A"/>
    <w:rsid w:val="59D070ED"/>
    <w:rsid w:val="59D13A4E"/>
    <w:rsid w:val="59D17468"/>
    <w:rsid w:val="59D23CDC"/>
    <w:rsid w:val="59D2663D"/>
    <w:rsid w:val="59D33502"/>
    <w:rsid w:val="59D35957"/>
    <w:rsid w:val="59D4211F"/>
    <w:rsid w:val="59D423B5"/>
    <w:rsid w:val="59D44313"/>
    <w:rsid w:val="59D445FB"/>
    <w:rsid w:val="59D67C33"/>
    <w:rsid w:val="59D811AC"/>
    <w:rsid w:val="59D93E6F"/>
    <w:rsid w:val="59D96941"/>
    <w:rsid w:val="59DD395F"/>
    <w:rsid w:val="59DE20B4"/>
    <w:rsid w:val="59E036D4"/>
    <w:rsid w:val="59E135B0"/>
    <w:rsid w:val="59E25FE1"/>
    <w:rsid w:val="59E34D56"/>
    <w:rsid w:val="59E44DC2"/>
    <w:rsid w:val="59E75344"/>
    <w:rsid w:val="59E90618"/>
    <w:rsid w:val="59E95FFA"/>
    <w:rsid w:val="59EC0473"/>
    <w:rsid w:val="59ED70B6"/>
    <w:rsid w:val="59F057E0"/>
    <w:rsid w:val="59F10F83"/>
    <w:rsid w:val="59F111B5"/>
    <w:rsid w:val="59F11F01"/>
    <w:rsid w:val="59F14D15"/>
    <w:rsid w:val="59F20A8D"/>
    <w:rsid w:val="59F45DB1"/>
    <w:rsid w:val="59F664A1"/>
    <w:rsid w:val="59F70789"/>
    <w:rsid w:val="59F87863"/>
    <w:rsid w:val="59F91B3E"/>
    <w:rsid w:val="59FB3DE5"/>
    <w:rsid w:val="59FB6D28"/>
    <w:rsid w:val="59FD02E1"/>
    <w:rsid w:val="59FD0846"/>
    <w:rsid w:val="59FD349E"/>
    <w:rsid w:val="59FD7072"/>
    <w:rsid w:val="59FF38D6"/>
    <w:rsid w:val="59FF6690"/>
    <w:rsid w:val="5A00050E"/>
    <w:rsid w:val="5A007FC9"/>
    <w:rsid w:val="5A041F9C"/>
    <w:rsid w:val="5A0646A2"/>
    <w:rsid w:val="5A077EA4"/>
    <w:rsid w:val="5A090FFF"/>
    <w:rsid w:val="5A094754"/>
    <w:rsid w:val="5A0C1770"/>
    <w:rsid w:val="5A0C6365"/>
    <w:rsid w:val="5A0D78A5"/>
    <w:rsid w:val="5A0E41A1"/>
    <w:rsid w:val="5A0F3D85"/>
    <w:rsid w:val="5A1023FA"/>
    <w:rsid w:val="5A111C53"/>
    <w:rsid w:val="5A113609"/>
    <w:rsid w:val="5A1153B7"/>
    <w:rsid w:val="5A121A9D"/>
    <w:rsid w:val="5A121C2B"/>
    <w:rsid w:val="5A122150"/>
    <w:rsid w:val="5A122A4A"/>
    <w:rsid w:val="5A123E90"/>
    <w:rsid w:val="5A1425A8"/>
    <w:rsid w:val="5A161C97"/>
    <w:rsid w:val="5A167004"/>
    <w:rsid w:val="5A1677A2"/>
    <w:rsid w:val="5A175362"/>
    <w:rsid w:val="5A19426B"/>
    <w:rsid w:val="5A1976E0"/>
    <w:rsid w:val="5A1B4485"/>
    <w:rsid w:val="5A1C7576"/>
    <w:rsid w:val="5A1D1FAE"/>
    <w:rsid w:val="5A1D71F2"/>
    <w:rsid w:val="5A1E7C63"/>
    <w:rsid w:val="5A1F0407"/>
    <w:rsid w:val="5A1F1C39"/>
    <w:rsid w:val="5A2250BB"/>
    <w:rsid w:val="5A232A61"/>
    <w:rsid w:val="5A2709A7"/>
    <w:rsid w:val="5A273691"/>
    <w:rsid w:val="5A28157C"/>
    <w:rsid w:val="5A285572"/>
    <w:rsid w:val="5A28750E"/>
    <w:rsid w:val="5A2A7696"/>
    <w:rsid w:val="5A2E2963"/>
    <w:rsid w:val="5A2F170C"/>
    <w:rsid w:val="5A2F2D66"/>
    <w:rsid w:val="5A2F55FE"/>
    <w:rsid w:val="5A310CE2"/>
    <w:rsid w:val="5A3133FC"/>
    <w:rsid w:val="5A316916"/>
    <w:rsid w:val="5A3237B5"/>
    <w:rsid w:val="5A3317D1"/>
    <w:rsid w:val="5A334F54"/>
    <w:rsid w:val="5A3457FD"/>
    <w:rsid w:val="5A3526E5"/>
    <w:rsid w:val="5A364AA7"/>
    <w:rsid w:val="5A366BCB"/>
    <w:rsid w:val="5A3822F5"/>
    <w:rsid w:val="5A390967"/>
    <w:rsid w:val="5A390A67"/>
    <w:rsid w:val="5A3910C8"/>
    <w:rsid w:val="5A3B2434"/>
    <w:rsid w:val="5A3B72F9"/>
    <w:rsid w:val="5A3D732A"/>
    <w:rsid w:val="5A3E139F"/>
    <w:rsid w:val="5A3E44A5"/>
    <w:rsid w:val="5A405C9C"/>
    <w:rsid w:val="5A405EA0"/>
    <w:rsid w:val="5A407A4A"/>
    <w:rsid w:val="5A4325C9"/>
    <w:rsid w:val="5A4361C1"/>
    <w:rsid w:val="5A4426C7"/>
    <w:rsid w:val="5A451CE5"/>
    <w:rsid w:val="5A45526D"/>
    <w:rsid w:val="5A4620CF"/>
    <w:rsid w:val="5A477EA1"/>
    <w:rsid w:val="5A4938B4"/>
    <w:rsid w:val="5A495074"/>
    <w:rsid w:val="5A49507E"/>
    <w:rsid w:val="5A4A559B"/>
    <w:rsid w:val="5A4C1CA1"/>
    <w:rsid w:val="5A4E03B9"/>
    <w:rsid w:val="5A4E2167"/>
    <w:rsid w:val="5A4F0676"/>
    <w:rsid w:val="5A4F116D"/>
    <w:rsid w:val="5A4F21B7"/>
    <w:rsid w:val="5A4F484F"/>
    <w:rsid w:val="5A4F7C8D"/>
    <w:rsid w:val="5A513BF6"/>
    <w:rsid w:val="5A517EA9"/>
    <w:rsid w:val="5A5328C5"/>
    <w:rsid w:val="5A53552E"/>
    <w:rsid w:val="5A53559E"/>
    <w:rsid w:val="5A5639ED"/>
    <w:rsid w:val="5A581238"/>
    <w:rsid w:val="5A582DD4"/>
    <w:rsid w:val="5A582F34"/>
    <w:rsid w:val="5A5B7493"/>
    <w:rsid w:val="5A5C0D28"/>
    <w:rsid w:val="5A5D758C"/>
    <w:rsid w:val="5A5E6041"/>
    <w:rsid w:val="5A62076F"/>
    <w:rsid w:val="5A640B0E"/>
    <w:rsid w:val="5A642FDE"/>
    <w:rsid w:val="5A675467"/>
    <w:rsid w:val="5A690D4F"/>
    <w:rsid w:val="5A6C2199"/>
    <w:rsid w:val="5A6F1E03"/>
    <w:rsid w:val="5A6F6621"/>
    <w:rsid w:val="5A6F6D99"/>
    <w:rsid w:val="5A7008B6"/>
    <w:rsid w:val="5A7122F9"/>
    <w:rsid w:val="5A7140A7"/>
    <w:rsid w:val="5A7212FC"/>
    <w:rsid w:val="5A736550"/>
    <w:rsid w:val="5A74411C"/>
    <w:rsid w:val="5A744F69"/>
    <w:rsid w:val="5A746557"/>
    <w:rsid w:val="5A7476F4"/>
    <w:rsid w:val="5A754FD7"/>
    <w:rsid w:val="5A7557DC"/>
    <w:rsid w:val="5A764C46"/>
    <w:rsid w:val="5A767B4C"/>
    <w:rsid w:val="5A772767"/>
    <w:rsid w:val="5A772BA7"/>
    <w:rsid w:val="5A783688"/>
    <w:rsid w:val="5A78538F"/>
    <w:rsid w:val="5A793EBF"/>
    <w:rsid w:val="5A795DF3"/>
    <w:rsid w:val="5A7A11AE"/>
    <w:rsid w:val="5A7B2355"/>
    <w:rsid w:val="5A7B4074"/>
    <w:rsid w:val="5A7C0D6A"/>
    <w:rsid w:val="5A7D282D"/>
    <w:rsid w:val="5A7D420E"/>
    <w:rsid w:val="5A8042EB"/>
    <w:rsid w:val="5A847568"/>
    <w:rsid w:val="5A857BDE"/>
    <w:rsid w:val="5A862D14"/>
    <w:rsid w:val="5A88238F"/>
    <w:rsid w:val="5A882BDD"/>
    <w:rsid w:val="5A8B0A67"/>
    <w:rsid w:val="5A8B33BB"/>
    <w:rsid w:val="5A8C0EE1"/>
    <w:rsid w:val="5A8C5039"/>
    <w:rsid w:val="5A8E44DA"/>
    <w:rsid w:val="5A8E5B13"/>
    <w:rsid w:val="5A8F3DEA"/>
    <w:rsid w:val="5A916376"/>
    <w:rsid w:val="5A9313C7"/>
    <w:rsid w:val="5A936C6A"/>
    <w:rsid w:val="5A947201"/>
    <w:rsid w:val="5A961E52"/>
    <w:rsid w:val="5A97775C"/>
    <w:rsid w:val="5A9833A8"/>
    <w:rsid w:val="5A983AE7"/>
    <w:rsid w:val="5A9A458D"/>
    <w:rsid w:val="5A9B11BD"/>
    <w:rsid w:val="5A9C630B"/>
    <w:rsid w:val="5A9E7DED"/>
    <w:rsid w:val="5A9F4452"/>
    <w:rsid w:val="5AA004E9"/>
    <w:rsid w:val="5AA1673B"/>
    <w:rsid w:val="5AA225C1"/>
    <w:rsid w:val="5AA30F9C"/>
    <w:rsid w:val="5AA601F5"/>
    <w:rsid w:val="5AA91B9F"/>
    <w:rsid w:val="5AA93841"/>
    <w:rsid w:val="5AA97311"/>
    <w:rsid w:val="5AAB18DB"/>
    <w:rsid w:val="5AAB2EB7"/>
    <w:rsid w:val="5AAB580B"/>
    <w:rsid w:val="5AAB60CB"/>
    <w:rsid w:val="5AAB6EE0"/>
    <w:rsid w:val="5AAC50E0"/>
    <w:rsid w:val="5AAC584A"/>
    <w:rsid w:val="5AAD698B"/>
    <w:rsid w:val="5AAE0E58"/>
    <w:rsid w:val="5AAE77D6"/>
    <w:rsid w:val="5AAF3A64"/>
    <w:rsid w:val="5AAF5D14"/>
    <w:rsid w:val="5AAF7962"/>
    <w:rsid w:val="5AB04526"/>
    <w:rsid w:val="5AB126F6"/>
    <w:rsid w:val="5AB30D2C"/>
    <w:rsid w:val="5AB319E6"/>
    <w:rsid w:val="5AB40303"/>
    <w:rsid w:val="5AB40ED2"/>
    <w:rsid w:val="5AB54388"/>
    <w:rsid w:val="5AB55D87"/>
    <w:rsid w:val="5AB70BFF"/>
    <w:rsid w:val="5AB85E5B"/>
    <w:rsid w:val="5AB86683"/>
    <w:rsid w:val="5AB92B90"/>
    <w:rsid w:val="5ABA15AB"/>
    <w:rsid w:val="5ABA3CA0"/>
    <w:rsid w:val="5ABC7046"/>
    <w:rsid w:val="5ABD1CBA"/>
    <w:rsid w:val="5ABD3596"/>
    <w:rsid w:val="5ABE0331"/>
    <w:rsid w:val="5ABF7317"/>
    <w:rsid w:val="5AC051B0"/>
    <w:rsid w:val="5AC1549D"/>
    <w:rsid w:val="5AC16640"/>
    <w:rsid w:val="5AC174FB"/>
    <w:rsid w:val="5AC25647"/>
    <w:rsid w:val="5AC266B1"/>
    <w:rsid w:val="5AC452F6"/>
    <w:rsid w:val="5AC5444D"/>
    <w:rsid w:val="5AC64D96"/>
    <w:rsid w:val="5AC6704D"/>
    <w:rsid w:val="5AC75083"/>
    <w:rsid w:val="5AC75387"/>
    <w:rsid w:val="5AC92B4C"/>
    <w:rsid w:val="5ACA46A0"/>
    <w:rsid w:val="5ACA5C93"/>
    <w:rsid w:val="5ACD39D4"/>
    <w:rsid w:val="5ACD745B"/>
    <w:rsid w:val="5ACE14FA"/>
    <w:rsid w:val="5AD05272"/>
    <w:rsid w:val="5AD07919"/>
    <w:rsid w:val="5AD13C47"/>
    <w:rsid w:val="5AD2186D"/>
    <w:rsid w:val="5AD22D98"/>
    <w:rsid w:val="5AD32DD9"/>
    <w:rsid w:val="5AD34852"/>
    <w:rsid w:val="5AD37177"/>
    <w:rsid w:val="5AD52888"/>
    <w:rsid w:val="5AD54636"/>
    <w:rsid w:val="5AD611AB"/>
    <w:rsid w:val="5AD747AA"/>
    <w:rsid w:val="5AD80F59"/>
    <w:rsid w:val="5AD847F9"/>
    <w:rsid w:val="5ADA311A"/>
    <w:rsid w:val="5ADB4098"/>
    <w:rsid w:val="5ADE4486"/>
    <w:rsid w:val="5AE25353"/>
    <w:rsid w:val="5AE54F11"/>
    <w:rsid w:val="5AE66662"/>
    <w:rsid w:val="5AE85AFD"/>
    <w:rsid w:val="5AE8728D"/>
    <w:rsid w:val="5AEC2C48"/>
    <w:rsid w:val="5AEC590E"/>
    <w:rsid w:val="5AEE2CA0"/>
    <w:rsid w:val="5AF07CF3"/>
    <w:rsid w:val="5AF2343A"/>
    <w:rsid w:val="5AF247EA"/>
    <w:rsid w:val="5AF47194"/>
    <w:rsid w:val="5AF50703"/>
    <w:rsid w:val="5AF537C6"/>
    <w:rsid w:val="5AF61385"/>
    <w:rsid w:val="5AF72FD3"/>
    <w:rsid w:val="5AF75BB8"/>
    <w:rsid w:val="5AF85B05"/>
    <w:rsid w:val="5AF87CE8"/>
    <w:rsid w:val="5AF919DA"/>
    <w:rsid w:val="5AF947C9"/>
    <w:rsid w:val="5AF9744B"/>
    <w:rsid w:val="5AFB639C"/>
    <w:rsid w:val="5AFC1BC3"/>
    <w:rsid w:val="5AFC5B3A"/>
    <w:rsid w:val="5AFC70DD"/>
    <w:rsid w:val="5AFD4A88"/>
    <w:rsid w:val="5AFD593B"/>
    <w:rsid w:val="5AFD6690"/>
    <w:rsid w:val="5AFD79A2"/>
    <w:rsid w:val="5AFF3461"/>
    <w:rsid w:val="5B0012E0"/>
    <w:rsid w:val="5B0047EB"/>
    <w:rsid w:val="5B013F5E"/>
    <w:rsid w:val="5B02533B"/>
    <w:rsid w:val="5B0532B8"/>
    <w:rsid w:val="5B0556BE"/>
    <w:rsid w:val="5B062247"/>
    <w:rsid w:val="5B063040"/>
    <w:rsid w:val="5B06742A"/>
    <w:rsid w:val="5B0B62AA"/>
    <w:rsid w:val="5B0C5257"/>
    <w:rsid w:val="5B0D178E"/>
    <w:rsid w:val="5B0D4D97"/>
    <w:rsid w:val="5B0E5935"/>
    <w:rsid w:val="5B0F057E"/>
    <w:rsid w:val="5B0F13AB"/>
    <w:rsid w:val="5B0F7EC4"/>
    <w:rsid w:val="5B120427"/>
    <w:rsid w:val="5B127639"/>
    <w:rsid w:val="5B156E1E"/>
    <w:rsid w:val="5B162F19"/>
    <w:rsid w:val="5B165C74"/>
    <w:rsid w:val="5B1708CA"/>
    <w:rsid w:val="5B177ABF"/>
    <w:rsid w:val="5B1E7D8B"/>
    <w:rsid w:val="5B2027D8"/>
    <w:rsid w:val="5B21162A"/>
    <w:rsid w:val="5B22187E"/>
    <w:rsid w:val="5B242EC8"/>
    <w:rsid w:val="5B263BCE"/>
    <w:rsid w:val="5B274125"/>
    <w:rsid w:val="5B275711"/>
    <w:rsid w:val="5B2757C0"/>
    <w:rsid w:val="5B2A2D08"/>
    <w:rsid w:val="5B2A3737"/>
    <w:rsid w:val="5B2A44C3"/>
    <w:rsid w:val="5B2A59BC"/>
    <w:rsid w:val="5B2A68EA"/>
    <w:rsid w:val="5B2B557F"/>
    <w:rsid w:val="5B2B6928"/>
    <w:rsid w:val="5B2C0EE4"/>
    <w:rsid w:val="5B2C78BE"/>
    <w:rsid w:val="5B2D7FCE"/>
    <w:rsid w:val="5B300AB6"/>
    <w:rsid w:val="5B311471"/>
    <w:rsid w:val="5B3255E5"/>
    <w:rsid w:val="5B3538C6"/>
    <w:rsid w:val="5B3550D5"/>
    <w:rsid w:val="5B356F71"/>
    <w:rsid w:val="5B372BFB"/>
    <w:rsid w:val="5B373248"/>
    <w:rsid w:val="5B3A093D"/>
    <w:rsid w:val="5B3A26EB"/>
    <w:rsid w:val="5B3A674B"/>
    <w:rsid w:val="5B3A6B8F"/>
    <w:rsid w:val="5B3B672A"/>
    <w:rsid w:val="5B3D7F5F"/>
    <w:rsid w:val="5B3E520C"/>
    <w:rsid w:val="5B41694B"/>
    <w:rsid w:val="5B421589"/>
    <w:rsid w:val="5B427539"/>
    <w:rsid w:val="5B436595"/>
    <w:rsid w:val="5B441028"/>
    <w:rsid w:val="5B45136F"/>
    <w:rsid w:val="5B4517BC"/>
    <w:rsid w:val="5B45472A"/>
    <w:rsid w:val="5B462B61"/>
    <w:rsid w:val="5B481980"/>
    <w:rsid w:val="5B48496A"/>
    <w:rsid w:val="5B49445B"/>
    <w:rsid w:val="5B4A2DAE"/>
    <w:rsid w:val="5B4A4915"/>
    <w:rsid w:val="5B4A7FC8"/>
    <w:rsid w:val="5B4C0C4A"/>
    <w:rsid w:val="5B4C0D27"/>
    <w:rsid w:val="5B4D0671"/>
    <w:rsid w:val="5B4D5B4F"/>
    <w:rsid w:val="5B4E74EA"/>
    <w:rsid w:val="5B4F6A8E"/>
    <w:rsid w:val="5B4F7684"/>
    <w:rsid w:val="5B503CBD"/>
    <w:rsid w:val="5B506443"/>
    <w:rsid w:val="5B506723"/>
    <w:rsid w:val="5B513A98"/>
    <w:rsid w:val="5B53055A"/>
    <w:rsid w:val="5B550180"/>
    <w:rsid w:val="5B553DFE"/>
    <w:rsid w:val="5B5639C9"/>
    <w:rsid w:val="5B565A7C"/>
    <w:rsid w:val="5B574E78"/>
    <w:rsid w:val="5B574F57"/>
    <w:rsid w:val="5B57547B"/>
    <w:rsid w:val="5B583472"/>
    <w:rsid w:val="5B5852B1"/>
    <w:rsid w:val="5B59067D"/>
    <w:rsid w:val="5B5945C5"/>
    <w:rsid w:val="5B5C727B"/>
    <w:rsid w:val="5B5D3E2F"/>
    <w:rsid w:val="5B5E09DF"/>
    <w:rsid w:val="5B5E39CF"/>
    <w:rsid w:val="5B5F03A4"/>
    <w:rsid w:val="5B611823"/>
    <w:rsid w:val="5B61411C"/>
    <w:rsid w:val="5B6237DD"/>
    <w:rsid w:val="5B625AF5"/>
    <w:rsid w:val="5B63084D"/>
    <w:rsid w:val="5B631C42"/>
    <w:rsid w:val="5B634312"/>
    <w:rsid w:val="5B637152"/>
    <w:rsid w:val="5B6431F1"/>
    <w:rsid w:val="5B6441F1"/>
    <w:rsid w:val="5B65148B"/>
    <w:rsid w:val="5B6520C0"/>
    <w:rsid w:val="5B667984"/>
    <w:rsid w:val="5B667FA5"/>
    <w:rsid w:val="5B671961"/>
    <w:rsid w:val="5B67354E"/>
    <w:rsid w:val="5B6756B6"/>
    <w:rsid w:val="5B681356"/>
    <w:rsid w:val="5B681C18"/>
    <w:rsid w:val="5B6948C3"/>
    <w:rsid w:val="5B697B78"/>
    <w:rsid w:val="5B697FE1"/>
    <w:rsid w:val="5B6B2007"/>
    <w:rsid w:val="5B6C4D80"/>
    <w:rsid w:val="5B6D30B8"/>
    <w:rsid w:val="5B6D486F"/>
    <w:rsid w:val="5B6F0BAF"/>
    <w:rsid w:val="5B700AE5"/>
    <w:rsid w:val="5B704F5F"/>
    <w:rsid w:val="5B716F5E"/>
    <w:rsid w:val="5B73543D"/>
    <w:rsid w:val="5B7641CC"/>
    <w:rsid w:val="5B765E19"/>
    <w:rsid w:val="5B7913D3"/>
    <w:rsid w:val="5B7A47F3"/>
    <w:rsid w:val="5B7B2587"/>
    <w:rsid w:val="5B7B2E9A"/>
    <w:rsid w:val="5B7B558F"/>
    <w:rsid w:val="5B7C0F56"/>
    <w:rsid w:val="5B7C4516"/>
    <w:rsid w:val="5B7C52C3"/>
    <w:rsid w:val="5B7E2E4F"/>
    <w:rsid w:val="5B8175B1"/>
    <w:rsid w:val="5B8206DA"/>
    <w:rsid w:val="5B82245A"/>
    <w:rsid w:val="5B83043A"/>
    <w:rsid w:val="5B866118"/>
    <w:rsid w:val="5B871DD5"/>
    <w:rsid w:val="5B8878FB"/>
    <w:rsid w:val="5B8C34EE"/>
    <w:rsid w:val="5B8C73EB"/>
    <w:rsid w:val="5B8D1F4F"/>
    <w:rsid w:val="5B8E1947"/>
    <w:rsid w:val="5B8E73ED"/>
    <w:rsid w:val="5B8F310E"/>
    <w:rsid w:val="5B8F50C8"/>
    <w:rsid w:val="5B90055D"/>
    <w:rsid w:val="5B9378B5"/>
    <w:rsid w:val="5B942EAB"/>
    <w:rsid w:val="5B943228"/>
    <w:rsid w:val="5B9462A0"/>
    <w:rsid w:val="5B954CC1"/>
    <w:rsid w:val="5B955661"/>
    <w:rsid w:val="5B955C1B"/>
    <w:rsid w:val="5B965A3A"/>
    <w:rsid w:val="5B975D90"/>
    <w:rsid w:val="5B9770DF"/>
    <w:rsid w:val="5B982B09"/>
    <w:rsid w:val="5B9938B6"/>
    <w:rsid w:val="5B9B3922"/>
    <w:rsid w:val="5B9C1869"/>
    <w:rsid w:val="5B9C240C"/>
    <w:rsid w:val="5B9C33A6"/>
    <w:rsid w:val="5B9D02D7"/>
    <w:rsid w:val="5B9F1A59"/>
    <w:rsid w:val="5B9F7AF9"/>
    <w:rsid w:val="5B9F7C18"/>
    <w:rsid w:val="5BA069F2"/>
    <w:rsid w:val="5BA30291"/>
    <w:rsid w:val="5BA31564"/>
    <w:rsid w:val="5BA34A69"/>
    <w:rsid w:val="5BA52E48"/>
    <w:rsid w:val="5BA95605"/>
    <w:rsid w:val="5BAA161F"/>
    <w:rsid w:val="5BAC1672"/>
    <w:rsid w:val="5BAC6E36"/>
    <w:rsid w:val="5BAD1760"/>
    <w:rsid w:val="5BAD6090"/>
    <w:rsid w:val="5BAD7361"/>
    <w:rsid w:val="5BAE2F7F"/>
    <w:rsid w:val="5BAF2C37"/>
    <w:rsid w:val="5BAF4E87"/>
    <w:rsid w:val="5BAF6184"/>
    <w:rsid w:val="5BAF7D3C"/>
    <w:rsid w:val="5BB052CF"/>
    <w:rsid w:val="5BB10D9A"/>
    <w:rsid w:val="5BB13C5A"/>
    <w:rsid w:val="5BB3109E"/>
    <w:rsid w:val="5BB65A15"/>
    <w:rsid w:val="5BB75893"/>
    <w:rsid w:val="5BB92193"/>
    <w:rsid w:val="5BB9339B"/>
    <w:rsid w:val="5BBA3BBA"/>
    <w:rsid w:val="5BBC0880"/>
    <w:rsid w:val="5BBC54CD"/>
    <w:rsid w:val="5BBE3F27"/>
    <w:rsid w:val="5BBE521A"/>
    <w:rsid w:val="5BBE68AF"/>
    <w:rsid w:val="5BC07095"/>
    <w:rsid w:val="5BC30933"/>
    <w:rsid w:val="5BC31D7F"/>
    <w:rsid w:val="5BC621D1"/>
    <w:rsid w:val="5BC75919"/>
    <w:rsid w:val="5BC76675"/>
    <w:rsid w:val="5BC76F7A"/>
    <w:rsid w:val="5BC812F6"/>
    <w:rsid w:val="5BC934AE"/>
    <w:rsid w:val="5BC9361A"/>
    <w:rsid w:val="5BCA6537"/>
    <w:rsid w:val="5BCB17EE"/>
    <w:rsid w:val="5BCC011B"/>
    <w:rsid w:val="5BCC2754"/>
    <w:rsid w:val="5BCD03E6"/>
    <w:rsid w:val="5BCD17B1"/>
    <w:rsid w:val="5BCD7651"/>
    <w:rsid w:val="5BCF1957"/>
    <w:rsid w:val="5BCF1A62"/>
    <w:rsid w:val="5BCF63F6"/>
    <w:rsid w:val="5BD06B4C"/>
    <w:rsid w:val="5BD215FD"/>
    <w:rsid w:val="5BD2409B"/>
    <w:rsid w:val="5BD41E0C"/>
    <w:rsid w:val="5BD60666"/>
    <w:rsid w:val="5BD935D5"/>
    <w:rsid w:val="5BDC7C1A"/>
    <w:rsid w:val="5BDD1924"/>
    <w:rsid w:val="5BDD2384"/>
    <w:rsid w:val="5BDD672E"/>
    <w:rsid w:val="5BDF0C0E"/>
    <w:rsid w:val="5BDF1238"/>
    <w:rsid w:val="5BE10DB9"/>
    <w:rsid w:val="5BE156FC"/>
    <w:rsid w:val="5BE26EEF"/>
    <w:rsid w:val="5BE30B4D"/>
    <w:rsid w:val="5BE51515"/>
    <w:rsid w:val="5BE70178"/>
    <w:rsid w:val="5BE71572"/>
    <w:rsid w:val="5BE7549F"/>
    <w:rsid w:val="5BE82147"/>
    <w:rsid w:val="5BE95FC4"/>
    <w:rsid w:val="5BEB3332"/>
    <w:rsid w:val="5BED775E"/>
    <w:rsid w:val="5BEF0AD5"/>
    <w:rsid w:val="5BEF1728"/>
    <w:rsid w:val="5BF157F3"/>
    <w:rsid w:val="5BF31CEE"/>
    <w:rsid w:val="5BF4359E"/>
    <w:rsid w:val="5BF73F7B"/>
    <w:rsid w:val="5BF7739A"/>
    <w:rsid w:val="5BF82D97"/>
    <w:rsid w:val="5BF90941"/>
    <w:rsid w:val="5BF95104"/>
    <w:rsid w:val="5BF976DF"/>
    <w:rsid w:val="5BFB2704"/>
    <w:rsid w:val="5BFB3C44"/>
    <w:rsid w:val="5BFE2D91"/>
    <w:rsid w:val="5BFE2DA0"/>
    <w:rsid w:val="5BFE4F6F"/>
    <w:rsid w:val="5BFE5E0F"/>
    <w:rsid w:val="5BFF1C79"/>
    <w:rsid w:val="5C003D4E"/>
    <w:rsid w:val="5C007CAF"/>
    <w:rsid w:val="5C01090B"/>
    <w:rsid w:val="5C0351D3"/>
    <w:rsid w:val="5C050D16"/>
    <w:rsid w:val="5C076EC1"/>
    <w:rsid w:val="5C0772D9"/>
    <w:rsid w:val="5C081540"/>
    <w:rsid w:val="5C082471"/>
    <w:rsid w:val="5C0A4039"/>
    <w:rsid w:val="5C0B727A"/>
    <w:rsid w:val="5C0C7A9D"/>
    <w:rsid w:val="5C0D40EB"/>
    <w:rsid w:val="5C0D47C2"/>
    <w:rsid w:val="5C0E36AA"/>
    <w:rsid w:val="5C0F47B3"/>
    <w:rsid w:val="5C10372B"/>
    <w:rsid w:val="5C1049B7"/>
    <w:rsid w:val="5C14628F"/>
    <w:rsid w:val="5C176DA1"/>
    <w:rsid w:val="5C186C83"/>
    <w:rsid w:val="5C190436"/>
    <w:rsid w:val="5C1A24BE"/>
    <w:rsid w:val="5C1A497B"/>
    <w:rsid w:val="5C1A4A6A"/>
    <w:rsid w:val="5C1B4F72"/>
    <w:rsid w:val="5C1C36E6"/>
    <w:rsid w:val="5C1D17B5"/>
    <w:rsid w:val="5C1D55FB"/>
    <w:rsid w:val="5C1E0247"/>
    <w:rsid w:val="5C1E48CB"/>
    <w:rsid w:val="5C1F17B5"/>
    <w:rsid w:val="5C1F3637"/>
    <w:rsid w:val="5C20481F"/>
    <w:rsid w:val="5C250A68"/>
    <w:rsid w:val="5C260B14"/>
    <w:rsid w:val="5C2646A0"/>
    <w:rsid w:val="5C2869E8"/>
    <w:rsid w:val="5C296BEB"/>
    <w:rsid w:val="5C2A6C04"/>
    <w:rsid w:val="5C2B7692"/>
    <w:rsid w:val="5C2C60BD"/>
    <w:rsid w:val="5C2D02B8"/>
    <w:rsid w:val="5C2E2250"/>
    <w:rsid w:val="5C2F0079"/>
    <w:rsid w:val="5C30202A"/>
    <w:rsid w:val="5C311D40"/>
    <w:rsid w:val="5C321615"/>
    <w:rsid w:val="5C3323ED"/>
    <w:rsid w:val="5C335809"/>
    <w:rsid w:val="5C337099"/>
    <w:rsid w:val="5C342162"/>
    <w:rsid w:val="5C3435DF"/>
    <w:rsid w:val="5C3526BF"/>
    <w:rsid w:val="5C355D31"/>
    <w:rsid w:val="5C364532"/>
    <w:rsid w:val="5C3679EE"/>
    <w:rsid w:val="5C374985"/>
    <w:rsid w:val="5C380CC4"/>
    <w:rsid w:val="5C387AB0"/>
    <w:rsid w:val="5C3927C9"/>
    <w:rsid w:val="5C3A46E2"/>
    <w:rsid w:val="5C3B767E"/>
    <w:rsid w:val="5C3D63A0"/>
    <w:rsid w:val="5C3E1D94"/>
    <w:rsid w:val="5C4001D5"/>
    <w:rsid w:val="5C42401B"/>
    <w:rsid w:val="5C4307BC"/>
    <w:rsid w:val="5C441A74"/>
    <w:rsid w:val="5C4715B6"/>
    <w:rsid w:val="5C473312"/>
    <w:rsid w:val="5C48030E"/>
    <w:rsid w:val="5C480E38"/>
    <w:rsid w:val="5C48368A"/>
    <w:rsid w:val="5C484BDD"/>
    <w:rsid w:val="5C4B0E50"/>
    <w:rsid w:val="5C4C2A82"/>
    <w:rsid w:val="5C4D774E"/>
    <w:rsid w:val="5C4E7CAF"/>
    <w:rsid w:val="5C4F0418"/>
    <w:rsid w:val="5C4F54D6"/>
    <w:rsid w:val="5C50155C"/>
    <w:rsid w:val="5C50286B"/>
    <w:rsid w:val="5C514565"/>
    <w:rsid w:val="5C537F09"/>
    <w:rsid w:val="5C5450F5"/>
    <w:rsid w:val="5C550855"/>
    <w:rsid w:val="5C55596B"/>
    <w:rsid w:val="5C56112B"/>
    <w:rsid w:val="5C566C78"/>
    <w:rsid w:val="5C566F3E"/>
    <w:rsid w:val="5C590D88"/>
    <w:rsid w:val="5C5A019C"/>
    <w:rsid w:val="5C5A04C7"/>
    <w:rsid w:val="5C5B3FEB"/>
    <w:rsid w:val="5C5B4B0B"/>
    <w:rsid w:val="5C5D48E3"/>
    <w:rsid w:val="5C645C72"/>
    <w:rsid w:val="5C653798"/>
    <w:rsid w:val="5C6544C1"/>
    <w:rsid w:val="5C655F2A"/>
    <w:rsid w:val="5C6914DA"/>
    <w:rsid w:val="5C694ED3"/>
    <w:rsid w:val="5C6A5252"/>
    <w:rsid w:val="5C6B34A4"/>
    <w:rsid w:val="5C6F2F52"/>
    <w:rsid w:val="5C6F7C12"/>
    <w:rsid w:val="5C7052C2"/>
    <w:rsid w:val="5C71038F"/>
    <w:rsid w:val="5C733E6A"/>
    <w:rsid w:val="5C7530A6"/>
    <w:rsid w:val="5C753F23"/>
    <w:rsid w:val="5C7559A0"/>
    <w:rsid w:val="5C7774FE"/>
    <w:rsid w:val="5C790656"/>
    <w:rsid w:val="5C7963A7"/>
    <w:rsid w:val="5C796FAE"/>
    <w:rsid w:val="5C797243"/>
    <w:rsid w:val="5C7A36E7"/>
    <w:rsid w:val="5C7C2486"/>
    <w:rsid w:val="5C7F4EAC"/>
    <w:rsid w:val="5C7F60F7"/>
    <w:rsid w:val="5C7F72A3"/>
    <w:rsid w:val="5C802FB6"/>
    <w:rsid w:val="5C807FD4"/>
    <w:rsid w:val="5C851DF6"/>
    <w:rsid w:val="5C862014"/>
    <w:rsid w:val="5C86202D"/>
    <w:rsid w:val="5C891B7C"/>
    <w:rsid w:val="5C89392A"/>
    <w:rsid w:val="5C89409C"/>
    <w:rsid w:val="5C894690"/>
    <w:rsid w:val="5C8B510D"/>
    <w:rsid w:val="5C8F4FCB"/>
    <w:rsid w:val="5C8F715E"/>
    <w:rsid w:val="5C9053EA"/>
    <w:rsid w:val="5C907F6B"/>
    <w:rsid w:val="5C920095"/>
    <w:rsid w:val="5C921E67"/>
    <w:rsid w:val="5C922130"/>
    <w:rsid w:val="5C922CA1"/>
    <w:rsid w:val="5C927032"/>
    <w:rsid w:val="5C942A1D"/>
    <w:rsid w:val="5C953087"/>
    <w:rsid w:val="5C954DB9"/>
    <w:rsid w:val="5C9723ED"/>
    <w:rsid w:val="5C976FAB"/>
    <w:rsid w:val="5C990788"/>
    <w:rsid w:val="5C9D2F32"/>
    <w:rsid w:val="5C9D6422"/>
    <w:rsid w:val="5C9E3955"/>
    <w:rsid w:val="5C9E3CF0"/>
    <w:rsid w:val="5C9F2D5B"/>
    <w:rsid w:val="5C9F483D"/>
    <w:rsid w:val="5C9F7056"/>
    <w:rsid w:val="5CA00639"/>
    <w:rsid w:val="5CA05217"/>
    <w:rsid w:val="5CA13B94"/>
    <w:rsid w:val="5CA24537"/>
    <w:rsid w:val="5CA33E0D"/>
    <w:rsid w:val="5CA36FA7"/>
    <w:rsid w:val="5CA40E56"/>
    <w:rsid w:val="5CA47500"/>
    <w:rsid w:val="5CA5200E"/>
    <w:rsid w:val="5CA63E50"/>
    <w:rsid w:val="5CA644DC"/>
    <w:rsid w:val="5CA733AB"/>
    <w:rsid w:val="5CA756E9"/>
    <w:rsid w:val="5CA8355D"/>
    <w:rsid w:val="5CA94307"/>
    <w:rsid w:val="5CAA55F2"/>
    <w:rsid w:val="5CAA6407"/>
    <w:rsid w:val="5CAE1F2B"/>
    <w:rsid w:val="5CAE3391"/>
    <w:rsid w:val="5CAF23E9"/>
    <w:rsid w:val="5CAF2C65"/>
    <w:rsid w:val="5CAF6152"/>
    <w:rsid w:val="5CB20421"/>
    <w:rsid w:val="5CB251C7"/>
    <w:rsid w:val="5CB25DCD"/>
    <w:rsid w:val="5CB30902"/>
    <w:rsid w:val="5CB309A7"/>
    <w:rsid w:val="5CB31184"/>
    <w:rsid w:val="5CB36B8C"/>
    <w:rsid w:val="5CB57F8D"/>
    <w:rsid w:val="5CB729B4"/>
    <w:rsid w:val="5CB74E54"/>
    <w:rsid w:val="5CB90CAE"/>
    <w:rsid w:val="5CB95BD3"/>
    <w:rsid w:val="5CBC1CDA"/>
    <w:rsid w:val="5CBC24FC"/>
    <w:rsid w:val="5CBE1687"/>
    <w:rsid w:val="5CBF3634"/>
    <w:rsid w:val="5CBF558E"/>
    <w:rsid w:val="5CC0462F"/>
    <w:rsid w:val="5CC20BEA"/>
    <w:rsid w:val="5CC215DB"/>
    <w:rsid w:val="5CC35DB1"/>
    <w:rsid w:val="5CC42BB4"/>
    <w:rsid w:val="5CC52935"/>
    <w:rsid w:val="5CC67BF9"/>
    <w:rsid w:val="5CC94D93"/>
    <w:rsid w:val="5CCA06F9"/>
    <w:rsid w:val="5CCA26AB"/>
    <w:rsid w:val="5CCA2A0F"/>
    <w:rsid w:val="5CCA4D45"/>
    <w:rsid w:val="5CCB18FE"/>
    <w:rsid w:val="5CCB282F"/>
    <w:rsid w:val="5CCC6F88"/>
    <w:rsid w:val="5CCD39C6"/>
    <w:rsid w:val="5CCD3F6D"/>
    <w:rsid w:val="5CCD7601"/>
    <w:rsid w:val="5CCD7CBB"/>
    <w:rsid w:val="5CCF447F"/>
    <w:rsid w:val="5CD13F5C"/>
    <w:rsid w:val="5CD151B9"/>
    <w:rsid w:val="5CD56326"/>
    <w:rsid w:val="5CD56B70"/>
    <w:rsid w:val="5CD8040E"/>
    <w:rsid w:val="5CD947B2"/>
    <w:rsid w:val="5CD951D5"/>
    <w:rsid w:val="5CDA0494"/>
    <w:rsid w:val="5CDB3A5A"/>
    <w:rsid w:val="5CDC30C5"/>
    <w:rsid w:val="5CDC32CB"/>
    <w:rsid w:val="5CDC6150"/>
    <w:rsid w:val="5CDC749D"/>
    <w:rsid w:val="5CDF79EE"/>
    <w:rsid w:val="5CE04A5F"/>
    <w:rsid w:val="5CE13766"/>
    <w:rsid w:val="5CE172C2"/>
    <w:rsid w:val="5CE4263E"/>
    <w:rsid w:val="5CE45005"/>
    <w:rsid w:val="5CE7380B"/>
    <w:rsid w:val="5CE76EFF"/>
    <w:rsid w:val="5CE83461"/>
    <w:rsid w:val="5CE9261B"/>
    <w:rsid w:val="5CEA2902"/>
    <w:rsid w:val="5CEA2F88"/>
    <w:rsid w:val="5CEA5519"/>
    <w:rsid w:val="5CEA65A2"/>
    <w:rsid w:val="5CF039A9"/>
    <w:rsid w:val="5CF27C41"/>
    <w:rsid w:val="5CF3279B"/>
    <w:rsid w:val="5CF52D6E"/>
    <w:rsid w:val="5CF60894"/>
    <w:rsid w:val="5CF73DB7"/>
    <w:rsid w:val="5CF7587D"/>
    <w:rsid w:val="5CF77F7E"/>
    <w:rsid w:val="5CF938D1"/>
    <w:rsid w:val="5CF93C5C"/>
    <w:rsid w:val="5CF94C07"/>
    <w:rsid w:val="5CF95962"/>
    <w:rsid w:val="5CFF708F"/>
    <w:rsid w:val="5D016DC8"/>
    <w:rsid w:val="5D041D1A"/>
    <w:rsid w:val="5D050364"/>
    <w:rsid w:val="5D050CBA"/>
    <w:rsid w:val="5D06268F"/>
    <w:rsid w:val="5D06720B"/>
    <w:rsid w:val="5D07484F"/>
    <w:rsid w:val="5D083982"/>
    <w:rsid w:val="5D095CCB"/>
    <w:rsid w:val="5D096819"/>
    <w:rsid w:val="5D0C7971"/>
    <w:rsid w:val="5D0E5BDE"/>
    <w:rsid w:val="5D101956"/>
    <w:rsid w:val="5D110289"/>
    <w:rsid w:val="5D121B72"/>
    <w:rsid w:val="5D1232BB"/>
    <w:rsid w:val="5D160688"/>
    <w:rsid w:val="5D192F00"/>
    <w:rsid w:val="5D19328E"/>
    <w:rsid w:val="5D193F9A"/>
    <w:rsid w:val="5D19511D"/>
    <w:rsid w:val="5D1A51AD"/>
    <w:rsid w:val="5D1B22D9"/>
    <w:rsid w:val="5D1B3B07"/>
    <w:rsid w:val="5D1B55D7"/>
    <w:rsid w:val="5D1C3928"/>
    <w:rsid w:val="5D1D62C3"/>
    <w:rsid w:val="5D1D7AE9"/>
    <w:rsid w:val="5D1E0517"/>
    <w:rsid w:val="5D1F657A"/>
    <w:rsid w:val="5D20370D"/>
    <w:rsid w:val="5D223FE5"/>
    <w:rsid w:val="5D225ADD"/>
    <w:rsid w:val="5D2329C6"/>
    <w:rsid w:val="5D2435F2"/>
    <w:rsid w:val="5D25603C"/>
    <w:rsid w:val="5D2608C3"/>
    <w:rsid w:val="5D2618E7"/>
    <w:rsid w:val="5D26561D"/>
    <w:rsid w:val="5D2827D6"/>
    <w:rsid w:val="5D295176"/>
    <w:rsid w:val="5D2A2868"/>
    <w:rsid w:val="5D2B275D"/>
    <w:rsid w:val="5D2B3036"/>
    <w:rsid w:val="5D2B5163"/>
    <w:rsid w:val="5D2C3FDA"/>
    <w:rsid w:val="5D2D14BC"/>
    <w:rsid w:val="5D2E44D2"/>
    <w:rsid w:val="5D2E5B34"/>
    <w:rsid w:val="5D302E54"/>
    <w:rsid w:val="5D311666"/>
    <w:rsid w:val="5D3220B8"/>
    <w:rsid w:val="5D3250A1"/>
    <w:rsid w:val="5D331ED7"/>
    <w:rsid w:val="5D336818"/>
    <w:rsid w:val="5D346774"/>
    <w:rsid w:val="5D352EBF"/>
    <w:rsid w:val="5D386A29"/>
    <w:rsid w:val="5D3930FC"/>
    <w:rsid w:val="5D393589"/>
    <w:rsid w:val="5D3C1310"/>
    <w:rsid w:val="5D3C5F7F"/>
    <w:rsid w:val="5D3C6BEF"/>
    <w:rsid w:val="5D3F4259"/>
    <w:rsid w:val="5D3F66DF"/>
    <w:rsid w:val="5D412E86"/>
    <w:rsid w:val="5D417D61"/>
    <w:rsid w:val="5D424D21"/>
    <w:rsid w:val="5D4402EA"/>
    <w:rsid w:val="5D454363"/>
    <w:rsid w:val="5D456602"/>
    <w:rsid w:val="5D46181B"/>
    <w:rsid w:val="5D467089"/>
    <w:rsid w:val="5D470628"/>
    <w:rsid w:val="5D474505"/>
    <w:rsid w:val="5D4810F0"/>
    <w:rsid w:val="5D481D87"/>
    <w:rsid w:val="5D484C15"/>
    <w:rsid w:val="5D486FF6"/>
    <w:rsid w:val="5D4A4816"/>
    <w:rsid w:val="5D4B7C1F"/>
    <w:rsid w:val="5D4C06C8"/>
    <w:rsid w:val="5D4D2BAA"/>
    <w:rsid w:val="5D4D59D5"/>
    <w:rsid w:val="5D4D6706"/>
    <w:rsid w:val="5D4D7738"/>
    <w:rsid w:val="5D4E646B"/>
    <w:rsid w:val="5D4E658A"/>
    <w:rsid w:val="5D4E6620"/>
    <w:rsid w:val="5D4F1F74"/>
    <w:rsid w:val="5D4F4CD8"/>
    <w:rsid w:val="5D4F626D"/>
    <w:rsid w:val="5D5020B4"/>
    <w:rsid w:val="5D51217F"/>
    <w:rsid w:val="5D512E57"/>
    <w:rsid w:val="5D521DF5"/>
    <w:rsid w:val="5D530B60"/>
    <w:rsid w:val="5D532514"/>
    <w:rsid w:val="5D534554"/>
    <w:rsid w:val="5D536CDE"/>
    <w:rsid w:val="5D54237B"/>
    <w:rsid w:val="5D552165"/>
    <w:rsid w:val="5D552D03"/>
    <w:rsid w:val="5D564136"/>
    <w:rsid w:val="5D571475"/>
    <w:rsid w:val="5D5850AB"/>
    <w:rsid w:val="5D594514"/>
    <w:rsid w:val="5D5A0338"/>
    <w:rsid w:val="5D5A52C7"/>
    <w:rsid w:val="5D5C0005"/>
    <w:rsid w:val="5D5C19F4"/>
    <w:rsid w:val="5D5C2B8C"/>
    <w:rsid w:val="5D5D33DD"/>
    <w:rsid w:val="5D607A42"/>
    <w:rsid w:val="5D613A1E"/>
    <w:rsid w:val="5D616655"/>
    <w:rsid w:val="5D63417B"/>
    <w:rsid w:val="5D654B38"/>
    <w:rsid w:val="5D6578A6"/>
    <w:rsid w:val="5D665A1A"/>
    <w:rsid w:val="5D680C4A"/>
    <w:rsid w:val="5D692007"/>
    <w:rsid w:val="5D692DEF"/>
    <w:rsid w:val="5D6A382A"/>
    <w:rsid w:val="5D6B40DD"/>
    <w:rsid w:val="5D6D40C4"/>
    <w:rsid w:val="5D6F5128"/>
    <w:rsid w:val="5D70084E"/>
    <w:rsid w:val="5D7011A9"/>
    <w:rsid w:val="5D711621"/>
    <w:rsid w:val="5D740C7F"/>
    <w:rsid w:val="5D747DE6"/>
    <w:rsid w:val="5D75167A"/>
    <w:rsid w:val="5D7652B4"/>
    <w:rsid w:val="5D77335B"/>
    <w:rsid w:val="5D7843A7"/>
    <w:rsid w:val="5D7967D1"/>
    <w:rsid w:val="5D7A14C5"/>
    <w:rsid w:val="5D7A5376"/>
    <w:rsid w:val="5D7B1C56"/>
    <w:rsid w:val="5D7B6470"/>
    <w:rsid w:val="5D810AA5"/>
    <w:rsid w:val="5D8244FC"/>
    <w:rsid w:val="5D824DF8"/>
    <w:rsid w:val="5D8334A3"/>
    <w:rsid w:val="5D865BF8"/>
    <w:rsid w:val="5D885990"/>
    <w:rsid w:val="5D89252A"/>
    <w:rsid w:val="5D893F99"/>
    <w:rsid w:val="5D8C1DE7"/>
    <w:rsid w:val="5D8D50D5"/>
    <w:rsid w:val="5D8E1363"/>
    <w:rsid w:val="5D8E5AFC"/>
    <w:rsid w:val="5D8F4281"/>
    <w:rsid w:val="5D92093B"/>
    <w:rsid w:val="5D95465C"/>
    <w:rsid w:val="5D95718C"/>
    <w:rsid w:val="5D9616E8"/>
    <w:rsid w:val="5D962247"/>
    <w:rsid w:val="5D963448"/>
    <w:rsid w:val="5D964551"/>
    <w:rsid w:val="5D97130E"/>
    <w:rsid w:val="5D9840A6"/>
    <w:rsid w:val="5D992F13"/>
    <w:rsid w:val="5D9953D6"/>
    <w:rsid w:val="5D99795B"/>
    <w:rsid w:val="5D9A0BAF"/>
    <w:rsid w:val="5D9A50C1"/>
    <w:rsid w:val="5D9B7CF5"/>
    <w:rsid w:val="5D9C0E1E"/>
    <w:rsid w:val="5D9C768D"/>
    <w:rsid w:val="5D9C7F95"/>
    <w:rsid w:val="5D9E3405"/>
    <w:rsid w:val="5D9E6DE4"/>
    <w:rsid w:val="5D9F5033"/>
    <w:rsid w:val="5DA05B70"/>
    <w:rsid w:val="5DA23243"/>
    <w:rsid w:val="5DA31283"/>
    <w:rsid w:val="5DA32173"/>
    <w:rsid w:val="5DA32F1B"/>
    <w:rsid w:val="5DA622E2"/>
    <w:rsid w:val="5DA710C3"/>
    <w:rsid w:val="5DA745E2"/>
    <w:rsid w:val="5DA80828"/>
    <w:rsid w:val="5DA831CA"/>
    <w:rsid w:val="5DA9282C"/>
    <w:rsid w:val="5DA94E5F"/>
    <w:rsid w:val="5DAA1DAA"/>
    <w:rsid w:val="5DAA3B58"/>
    <w:rsid w:val="5DAA5696"/>
    <w:rsid w:val="5DAA5C90"/>
    <w:rsid w:val="5DAB49FC"/>
    <w:rsid w:val="5DAF116F"/>
    <w:rsid w:val="5DAF5613"/>
    <w:rsid w:val="5DAF6297"/>
    <w:rsid w:val="5DB0643F"/>
    <w:rsid w:val="5DB154F6"/>
    <w:rsid w:val="5DB16BFE"/>
    <w:rsid w:val="5DB26EB1"/>
    <w:rsid w:val="5DB74225"/>
    <w:rsid w:val="5DB821D0"/>
    <w:rsid w:val="5DB96EB6"/>
    <w:rsid w:val="5DBA1CC4"/>
    <w:rsid w:val="5DBB6E06"/>
    <w:rsid w:val="5DBB7176"/>
    <w:rsid w:val="5DBC27DA"/>
    <w:rsid w:val="5DBD0148"/>
    <w:rsid w:val="5DBE3F36"/>
    <w:rsid w:val="5DBF6BBD"/>
    <w:rsid w:val="5DC02587"/>
    <w:rsid w:val="5DC1403E"/>
    <w:rsid w:val="5DC223F2"/>
    <w:rsid w:val="5DC26F2A"/>
    <w:rsid w:val="5DC34C1A"/>
    <w:rsid w:val="5DC35411"/>
    <w:rsid w:val="5DC50538"/>
    <w:rsid w:val="5DC54DA8"/>
    <w:rsid w:val="5DC7295C"/>
    <w:rsid w:val="5DC758F6"/>
    <w:rsid w:val="5DC82230"/>
    <w:rsid w:val="5DC925C7"/>
    <w:rsid w:val="5DCC201D"/>
    <w:rsid w:val="5DCF35BF"/>
    <w:rsid w:val="5DCF390D"/>
    <w:rsid w:val="5DCF5D91"/>
    <w:rsid w:val="5DCF61CE"/>
    <w:rsid w:val="5DD16FC5"/>
    <w:rsid w:val="5DD241F2"/>
    <w:rsid w:val="5DD32F2D"/>
    <w:rsid w:val="5DD41E00"/>
    <w:rsid w:val="5DD86458"/>
    <w:rsid w:val="5DD92690"/>
    <w:rsid w:val="5DDA107D"/>
    <w:rsid w:val="5DDB21D8"/>
    <w:rsid w:val="5DDD5CE0"/>
    <w:rsid w:val="5DDD5F00"/>
    <w:rsid w:val="5DDD68E0"/>
    <w:rsid w:val="5DDE43D7"/>
    <w:rsid w:val="5DDF5B1F"/>
    <w:rsid w:val="5DE03A1E"/>
    <w:rsid w:val="5DE04E73"/>
    <w:rsid w:val="5DE108B0"/>
    <w:rsid w:val="5DE11378"/>
    <w:rsid w:val="5DE16234"/>
    <w:rsid w:val="5DE30F49"/>
    <w:rsid w:val="5DE45FCB"/>
    <w:rsid w:val="5DE50D22"/>
    <w:rsid w:val="5DE80B25"/>
    <w:rsid w:val="5DE853C9"/>
    <w:rsid w:val="5DE92E4D"/>
    <w:rsid w:val="5DEA05AB"/>
    <w:rsid w:val="5DEB4069"/>
    <w:rsid w:val="5DEB560A"/>
    <w:rsid w:val="5DEB63BE"/>
    <w:rsid w:val="5DEC1935"/>
    <w:rsid w:val="5DEC1E56"/>
    <w:rsid w:val="5DED1414"/>
    <w:rsid w:val="5DED1C97"/>
    <w:rsid w:val="5DEE7C68"/>
    <w:rsid w:val="5DEF2CAC"/>
    <w:rsid w:val="5DEF3FEB"/>
    <w:rsid w:val="5DF016D2"/>
    <w:rsid w:val="5DF20031"/>
    <w:rsid w:val="5DF31E2A"/>
    <w:rsid w:val="5DF6136F"/>
    <w:rsid w:val="5DF72A8C"/>
    <w:rsid w:val="5DF75C41"/>
    <w:rsid w:val="5DF77B69"/>
    <w:rsid w:val="5DF919EB"/>
    <w:rsid w:val="5DF93AC2"/>
    <w:rsid w:val="5DFB727E"/>
    <w:rsid w:val="5DFB79BB"/>
    <w:rsid w:val="5DFC012C"/>
    <w:rsid w:val="5DFC3D07"/>
    <w:rsid w:val="5DFC5582"/>
    <w:rsid w:val="5DFD09F6"/>
    <w:rsid w:val="5DFD39BB"/>
    <w:rsid w:val="5DFE15E4"/>
    <w:rsid w:val="5E0035AB"/>
    <w:rsid w:val="5E015239"/>
    <w:rsid w:val="5E0222FE"/>
    <w:rsid w:val="5E04445F"/>
    <w:rsid w:val="5E054F47"/>
    <w:rsid w:val="5E064D03"/>
    <w:rsid w:val="5E07160A"/>
    <w:rsid w:val="5E091E80"/>
    <w:rsid w:val="5E0C2A7C"/>
    <w:rsid w:val="5E0C56F7"/>
    <w:rsid w:val="5E0D3A75"/>
    <w:rsid w:val="5E0E7CA3"/>
    <w:rsid w:val="5E0F330D"/>
    <w:rsid w:val="5E114B41"/>
    <w:rsid w:val="5E132F54"/>
    <w:rsid w:val="5E135FC4"/>
    <w:rsid w:val="5E143E3D"/>
    <w:rsid w:val="5E154F26"/>
    <w:rsid w:val="5E17190F"/>
    <w:rsid w:val="5E172ECF"/>
    <w:rsid w:val="5E1843AB"/>
    <w:rsid w:val="5E196F30"/>
    <w:rsid w:val="5E1A1D32"/>
    <w:rsid w:val="5E1A4FFD"/>
    <w:rsid w:val="5E1B0C5E"/>
    <w:rsid w:val="5E1C51EC"/>
    <w:rsid w:val="5E1E3116"/>
    <w:rsid w:val="5E2002BE"/>
    <w:rsid w:val="5E224037"/>
    <w:rsid w:val="5E232A1E"/>
    <w:rsid w:val="5E251431"/>
    <w:rsid w:val="5E257683"/>
    <w:rsid w:val="5E262FEA"/>
    <w:rsid w:val="5E26485E"/>
    <w:rsid w:val="5E274F00"/>
    <w:rsid w:val="5E2751A9"/>
    <w:rsid w:val="5E281679"/>
    <w:rsid w:val="5E285F9C"/>
    <w:rsid w:val="5E2A53B4"/>
    <w:rsid w:val="5E2A6A47"/>
    <w:rsid w:val="5E2C0A8E"/>
    <w:rsid w:val="5E2C12A7"/>
    <w:rsid w:val="5E2C3EFA"/>
    <w:rsid w:val="5E2C52B3"/>
    <w:rsid w:val="5E2C5CFF"/>
    <w:rsid w:val="5E2D1468"/>
    <w:rsid w:val="5E2E1600"/>
    <w:rsid w:val="5E2E21CB"/>
    <w:rsid w:val="5E2E21D2"/>
    <w:rsid w:val="5E2E777E"/>
    <w:rsid w:val="5E2F2ABC"/>
    <w:rsid w:val="5E300145"/>
    <w:rsid w:val="5E302281"/>
    <w:rsid w:val="5E315A02"/>
    <w:rsid w:val="5E324032"/>
    <w:rsid w:val="5E331C41"/>
    <w:rsid w:val="5E331DA0"/>
    <w:rsid w:val="5E3363A5"/>
    <w:rsid w:val="5E340CAE"/>
    <w:rsid w:val="5E3478C6"/>
    <w:rsid w:val="5E355D93"/>
    <w:rsid w:val="5E355E15"/>
    <w:rsid w:val="5E357F3D"/>
    <w:rsid w:val="5E381EE4"/>
    <w:rsid w:val="5E3963A3"/>
    <w:rsid w:val="5E3A04E9"/>
    <w:rsid w:val="5E3A5310"/>
    <w:rsid w:val="5E3B5963"/>
    <w:rsid w:val="5E3C6FA9"/>
    <w:rsid w:val="5E3D2E75"/>
    <w:rsid w:val="5E3E0126"/>
    <w:rsid w:val="5E3E6996"/>
    <w:rsid w:val="5E3F1A16"/>
    <w:rsid w:val="5E3F64CF"/>
    <w:rsid w:val="5E40270F"/>
    <w:rsid w:val="5E40706E"/>
    <w:rsid w:val="5E4162A8"/>
    <w:rsid w:val="5E416C73"/>
    <w:rsid w:val="5E42042E"/>
    <w:rsid w:val="5E424583"/>
    <w:rsid w:val="5E431865"/>
    <w:rsid w:val="5E443EFF"/>
    <w:rsid w:val="5E4465B9"/>
    <w:rsid w:val="5E446D0A"/>
    <w:rsid w:val="5E453165"/>
    <w:rsid w:val="5E453280"/>
    <w:rsid w:val="5E453378"/>
    <w:rsid w:val="5E453881"/>
    <w:rsid w:val="5E45562A"/>
    <w:rsid w:val="5E4618CD"/>
    <w:rsid w:val="5E4618E9"/>
    <w:rsid w:val="5E4647B1"/>
    <w:rsid w:val="5E4A106B"/>
    <w:rsid w:val="5E4A3FF3"/>
    <w:rsid w:val="5E4B7637"/>
    <w:rsid w:val="5E51602D"/>
    <w:rsid w:val="5E541124"/>
    <w:rsid w:val="5E5534AE"/>
    <w:rsid w:val="5E55500A"/>
    <w:rsid w:val="5E57565C"/>
    <w:rsid w:val="5E581806"/>
    <w:rsid w:val="5E591AF7"/>
    <w:rsid w:val="5E5A1224"/>
    <w:rsid w:val="5E5A37D0"/>
    <w:rsid w:val="5E5B12F6"/>
    <w:rsid w:val="5E5C1E61"/>
    <w:rsid w:val="5E5D116A"/>
    <w:rsid w:val="5E5D266F"/>
    <w:rsid w:val="5E5E2B95"/>
    <w:rsid w:val="5E5E7818"/>
    <w:rsid w:val="5E5F029D"/>
    <w:rsid w:val="5E5F7CB1"/>
    <w:rsid w:val="5E60443C"/>
    <w:rsid w:val="5E62130A"/>
    <w:rsid w:val="5E622BAC"/>
    <w:rsid w:val="5E624433"/>
    <w:rsid w:val="5E654E72"/>
    <w:rsid w:val="5E681499"/>
    <w:rsid w:val="5E6A09FF"/>
    <w:rsid w:val="5E6C0C0A"/>
    <w:rsid w:val="5E6C5992"/>
    <w:rsid w:val="5E6D49B9"/>
    <w:rsid w:val="5E6D5E12"/>
    <w:rsid w:val="5E6F213A"/>
    <w:rsid w:val="5E704B52"/>
    <w:rsid w:val="5E7128C8"/>
    <w:rsid w:val="5E721C4E"/>
    <w:rsid w:val="5E727476"/>
    <w:rsid w:val="5E734892"/>
    <w:rsid w:val="5E745F14"/>
    <w:rsid w:val="5E751A59"/>
    <w:rsid w:val="5E765536"/>
    <w:rsid w:val="5E766130"/>
    <w:rsid w:val="5E79352B"/>
    <w:rsid w:val="5E7A6E94"/>
    <w:rsid w:val="5E7C61CE"/>
    <w:rsid w:val="5E7D0711"/>
    <w:rsid w:val="5E7D7BB2"/>
    <w:rsid w:val="5E7E704B"/>
    <w:rsid w:val="5E8167DF"/>
    <w:rsid w:val="5E816CC5"/>
    <w:rsid w:val="5E8212D4"/>
    <w:rsid w:val="5E8240F7"/>
    <w:rsid w:val="5E825682"/>
    <w:rsid w:val="5E846D2C"/>
    <w:rsid w:val="5E867524"/>
    <w:rsid w:val="5E884785"/>
    <w:rsid w:val="5E8922C5"/>
    <w:rsid w:val="5E8936EE"/>
    <w:rsid w:val="5E8A16E8"/>
    <w:rsid w:val="5E8B1BDC"/>
    <w:rsid w:val="5E8B32F2"/>
    <w:rsid w:val="5E8B5546"/>
    <w:rsid w:val="5E8B6B8D"/>
    <w:rsid w:val="5E8C0015"/>
    <w:rsid w:val="5E8C31B7"/>
    <w:rsid w:val="5E8C345B"/>
    <w:rsid w:val="5E8D2A1A"/>
    <w:rsid w:val="5E8D41DC"/>
    <w:rsid w:val="5E8D7A75"/>
    <w:rsid w:val="5E8E09B4"/>
    <w:rsid w:val="5E8E1597"/>
    <w:rsid w:val="5E8F5914"/>
    <w:rsid w:val="5E9143CD"/>
    <w:rsid w:val="5E914D18"/>
    <w:rsid w:val="5E92366A"/>
    <w:rsid w:val="5E927703"/>
    <w:rsid w:val="5E944DA9"/>
    <w:rsid w:val="5E9640F1"/>
    <w:rsid w:val="5E97381C"/>
    <w:rsid w:val="5E985C63"/>
    <w:rsid w:val="5E9B4789"/>
    <w:rsid w:val="5E9C249A"/>
    <w:rsid w:val="5E9C324C"/>
    <w:rsid w:val="5E9C5FA3"/>
    <w:rsid w:val="5E9D669B"/>
    <w:rsid w:val="5E9E44A2"/>
    <w:rsid w:val="5E9E7D4A"/>
    <w:rsid w:val="5EA0105A"/>
    <w:rsid w:val="5EA20AB9"/>
    <w:rsid w:val="5EA23ECB"/>
    <w:rsid w:val="5EA343E7"/>
    <w:rsid w:val="5EA41C2B"/>
    <w:rsid w:val="5EA4274E"/>
    <w:rsid w:val="5EA905CB"/>
    <w:rsid w:val="5EA909D5"/>
    <w:rsid w:val="5EA9255B"/>
    <w:rsid w:val="5EAB13CA"/>
    <w:rsid w:val="5EAB2642"/>
    <w:rsid w:val="5EAB402C"/>
    <w:rsid w:val="5EAC19C1"/>
    <w:rsid w:val="5EAC3900"/>
    <w:rsid w:val="5EAD0B0A"/>
    <w:rsid w:val="5EAF4CB5"/>
    <w:rsid w:val="5EB20151"/>
    <w:rsid w:val="5EB24B3F"/>
    <w:rsid w:val="5EB30E78"/>
    <w:rsid w:val="5EB31E59"/>
    <w:rsid w:val="5EB354C3"/>
    <w:rsid w:val="5EB51482"/>
    <w:rsid w:val="5EB56C59"/>
    <w:rsid w:val="5EB60C0F"/>
    <w:rsid w:val="5EB638CC"/>
    <w:rsid w:val="5EB91733"/>
    <w:rsid w:val="5EB93CE1"/>
    <w:rsid w:val="5EB95A4C"/>
    <w:rsid w:val="5EBC250E"/>
    <w:rsid w:val="5EBD7446"/>
    <w:rsid w:val="5EBE1343"/>
    <w:rsid w:val="5EBE461E"/>
    <w:rsid w:val="5EBF4268"/>
    <w:rsid w:val="5EC12383"/>
    <w:rsid w:val="5EC200EC"/>
    <w:rsid w:val="5EC618CD"/>
    <w:rsid w:val="5EC61989"/>
    <w:rsid w:val="5EC64B44"/>
    <w:rsid w:val="5EC72ACE"/>
    <w:rsid w:val="5EC92914"/>
    <w:rsid w:val="5EC938BF"/>
    <w:rsid w:val="5ECB188B"/>
    <w:rsid w:val="5ECC6E77"/>
    <w:rsid w:val="5ECC7E12"/>
    <w:rsid w:val="5ECD288C"/>
    <w:rsid w:val="5ECF37F6"/>
    <w:rsid w:val="5ED014C1"/>
    <w:rsid w:val="5ED0563F"/>
    <w:rsid w:val="5ED12224"/>
    <w:rsid w:val="5ED2337B"/>
    <w:rsid w:val="5ED33F50"/>
    <w:rsid w:val="5ED60902"/>
    <w:rsid w:val="5ED635E0"/>
    <w:rsid w:val="5ED750F1"/>
    <w:rsid w:val="5ED907F8"/>
    <w:rsid w:val="5EDA0D81"/>
    <w:rsid w:val="5EDB315D"/>
    <w:rsid w:val="5EDB4812"/>
    <w:rsid w:val="5EDC61CE"/>
    <w:rsid w:val="5EDC6AD0"/>
    <w:rsid w:val="5EDD1299"/>
    <w:rsid w:val="5EDE6AA4"/>
    <w:rsid w:val="5EDF082A"/>
    <w:rsid w:val="5EE026B8"/>
    <w:rsid w:val="5EE040CD"/>
    <w:rsid w:val="5EE161F3"/>
    <w:rsid w:val="5EE20E9C"/>
    <w:rsid w:val="5EE214D2"/>
    <w:rsid w:val="5EE31948"/>
    <w:rsid w:val="5EE32277"/>
    <w:rsid w:val="5EE32806"/>
    <w:rsid w:val="5EE41FF6"/>
    <w:rsid w:val="5EE47C66"/>
    <w:rsid w:val="5EE60733"/>
    <w:rsid w:val="5EEA563F"/>
    <w:rsid w:val="5EEB197A"/>
    <w:rsid w:val="5EEB4220"/>
    <w:rsid w:val="5EEB532D"/>
    <w:rsid w:val="5EEC317E"/>
    <w:rsid w:val="5EED28C1"/>
    <w:rsid w:val="5EEE7526"/>
    <w:rsid w:val="5EEE7865"/>
    <w:rsid w:val="5EEF4269"/>
    <w:rsid w:val="5EF0469A"/>
    <w:rsid w:val="5EF16819"/>
    <w:rsid w:val="5EF55450"/>
    <w:rsid w:val="5EF56809"/>
    <w:rsid w:val="5EF70A55"/>
    <w:rsid w:val="5EF77271"/>
    <w:rsid w:val="5EF904AB"/>
    <w:rsid w:val="5EFA0B0F"/>
    <w:rsid w:val="5EFA7695"/>
    <w:rsid w:val="5EFB09C2"/>
    <w:rsid w:val="5EFD3DD9"/>
    <w:rsid w:val="5EFD4453"/>
    <w:rsid w:val="5F040AC4"/>
    <w:rsid w:val="5F0454EA"/>
    <w:rsid w:val="5F045E54"/>
    <w:rsid w:val="5F046211"/>
    <w:rsid w:val="5F047870"/>
    <w:rsid w:val="5F050979"/>
    <w:rsid w:val="5F053AB2"/>
    <w:rsid w:val="5F080905"/>
    <w:rsid w:val="5F082B32"/>
    <w:rsid w:val="5F08322C"/>
    <w:rsid w:val="5F097566"/>
    <w:rsid w:val="5F0B49DD"/>
    <w:rsid w:val="5F1050FC"/>
    <w:rsid w:val="5F1576F7"/>
    <w:rsid w:val="5F1871E8"/>
    <w:rsid w:val="5F187EDB"/>
    <w:rsid w:val="5F1A2F60"/>
    <w:rsid w:val="5F1A4CEF"/>
    <w:rsid w:val="5F1B6780"/>
    <w:rsid w:val="5F1C1942"/>
    <w:rsid w:val="5F1D0764"/>
    <w:rsid w:val="5F1D2524"/>
    <w:rsid w:val="5F1D2B0D"/>
    <w:rsid w:val="5F1E1BAD"/>
    <w:rsid w:val="5F202248"/>
    <w:rsid w:val="5F224B1B"/>
    <w:rsid w:val="5F247488"/>
    <w:rsid w:val="5F257AB4"/>
    <w:rsid w:val="5F257D99"/>
    <w:rsid w:val="5F262A24"/>
    <w:rsid w:val="5F265461"/>
    <w:rsid w:val="5F271553"/>
    <w:rsid w:val="5F27742B"/>
    <w:rsid w:val="5F28567D"/>
    <w:rsid w:val="5F294F51"/>
    <w:rsid w:val="5F2A469D"/>
    <w:rsid w:val="5F2B2A77"/>
    <w:rsid w:val="5F2B2AC6"/>
    <w:rsid w:val="5F2C50A2"/>
    <w:rsid w:val="5F2D6227"/>
    <w:rsid w:val="5F2E2B9C"/>
    <w:rsid w:val="5F2E3428"/>
    <w:rsid w:val="5F2F7659"/>
    <w:rsid w:val="5F301C24"/>
    <w:rsid w:val="5F3062DF"/>
    <w:rsid w:val="5F315DBF"/>
    <w:rsid w:val="5F336641"/>
    <w:rsid w:val="5F352762"/>
    <w:rsid w:val="5F354A49"/>
    <w:rsid w:val="5F367EFB"/>
    <w:rsid w:val="5F371E50"/>
    <w:rsid w:val="5F37703F"/>
    <w:rsid w:val="5F387C43"/>
    <w:rsid w:val="5F3A46A4"/>
    <w:rsid w:val="5F3A5BAA"/>
    <w:rsid w:val="5F3B04B3"/>
    <w:rsid w:val="5F3F29C6"/>
    <w:rsid w:val="5F3F65B9"/>
    <w:rsid w:val="5F4019A3"/>
    <w:rsid w:val="5F41229A"/>
    <w:rsid w:val="5F432510"/>
    <w:rsid w:val="5F45061A"/>
    <w:rsid w:val="5F461A13"/>
    <w:rsid w:val="5F467B8C"/>
    <w:rsid w:val="5F481CA4"/>
    <w:rsid w:val="5F4859D0"/>
    <w:rsid w:val="5F486D35"/>
    <w:rsid w:val="5F491F3C"/>
    <w:rsid w:val="5F492843"/>
    <w:rsid w:val="5F4B25D2"/>
    <w:rsid w:val="5F4C43F1"/>
    <w:rsid w:val="5F4C4F82"/>
    <w:rsid w:val="5F4C70B9"/>
    <w:rsid w:val="5F4C7DD5"/>
    <w:rsid w:val="5F4E5ED3"/>
    <w:rsid w:val="5F506A56"/>
    <w:rsid w:val="5F513066"/>
    <w:rsid w:val="5F542102"/>
    <w:rsid w:val="5F546472"/>
    <w:rsid w:val="5F555D46"/>
    <w:rsid w:val="5F561AAA"/>
    <w:rsid w:val="5F563A58"/>
    <w:rsid w:val="5F566BB1"/>
    <w:rsid w:val="5F580348"/>
    <w:rsid w:val="5F597F92"/>
    <w:rsid w:val="5F5A0FFE"/>
    <w:rsid w:val="5F5B5A84"/>
    <w:rsid w:val="5F5C25B3"/>
    <w:rsid w:val="5F5D6745"/>
    <w:rsid w:val="5F5F4B0A"/>
    <w:rsid w:val="5F601649"/>
    <w:rsid w:val="5F603DE5"/>
    <w:rsid w:val="5F610013"/>
    <w:rsid w:val="5F615571"/>
    <w:rsid w:val="5F6159C1"/>
    <w:rsid w:val="5F630463"/>
    <w:rsid w:val="5F6312B7"/>
    <w:rsid w:val="5F643631"/>
    <w:rsid w:val="5F646112"/>
    <w:rsid w:val="5F651A0D"/>
    <w:rsid w:val="5F66316A"/>
    <w:rsid w:val="5F67724A"/>
    <w:rsid w:val="5F693D64"/>
    <w:rsid w:val="5F6965B2"/>
    <w:rsid w:val="5F6B1C1D"/>
    <w:rsid w:val="5F6B3EAF"/>
    <w:rsid w:val="5F6C3D73"/>
    <w:rsid w:val="5F6C4260"/>
    <w:rsid w:val="5F6D12E1"/>
    <w:rsid w:val="5F6E01E1"/>
    <w:rsid w:val="5F6F47EF"/>
    <w:rsid w:val="5F7023AE"/>
    <w:rsid w:val="5F72715B"/>
    <w:rsid w:val="5F7408C2"/>
    <w:rsid w:val="5F7563E8"/>
    <w:rsid w:val="5F760AD8"/>
    <w:rsid w:val="5F775CBC"/>
    <w:rsid w:val="5F79536F"/>
    <w:rsid w:val="5F797C86"/>
    <w:rsid w:val="5F7A0282"/>
    <w:rsid w:val="5F7A5030"/>
    <w:rsid w:val="5F7B1AEF"/>
    <w:rsid w:val="5F7C67F0"/>
    <w:rsid w:val="5F7E34EF"/>
    <w:rsid w:val="5F7E3C71"/>
    <w:rsid w:val="5F7E7B72"/>
    <w:rsid w:val="5F7F2DC3"/>
    <w:rsid w:val="5F802A46"/>
    <w:rsid w:val="5F810880"/>
    <w:rsid w:val="5F812FDF"/>
    <w:rsid w:val="5F840C85"/>
    <w:rsid w:val="5F842FDC"/>
    <w:rsid w:val="5F843F05"/>
    <w:rsid w:val="5F876D52"/>
    <w:rsid w:val="5F8776EE"/>
    <w:rsid w:val="5F8811CD"/>
    <w:rsid w:val="5F887B43"/>
    <w:rsid w:val="5F8959EF"/>
    <w:rsid w:val="5F8A1A6C"/>
    <w:rsid w:val="5F8A1EE4"/>
    <w:rsid w:val="5F8A2976"/>
    <w:rsid w:val="5F8B5BEC"/>
    <w:rsid w:val="5F8C5268"/>
    <w:rsid w:val="5F8C5C51"/>
    <w:rsid w:val="5F8C712D"/>
    <w:rsid w:val="5F8F48E1"/>
    <w:rsid w:val="5F903412"/>
    <w:rsid w:val="5F9218F7"/>
    <w:rsid w:val="5F9254CD"/>
    <w:rsid w:val="5F932F07"/>
    <w:rsid w:val="5F97010C"/>
    <w:rsid w:val="5F9745B0"/>
    <w:rsid w:val="5F983667"/>
    <w:rsid w:val="5F9920D6"/>
    <w:rsid w:val="5F994164"/>
    <w:rsid w:val="5F994D48"/>
    <w:rsid w:val="5F9F7BF6"/>
    <w:rsid w:val="5FA016F1"/>
    <w:rsid w:val="5FA056EA"/>
    <w:rsid w:val="5FA12D39"/>
    <w:rsid w:val="5FA15C38"/>
    <w:rsid w:val="5FA24202"/>
    <w:rsid w:val="5FA25E8E"/>
    <w:rsid w:val="5FA27844"/>
    <w:rsid w:val="5FA3768F"/>
    <w:rsid w:val="5FA411EC"/>
    <w:rsid w:val="5FA509DF"/>
    <w:rsid w:val="5FA6034F"/>
    <w:rsid w:val="5FA666FE"/>
    <w:rsid w:val="5FA72765"/>
    <w:rsid w:val="5FA75BAD"/>
    <w:rsid w:val="5FA77E3C"/>
    <w:rsid w:val="5FAA4B6F"/>
    <w:rsid w:val="5FAC2176"/>
    <w:rsid w:val="5FAC797C"/>
    <w:rsid w:val="5FAF1912"/>
    <w:rsid w:val="5FB02DA0"/>
    <w:rsid w:val="5FB179C8"/>
    <w:rsid w:val="5FB271E2"/>
    <w:rsid w:val="5FB36E1F"/>
    <w:rsid w:val="5FB379EE"/>
    <w:rsid w:val="5FB40DF6"/>
    <w:rsid w:val="5FB46F10"/>
    <w:rsid w:val="5FB53183"/>
    <w:rsid w:val="5FB62BC7"/>
    <w:rsid w:val="5FB648F6"/>
    <w:rsid w:val="5FB679F2"/>
    <w:rsid w:val="5FB70E8A"/>
    <w:rsid w:val="5FB83662"/>
    <w:rsid w:val="5FB83F7E"/>
    <w:rsid w:val="5FBB029F"/>
    <w:rsid w:val="5FBB79FE"/>
    <w:rsid w:val="5FBC3BAA"/>
    <w:rsid w:val="5FBC4017"/>
    <w:rsid w:val="5FBC5DC5"/>
    <w:rsid w:val="5FBD6323"/>
    <w:rsid w:val="5FBF1411"/>
    <w:rsid w:val="5FBF2A7E"/>
    <w:rsid w:val="5FC21CC4"/>
    <w:rsid w:val="5FC34E11"/>
    <w:rsid w:val="5FC558A9"/>
    <w:rsid w:val="5FC66DC2"/>
    <w:rsid w:val="5FC77D19"/>
    <w:rsid w:val="5FC829BC"/>
    <w:rsid w:val="5FC84C31"/>
    <w:rsid w:val="5FCB1BCC"/>
    <w:rsid w:val="5FCB523A"/>
    <w:rsid w:val="5FCC24AC"/>
    <w:rsid w:val="5FCC6AA8"/>
    <w:rsid w:val="5FCC7CEC"/>
    <w:rsid w:val="5FCD1D80"/>
    <w:rsid w:val="5FCD5EB1"/>
    <w:rsid w:val="5FCE31CF"/>
    <w:rsid w:val="5FCF2127"/>
    <w:rsid w:val="5FD06D8D"/>
    <w:rsid w:val="5FD24CC1"/>
    <w:rsid w:val="5FD5049E"/>
    <w:rsid w:val="5FD54FBE"/>
    <w:rsid w:val="5FD56E87"/>
    <w:rsid w:val="5FD71ADD"/>
    <w:rsid w:val="5FD87822"/>
    <w:rsid w:val="5FD96977"/>
    <w:rsid w:val="5FDA0004"/>
    <w:rsid w:val="5FDB141C"/>
    <w:rsid w:val="5FDB2A5D"/>
    <w:rsid w:val="5FDB4980"/>
    <w:rsid w:val="5FDF1205"/>
    <w:rsid w:val="5FE05ADE"/>
    <w:rsid w:val="5FE074E1"/>
    <w:rsid w:val="5FE36C0D"/>
    <w:rsid w:val="5FE3797C"/>
    <w:rsid w:val="5FE5431B"/>
    <w:rsid w:val="5FE62499"/>
    <w:rsid w:val="5FE841C6"/>
    <w:rsid w:val="5FE94C24"/>
    <w:rsid w:val="5FEA12DD"/>
    <w:rsid w:val="5FEB2206"/>
    <w:rsid w:val="5FEB41CD"/>
    <w:rsid w:val="5FEB709A"/>
    <w:rsid w:val="5FEC2D8A"/>
    <w:rsid w:val="5FED41D0"/>
    <w:rsid w:val="5FEE3E15"/>
    <w:rsid w:val="5FEF49B4"/>
    <w:rsid w:val="5FEF4ACC"/>
    <w:rsid w:val="5FF03618"/>
    <w:rsid w:val="5FF121C8"/>
    <w:rsid w:val="5FF13CC0"/>
    <w:rsid w:val="5FF15F2D"/>
    <w:rsid w:val="5FF64E8D"/>
    <w:rsid w:val="5FF722CD"/>
    <w:rsid w:val="5FF8206D"/>
    <w:rsid w:val="5FF84C06"/>
    <w:rsid w:val="5FFA069B"/>
    <w:rsid w:val="5FFA4E16"/>
    <w:rsid w:val="5FFA54AB"/>
    <w:rsid w:val="5FFB2BC9"/>
    <w:rsid w:val="5FFC202F"/>
    <w:rsid w:val="5FFC2665"/>
    <w:rsid w:val="5FFD4CC1"/>
    <w:rsid w:val="5FFE018B"/>
    <w:rsid w:val="5FFE6ABD"/>
    <w:rsid w:val="60002155"/>
    <w:rsid w:val="60003F04"/>
    <w:rsid w:val="60011A2A"/>
    <w:rsid w:val="6001573B"/>
    <w:rsid w:val="60015C19"/>
    <w:rsid w:val="600254CD"/>
    <w:rsid w:val="60025DFE"/>
    <w:rsid w:val="6006330D"/>
    <w:rsid w:val="60064E1F"/>
    <w:rsid w:val="600703A7"/>
    <w:rsid w:val="60070FF5"/>
    <w:rsid w:val="600734E4"/>
    <w:rsid w:val="60074AFB"/>
    <w:rsid w:val="60086A6E"/>
    <w:rsid w:val="600B09F8"/>
    <w:rsid w:val="600D03CE"/>
    <w:rsid w:val="600F541A"/>
    <w:rsid w:val="6010197D"/>
    <w:rsid w:val="60104B30"/>
    <w:rsid w:val="60113230"/>
    <w:rsid w:val="60120E80"/>
    <w:rsid w:val="60123A8D"/>
    <w:rsid w:val="60123FA1"/>
    <w:rsid w:val="601259E5"/>
    <w:rsid w:val="60132B5C"/>
    <w:rsid w:val="601417DE"/>
    <w:rsid w:val="60145C01"/>
    <w:rsid w:val="60146E57"/>
    <w:rsid w:val="601479AF"/>
    <w:rsid w:val="60154ECC"/>
    <w:rsid w:val="601A4071"/>
    <w:rsid w:val="601A67A6"/>
    <w:rsid w:val="601B13DA"/>
    <w:rsid w:val="601C72AA"/>
    <w:rsid w:val="601E41DF"/>
    <w:rsid w:val="601E438A"/>
    <w:rsid w:val="601F0531"/>
    <w:rsid w:val="60213E7A"/>
    <w:rsid w:val="6023001F"/>
    <w:rsid w:val="602342A3"/>
    <w:rsid w:val="602541BA"/>
    <w:rsid w:val="6025484D"/>
    <w:rsid w:val="60266508"/>
    <w:rsid w:val="60266BF8"/>
    <w:rsid w:val="60271F21"/>
    <w:rsid w:val="602776E2"/>
    <w:rsid w:val="6028127F"/>
    <w:rsid w:val="602C3AFE"/>
    <w:rsid w:val="602D44E5"/>
    <w:rsid w:val="602E39CD"/>
    <w:rsid w:val="60315686"/>
    <w:rsid w:val="6032556B"/>
    <w:rsid w:val="60326730"/>
    <w:rsid w:val="60331235"/>
    <w:rsid w:val="60341DFF"/>
    <w:rsid w:val="60346711"/>
    <w:rsid w:val="603544E9"/>
    <w:rsid w:val="603670CC"/>
    <w:rsid w:val="60370FC6"/>
    <w:rsid w:val="60375D0B"/>
    <w:rsid w:val="6038613D"/>
    <w:rsid w:val="603A7567"/>
    <w:rsid w:val="603B65B5"/>
    <w:rsid w:val="603C1351"/>
    <w:rsid w:val="603C32A6"/>
    <w:rsid w:val="603F3DAD"/>
    <w:rsid w:val="60402552"/>
    <w:rsid w:val="604364E6"/>
    <w:rsid w:val="604517DB"/>
    <w:rsid w:val="60455F50"/>
    <w:rsid w:val="60485D7E"/>
    <w:rsid w:val="60491203"/>
    <w:rsid w:val="604A2A0B"/>
    <w:rsid w:val="604A63EF"/>
    <w:rsid w:val="604C3E85"/>
    <w:rsid w:val="604C539B"/>
    <w:rsid w:val="604D2EC1"/>
    <w:rsid w:val="604D4C6F"/>
    <w:rsid w:val="604F6614"/>
    <w:rsid w:val="60500C77"/>
    <w:rsid w:val="6050418B"/>
    <w:rsid w:val="60526109"/>
    <w:rsid w:val="605327B6"/>
    <w:rsid w:val="605352A6"/>
    <w:rsid w:val="60543CD6"/>
    <w:rsid w:val="60550818"/>
    <w:rsid w:val="60592DE5"/>
    <w:rsid w:val="60595175"/>
    <w:rsid w:val="605A2876"/>
    <w:rsid w:val="605A447C"/>
    <w:rsid w:val="605C0691"/>
    <w:rsid w:val="605D17D0"/>
    <w:rsid w:val="605D3104"/>
    <w:rsid w:val="605E0367"/>
    <w:rsid w:val="605F6415"/>
    <w:rsid w:val="60602BF4"/>
    <w:rsid w:val="606036A1"/>
    <w:rsid w:val="60605433"/>
    <w:rsid w:val="6062696C"/>
    <w:rsid w:val="606326E4"/>
    <w:rsid w:val="60640C85"/>
    <w:rsid w:val="606416B7"/>
    <w:rsid w:val="606706D7"/>
    <w:rsid w:val="60675D31"/>
    <w:rsid w:val="606A3CE4"/>
    <w:rsid w:val="606A48D8"/>
    <w:rsid w:val="606D56D1"/>
    <w:rsid w:val="606E57EA"/>
    <w:rsid w:val="606F2E37"/>
    <w:rsid w:val="607034DD"/>
    <w:rsid w:val="60713702"/>
    <w:rsid w:val="60723A3E"/>
    <w:rsid w:val="607313A1"/>
    <w:rsid w:val="60735A0D"/>
    <w:rsid w:val="60736A8B"/>
    <w:rsid w:val="607448F1"/>
    <w:rsid w:val="60745FCF"/>
    <w:rsid w:val="607466A0"/>
    <w:rsid w:val="60761600"/>
    <w:rsid w:val="60767942"/>
    <w:rsid w:val="607707D3"/>
    <w:rsid w:val="60793640"/>
    <w:rsid w:val="607949FD"/>
    <w:rsid w:val="60795706"/>
    <w:rsid w:val="607A54CE"/>
    <w:rsid w:val="607B1ADE"/>
    <w:rsid w:val="607C7302"/>
    <w:rsid w:val="607D5554"/>
    <w:rsid w:val="607D6514"/>
    <w:rsid w:val="607E304A"/>
    <w:rsid w:val="607E721E"/>
    <w:rsid w:val="607E7DD8"/>
    <w:rsid w:val="60806791"/>
    <w:rsid w:val="60806A1C"/>
    <w:rsid w:val="6080774A"/>
    <w:rsid w:val="60822B6A"/>
    <w:rsid w:val="60835BF8"/>
    <w:rsid w:val="6084265C"/>
    <w:rsid w:val="60891BEF"/>
    <w:rsid w:val="608923F2"/>
    <w:rsid w:val="60897327"/>
    <w:rsid w:val="608B498F"/>
    <w:rsid w:val="608B78E2"/>
    <w:rsid w:val="608D150F"/>
    <w:rsid w:val="6090662F"/>
    <w:rsid w:val="60906921"/>
    <w:rsid w:val="60907AEF"/>
    <w:rsid w:val="60923B0B"/>
    <w:rsid w:val="60924BE4"/>
    <w:rsid w:val="609430E0"/>
    <w:rsid w:val="60954DC0"/>
    <w:rsid w:val="60965EEA"/>
    <w:rsid w:val="60985FC5"/>
    <w:rsid w:val="609D4491"/>
    <w:rsid w:val="60A319C1"/>
    <w:rsid w:val="60A407C8"/>
    <w:rsid w:val="60A462E0"/>
    <w:rsid w:val="60A50489"/>
    <w:rsid w:val="60A56859"/>
    <w:rsid w:val="60A6721B"/>
    <w:rsid w:val="60A73B8C"/>
    <w:rsid w:val="60A86E0A"/>
    <w:rsid w:val="60A93AD8"/>
    <w:rsid w:val="60A9459B"/>
    <w:rsid w:val="60A96918"/>
    <w:rsid w:val="60A96C41"/>
    <w:rsid w:val="60AE5BB3"/>
    <w:rsid w:val="60AE7E03"/>
    <w:rsid w:val="60B22A95"/>
    <w:rsid w:val="60B348E1"/>
    <w:rsid w:val="60B3541A"/>
    <w:rsid w:val="60B452F6"/>
    <w:rsid w:val="60B46BCB"/>
    <w:rsid w:val="60B71822"/>
    <w:rsid w:val="60B847DE"/>
    <w:rsid w:val="60B86359"/>
    <w:rsid w:val="60B94988"/>
    <w:rsid w:val="60BB26AF"/>
    <w:rsid w:val="60BD6C2C"/>
    <w:rsid w:val="60BE7457"/>
    <w:rsid w:val="60BF3DBF"/>
    <w:rsid w:val="60C12264"/>
    <w:rsid w:val="60C20148"/>
    <w:rsid w:val="60C2565D"/>
    <w:rsid w:val="60C34F06"/>
    <w:rsid w:val="60C40C80"/>
    <w:rsid w:val="60C430FD"/>
    <w:rsid w:val="60C442E0"/>
    <w:rsid w:val="60C70BDF"/>
    <w:rsid w:val="60C71CFE"/>
    <w:rsid w:val="60C94CE4"/>
    <w:rsid w:val="60C95236"/>
    <w:rsid w:val="60CC3B3E"/>
    <w:rsid w:val="60D06379"/>
    <w:rsid w:val="60D25295"/>
    <w:rsid w:val="60D73E16"/>
    <w:rsid w:val="60D8351E"/>
    <w:rsid w:val="60D86C2E"/>
    <w:rsid w:val="60D9680D"/>
    <w:rsid w:val="60DA347D"/>
    <w:rsid w:val="60DA488F"/>
    <w:rsid w:val="60DA5199"/>
    <w:rsid w:val="60DC6732"/>
    <w:rsid w:val="60DF187A"/>
    <w:rsid w:val="60DF378E"/>
    <w:rsid w:val="60DF620F"/>
    <w:rsid w:val="60E11D66"/>
    <w:rsid w:val="60E13D70"/>
    <w:rsid w:val="60E15D9C"/>
    <w:rsid w:val="60E1603F"/>
    <w:rsid w:val="60E17455"/>
    <w:rsid w:val="60E33541"/>
    <w:rsid w:val="60E411C0"/>
    <w:rsid w:val="60E52B6C"/>
    <w:rsid w:val="60E530F9"/>
    <w:rsid w:val="60E76E71"/>
    <w:rsid w:val="60E9052C"/>
    <w:rsid w:val="60E90E3C"/>
    <w:rsid w:val="60E91231"/>
    <w:rsid w:val="60EA02FE"/>
    <w:rsid w:val="60EA22DA"/>
    <w:rsid w:val="60EB5673"/>
    <w:rsid w:val="60EC0739"/>
    <w:rsid w:val="60EC4890"/>
    <w:rsid w:val="60EC7A51"/>
    <w:rsid w:val="60EE1E17"/>
    <w:rsid w:val="60F12F0B"/>
    <w:rsid w:val="60F22857"/>
    <w:rsid w:val="60F35816"/>
    <w:rsid w:val="60F90189"/>
    <w:rsid w:val="60FA4DF7"/>
    <w:rsid w:val="60FA64A5"/>
    <w:rsid w:val="60FA6E87"/>
    <w:rsid w:val="60FB61F3"/>
    <w:rsid w:val="60FB65FE"/>
    <w:rsid w:val="60FC22A0"/>
    <w:rsid w:val="60FE26B2"/>
    <w:rsid w:val="60FE7241"/>
    <w:rsid w:val="60FF009D"/>
    <w:rsid w:val="60FF2062"/>
    <w:rsid w:val="60FF4B27"/>
    <w:rsid w:val="60FF5E9B"/>
    <w:rsid w:val="610016B1"/>
    <w:rsid w:val="6101453C"/>
    <w:rsid w:val="61030562"/>
    <w:rsid w:val="61067632"/>
    <w:rsid w:val="61077514"/>
    <w:rsid w:val="61081167"/>
    <w:rsid w:val="6108329D"/>
    <w:rsid w:val="61087833"/>
    <w:rsid w:val="61087EA6"/>
    <w:rsid w:val="610A61A7"/>
    <w:rsid w:val="610B37BC"/>
    <w:rsid w:val="610B5D8F"/>
    <w:rsid w:val="610D0906"/>
    <w:rsid w:val="610F12F6"/>
    <w:rsid w:val="610F1A53"/>
    <w:rsid w:val="611015E4"/>
    <w:rsid w:val="6110298B"/>
    <w:rsid w:val="61117470"/>
    <w:rsid w:val="61120392"/>
    <w:rsid w:val="61130F7B"/>
    <w:rsid w:val="61165BEF"/>
    <w:rsid w:val="611759A9"/>
    <w:rsid w:val="61177A83"/>
    <w:rsid w:val="611848D5"/>
    <w:rsid w:val="611A0FF5"/>
    <w:rsid w:val="611A2DA3"/>
    <w:rsid w:val="611B4EF0"/>
    <w:rsid w:val="611F4533"/>
    <w:rsid w:val="611F660B"/>
    <w:rsid w:val="61215115"/>
    <w:rsid w:val="61215AAC"/>
    <w:rsid w:val="612260FC"/>
    <w:rsid w:val="61236B8D"/>
    <w:rsid w:val="61283254"/>
    <w:rsid w:val="61284CC2"/>
    <w:rsid w:val="61290E94"/>
    <w:rsid w:val="61296F3B"/>
    <w:rsid w:val="612C28EB"/>
    <w:rsid w:val="612C7226"/>
    <w:rsid w:val="612E7483"/>
    <w:rsid w:val="612F0022"/>
    <w:rsid w:val="612F6907"/>
    <w:rsid w:val="613038EB"/>
    <w:rsid w:val="6131633F"/>
    <w:rsid w:val="613267B5"/>
    <w:rsid w:val="61333F9B"/>
    <w:rsid w:val="613436B2"/>
    <w:rsid w:val="61355E2F"/>
    <w:rsid w:val="61363955"/>
    <w:rsid w:val="61382518"/>
    <w:rsid w:val="613978E2"/>
    <w:rsid w:val="613B0ED7"/>
    <w:rsid w:val="613B0F6B"/>
    <w:rsid w:val="613B5B97"/>
    <w:rsid w:val="613B6943"/>
    <w:rsid w:val="613C5DC3"/>
    <w:rsid w:val="613E3122"/>
    <w:rsid w:val="613F280A"/>
    <w:rsid w:val="61412F97"/>
    <w:rsid w:val="61430B52"/>
    <w:rsid w:val="61430D91"/>
    <w:rsid w:val="61447646"/>
    <w:rsid w:val="6148437D"/>
    <w:rsid w:val="6149217F"/>
    <w:rsid w:val="614957FD"/>
    <w:rsid w:val="61497B2C"/>
    <w:rsid w:val="614A363A"/>
    <w:rsid w:val="614A456D"/>
    <w:rsid w:val="614C3178"/>
    <w:rsid w:val="614C73AD"/>
    <w:rsid w:val="614E1CDB"/>
    <w:rsid w:val="61511552"/>
    <w:rsid w:val="615171DE"/>
    <w:rsid w:val="615212BD"/>
    <w:rsid w:val="61521F2D"/>
    <w:rsid w:val="61522F1D"/>
    <w:rsid w:val="615366DE"/>
    <w:rsid w:val="6154233D"/>
    <w:rsid w:val="615464A6"/>
    <w:rsid w:val="6155202D"/>
    <w:rsid w:val="615635F1"/>
    <w:rsid w:val="615644A4"/>
    <w:rsid w:val="61583E2B"/>
    <w:rsid w:val="615A6C98"/>
    <w:rsid w:val="615C4FD3"/>
    <w:rsid w:val="615E33E3"/>
    <w:rsid w:val="615F2EAC"/>
    <w:rsid w:val="6160592B"/>
    <w:rsid w:val="616074CE"/>
    <w:rsid w:val="61607C27"/>
    <w:rsid w:val="616109D2"/>
    <w:rsid w:val="616152EE"/>
    <w:rsid w:val="6162299C"/>
    <w:rsid w:val="61623F9C"/>
    <w:rsid w:val="61630BEE"/>
    <w:rsid w:val="6164671D"/>
    <w:rsid w:val="61651B7C"/>
    <w:rsid w:val="61655E91"/>
    <w:rsid w:val="6166451E"/>
    <w:rsid w:val="61684974"/>
    <w:rsid w:val="616A6AD3"/>
    <w:rsid w:val="616B35FF"/>
    <w:rsid w:val="616D6318"/>
    <w:rsid w:val="616E2A35"/>
    <w:rsid w:val="616E6A18"/>
    <w:rsid w:val="616F390D"/>
    <w:rsid w:val="6170330B"/>
    <w:rsid w:val="61724D6C"/>
    <w:rsid w:val="6172787B"/>
    <w:rsid w:val="617304B8"/>
    <w:rsid w:val="61734BA9"/>
    <w:rsid w:val="61734E58"/>
    <w:rsid w:val="6174448D"/>
    <w:rsid w:val="61746B50"/>
    <w:rsid w:val="617526CF"/>
    <w:rsid w:val="61752A74"/>
    <w:rsid w:val="61755A95"/>
    <w:rsid w:val="61761FA3"/>
    <w:rsid w:val="61771B73"/>
    <w:rsid w:val="61787D9A"/>
    <w:rsid w:val="617C1BE1"/>
    <w:rsid w:val="617D1584"/>
    <w:rsid w:val="617E667A"/>
    <w:rsid w:val="617F52FC"/>
    <w:rsid w:val="618003D9"/>
    <w:rsid w:val="618121E3"/>
    <w:rsid w:val="61826B9A"/>
    <w:rsid w:val="618406A6"/>
    <w:rsid w:val="61840B64"/>
    <w:rsid w:val="618436F4"/>
    <w:rsid w:val="61844B11"/>
    <w:rsid w:val="61852F70"/>
    <w:rsid w:val="61853D9C"/>
    <w:rsid w:val="6186322D"/>
    <w:rsid w:val="61867350"/>
    <w:rsid w:val="61872BB0"/>
    <w:rsid w:val="618802E0"/>
    <w:rsid w:val="61882C41"/>
    <w:rsid w:val="618B1EF3"/>
    <w:rsid w:val="618E5C31"/>
    <w:rsid w:val="618E63B8"/>
    <w:rsid w:val="618F4FA5"/>
    <w:rsid w:val="6190176D"/>
    <w:rsid w:val="61903BE7"/>
    <w:rsid w:val="61905B49"/>
    <w:rsid w:val="61917F48"/>
    <w:rsid w:val="6192286C"/>
    <w:rsid w:val="61931106"/>
    <w:rsid w:val="619373B6"/>
    <w:rsid w:val="619404EE"/>
    <w:rsid w:val="61945FE0"/>
    <w:rsid w:val="61946328"/>
    <w:rsid w:val="61946FF9"/>
    <w:rsid w:val="61953998"/>
    <w:rsid w:val="61953AFB"/>
    <w:rsid w:val="61973664"/>
    <w:rsid w:val="61995A39"/>
    <w:rsid w:val="619A06D0"/>
    <w:rsid w:val="619A2136"/>
    <w:rsid w:val="619A765B"/>
    <w:rsid w:val="619C1FA6"/>
    <w:rsid w:val="619E75CA"/>
    <w:rsid w:val="619F5AD6"/>
    <w:rsid w:val="619F774C"/>
    <w:rsid w:val="61A01B01"/>
    <w:rsid w:val="61A22229"/>
    <w:rsid w:val="61A30FEA"/>
    <w:rsid w:val="61A32CA0"/>
    <w:rsid w:val="61A3598A"/>
    <w:rsid w:val="61A42074"/>
    <w:rsid w:val="61A42F2A"/>
    <w:rsid w:val="61A54628"/>
    <w:rsid w:val="61AA6A73"/>
    <w:rsid w:val="61AB0307"/>
    <w:rsid w:val="61AB062B"/>
    <w:rsid w:val="61AC31DA"/>
    <w:rsid w:val="61AC58B8"/>
    <w:rsid w:val="61AD1E69"/>
    <w:rsid w:val="61AF5FAD"/>
    <w:rsid w:val="61B203D5"/>
    <w:rsid w:val="61B852AB"/>
    <w:rsid w:val="61B8623F"/>
    <w:rsid w:val="61BA0569"/>
    <w:rsid w:val="61BA27D8"/>
    <w:rsid w:val="61BB6C21"/>
    <w:rsid w:val="61BB6EFA"/>
    <w:rsid w:val="61BC3AF2"/>
    <w:rsid w:val="61BD3787"/>
    <w:rsid w:val="61BE4076"/>
    <w:rsid w:val="61BF627C"/>
    <w:rsid w:val="61BF63D8"/>
    <w:rsid w:val="61BF757A"/>
    <w:rsid w:val="61BF7DEE"/>
    <w:rsid w:val="61C0131B"/>
    <w:rsid w:val="61C0178A"/>
    <w:rsid w:val="61C04C1E"/>
    <w:rsid w:val="61C20B36"/>
    <w:rsid w:val="61C30C5E"/>
    <w:rsid w:val="61C6115A"/>
    <w:rsid w:val="61C6283F"/>
    <w:rsid w:val="61C75603"/>
    <w:rsid w:val="61C86CE0"/>
    <w:rsid w:val="61C96577"/>
    <w:rsid w:val="61CA1733"/>
    <w:rsid w:val="61CA1F5A"/>
    <w:rsid w:val="61CB329D"/>
    <w:rsid w:val="61CC0880"/>
    <w:rsid w:val="61CC19F8"/>
    <w:rsid w:val="61CD250B"/>
    <w:rsid w:val="61CE2E66"/>
    <w:rsid w:val="61CF07E9"/>
    <w:rsid w:val="61D00B84"/>
    <w:rsid w:val="61D01CF8"/>
    <w:rsid w:val="61D268F1"/>
    <w:rsid w:val="61D30A56"/>
    <w:rsid w:val="61D314BF"/>
    <w:rsid w:val="61D4389A"/>
    <w:rsid w:val="61D503B6"/>
    <w:rsid w:val="61D669DF"/>
    <w:rsid w:val="61D71549"/>
    <w:rsid w:val="61D71831"/>
    <w:rsid w:val="61D816A3"/>
    <w:rsid w:val="61D86E23"/>
    <w:rsid w:val="61D91C06"/>
    <w:rsid w:val="61D93C7E"/>
    <w:rsid w:val="61D95824"/>
    <w:rsid w:val="61D97320"/>
    <w:rsid w:val="61DA0784"/>
    <w:rsid w:val="61DA7EB5"/>
    <w:rsid w:val="61DB0FD1"/>
    <w:rsid w:val="61DB57A4"/>
    <w:rsid w:val="61DD4610"/>
    <w:rsid w:val="61DE1AA3"/>
    <w:rsid w:val="61E00186"/>
    <w:rsid w:val="61E01147"/>
    <w:rsid w:val="61E450E3"/>
    <w:rsid w:val="61E561AB"/>
    <w:rsid w:val="61E56971"/>
    <w:rsid w:val="61E575C5"/>
    <w:rsid w:val="61E639A2"/>
    <w:rsid w:val="61E63B2E"/>
    <w:rsid w:val="61E810F3"/>
    <w:rsid w:val="61EB0C61"/>
    <w:rsid w:val="61EC6F36"/>
    <w:rsid w:val="61ED33DE"/>
    <w:rsid w:val="61ED36B2"/>
    <w:rsid w:val="61ED3874"/>
    <w:rsid w:val="61EE48BC"/>
    <w:rsid w:val="61EE6949"/>
    <w:rsid w:val="61EF2482"/>
    <w:rsid w:val="61EF4D70"/>
    <w:rsid w:val="61EF674F"/>
    <w:rsid w:val="61F04A83"/>
    <w:rsid w:val="61F07FA8"/>
    <w:rsid w:val="61F14930"/>
    <w:rsid w:val="61F25ACE"/>
    <w:rsid w:val="61F50F1C"/>
    <w:rsid w:val="61F5548B"/>
    <w:rsid w:val="61F56501"/>
    <w:rsid w:val="61F63E37"/>
    <w:rsid w:val="61F736C3"/>
    <w:rsid w:val="61F7685D"/>
    <w:rsid w:val="61F8115F"/>
    <w:rsid w:val="61F83C9E"/>
    <w:rsid w:val="61FB3509"/>
    <w:rsid w:val="61FD7E32"/>
    <w:rsid w:val="61FE4473"/>
    <w:rsid w:val="62002CD9"/>
    <w:rsid w:val="6200468F"/>
    <w:rsid w:val="62023755"/>
    <w:rsid w:val="62024DEB"/>
    <w:rsid w:val="62031A89"/>
    <w:rsid w:val="62036129"/>
    <w:rsid w:val="62037A28"/>
    <w:rsid w:val="62062F55"/>
    <w:rsid w:val="62067254"/>
    <w:rsid w:val="620847C0"/>
    <w:rsid w:val="62097391"/>
    <w:rsid w:val="620A12CA"/>
    <w:rsid w:val="620C4EFD"/>
    <w:rsid w:val="620D33E1"/>
    <w:rsid w:val="620E5785"/>
    <w:rsid w:val="620F1AC2"/>
    <w:rsid w:val="620F6680"/>
    <w:rsid w:val="62117EC0"/>
    <w:rsid w:val="621320BF"/>
    <w:rsid w:val="62136246"/>
    <w:rsid w:val="6213634B"/>
    <w:rsid w:val="621367D7"/>
    <w:rsid w:val="62137845"/>
    <w:rsid w:val="62137FF3"/>
    <w:rsid w:val="621456D4"/>
    <w:rsid w:val="62150A98"/>
    <w:rsid w:val="62161F3E"/>
    <w:rsid w:val="62167C92"/>
    <w:rsid w:val="62180341"/>
    <w:rsid w:val="62183C87"/>
    <w:rsid w:val="621A0094"/>
    <w:rsid w:val="621A6DD3"/>
    <w:rsid w:val="621B44E6"/>
    <w:rsid w:val="621B7C41"/>
    <w:rsid w:val="621C49F9"/>
    <w:rsid w:val="621C5807"/>
    <w:rsid w:val="621C79EF"/>
    <w:rsid w:val="621D108A"/>
    <w:rsid w:val="621F3F49"/>
    <w:rsid w:val="621F43E9"/>
    <w:rsid w:val="62206ADF"/>
    <w:rsid w:val="62220B2E"/>
    <w:rsid w:val="62225D58"/>
    <w:rsid w:val="62233A0F"/>
    <w:rsid w:val="62243CA5"/>
    <w:rsid w:val="62255429"/>
    <w:rsid w:val="62273579"/>
    <w:rsid w:val="622779FF"/>
    <w:rsid w:val="6228030B"/>
    <w:rsid w:val="62280A8B"/>
    <w:rsid w:val="62284EDF"/>
    <w:rsid w:val="6229523A"/>
    <w:rsid w:val="622B47FA"/>
    <w:rsid w:val="622B7232"/>
    <w:rsid w:val="622C2EF9"/>
    <w:rsid w:val="622C3041"/>
    <w:rsid w:val="622C69FC"/>
    <w:rsid w:val="622D36F6"/>
    <w:rsid w:val="62300905"/>
    <w:rsid w:val="62315E8A"/>
    <w:rsid w:val="623205C0"/>
    <w:rsid w:val="62331A51"/>
    <w:rsid w:val="623325FE"/>
    <w:rsid w:val="62333854"/>
    <w:rsid w:val="623527DD"/>
    <w:rsid w:val="6236635E"/>
    <w:rsid w:val="62377926"/>
    <w:rsid w:val="623B2E03"/>
    <w:rsid w:val="623B7475"/>
    <w:rsid w:val="623C62EE"/>
    <w:rsid w:val="623D5EB3"/>
    <w:rsid w:val="623E411F"/>
    <w:rsid w:val="623E4A97"/>
    <w:rsid w:val="623F0400"/>
    <w:rsid w:val="623F140B"/>
    <w:rsid w:val="623F6839"/>
    <w:rsid w:val="62445EDD"/>
    <w:rsid w:val="62457D36"/>
    <w:rsid w:val="62476747"/>
    <w:rsid w:val="624808EC"/>
    <w:rsid w:val="62497922"/>
    <w:rsid w:val="624A3B5C"/>
    <w:rsid w:val="624B188D"/>
    <w:rsid w:val="624C1DD7"/>
    <w:rsid w:val="624D104D"/>
    <w:rsid w:val="624E205A"/>
    <w:rsid w:val="62503C4B"/>
    <w:rsid w:val="62522A10"/>
    <w:rsid w:val="625247BE"/>
    <w:rsid w:val="62553134"/>
    <w:rsid w:val="62553147"/>
    <w:rsid w:val="6256296E"/>
    <w:rsid w:val="62564568"/>
    <w:rsid w:val="62580A03"/>
    <w:rsid w:val="62582B96"/>
    <w:rsid w:val="62587FF6"/>
    <w:rsid w:val="625969B4"/>
    <w:rsid w:val="625C52AD"/>
    <w:rsid w:val="625C58C6"/>
    <w:rsid w:val="625E2D3F"/>
    <w:rsid w:val="625E3F25"/>
    <w:rsid w:val="625F047E"/>
    <w:rsid w:val="62605D77"/>
    <w:rsid w:val="626369CC"/>
    <w:rsid w:val="62640592"/>
    <w:rsid w:val="62643C1B"/>
    <w:rsid w:val="6267026A"/>
    <w:rsid w:val="62674A87"/>
    <w:rsid w:val="626764BC"/>
    <w:rsid w:val="626926CD"/>
    <w:rsid w:val="626943E0"/>
    <w:rsid w:val="626A5FAC"/>
    <w:rsid w:val="626B71FE"/>
    <w:rsid w:val="626B7BBE"/>
    <w:rsid w:val="626C216E"/>
    <w:rsid w:val="626F1110"/>
    <w:rsid w:val="626F5370"/>
    <w:rsid w:val="626F703E"/>
    <w:rsid w:val="62703CE2"/>
    <w:rsid w:val="62707C1B"/>
    <w:rsid w:val="627143A9"/>
    <w:rsid w:val="627209BD"/>
    <w:rsid w:val="62722E3F"/>
    <w:rsid w:val="627264FE"/>
    <w:rsid w:val="627310D2"/>
    <w:rsid w:val="62732763"/>
    <w:rsid w:val="62734F7D"/>
    <w:rsid w:val="627562FB"/>
    <w:rsid w:val="627609DC"/>
    <w:rsid w:val="62761C6B"/>
    <w:rsid w:val="6277148A"/>
    <w:rsid w:val="62771F43"/>
    <w:rsid w:val="62774225"/>
    <w:rsid w:val="6278240C"/>
    <w:rsid w:val="62791D4B"/>
    <w:rsid w:val="62793D75"/>
    <w:rsid w:val="62797922"/>
    <w:rsid w:val="627A3766"/>
    <w:rsid w:val="627A3BA6"/>
    <w:rsid w:val="627A4678"/>
    <w:rsid w:val="627B04D1"/>
    <w:rsid w:val="627C62B9"/>
    <w:rsid w:val="62810D49"/>
    <w:rsid w:val="62811341"/>
    <w:rsid w:val="628250A4"/>
    <w:rsid w:val="6284166C"/>
    <w:rsid w:val="628551D2"/>
    <w:rsid w:val="62874DB0"/>
    <w:rsid w:val="62882294"/>
    <w:rsid w:val="62883DE8"/>
    <w:rsid w:val="62886432"/>
    <w:rsid w:val="628A7090"/>
    <w:rsid w:val="628C6563"/>
    <w:rsid w:val="628D28EC"/>
    <w:rsid w:val="628D3DE6"/>
    <w:rsid w:val="628E2B9F"/>
    <w:rsid w:val="628E7290"/>
    <w:rsid w:val="628F5A13"/>
    <w:rsid w:val="62930A26"/>
    <w:rsid w:val="62931123"/>
    <w:rsid w:val="629369DE"/>
    <w:rsid w:val="629372B1"/>
    <w:rsid w:val="62957C63"/>
    <w:rsid w:val="6296759B"/>
    <w:rsid w:val="62967E64"/>
    <w:rsid w:val="62970A67"/>
    <w:rsid w:val="6297234C"/>
    <w:rsid w:val="62981404"/>
    <w:rsid w:val="6299419B"/>
    <w:rsid w:val="629B46A2"/>
    <w:rsid w:val="629D05E5"/>
    <w:rsid w:val="629E1DB0"/>
    <w:rsid w:val="62A072DB"/>
    <w:rsid w:val="62A3326C"/>
    <w:rsid w:val="62A36DC8"/>
    <w:rsid w:val="62A377DA"/>
    <w:rsid w:val="62A4233E"/>
    <w:rsid w:val="62A4619D"/>
    <w:rsid w:val="62A51173"/>
    <w:rsid w:val="62A57D4F"/>
    <w:rsid w:val="62A6057B"/>
    <w:rsid w:val="62A60C61"/>
    <w:rsid w:val="62A6294E"/>
    <w:rsid w:val="62A72D5C"/>
    <w:rsid w:val="62A80031"/>
    <w:rsid w:val="62A868A0"/>
    <w:rsid w:val="62AB10BB"/>
    <w:rsid w:val="62AB5051"/>
    <w:rsid w:val="62AE705A"/>
    <w:rsid w:val="62B055A2"/>
    <w:rsid w:val="62B15EA2"/>
    <w:rsid w:val="62B17737"/>
    <w:rsid w:val="62B2447A"/>
    <w:rsid w:val="62B2525D"/>
    <w:rsid w:val="62B30BFC"/>
    <w:rsid w:val="62B47227"/>
    <w:rsid w:val="62B64D4D"/>
    <w:rsid w:val="62BA1657"/>
    <w:rsid w:val="62BA762F"/>
    <w:rsid w:val="62BC52AF"/>
    <w:rsid w:val="62BC7E8A"/>
    <w:rsid w:val="62BD0FD5"/>
    <w:rsid w:val="62BF00A6"/>
    <w:rsid w:val="62BF1B14"/>
    <w:rsid w:val="62BF34C7"/>
    <w:rsid w:val="62C05BCC"/>
    <w:rsid w:val="62C123EB"/>
    <w:rsid w:val="62C222D8"/>
    <w:rsid w:val="62C378DE"/>
    <w:rsid w:val="62C4337C"/>
    <w:rsid w:val="62C60B1B"/>
    <w:rsid w:val="62C63025"/>
    <w:rsid w:val="62C63B80"/>
    <w:rsid w:val="62C7527E"/>
    <w:rsid w:val="62C76F5B"/>
    <w:rsid w:val="62C93054"/>
    <w:rsid w:val="62CB07A9"/>
    <w:rsid w:val="62CC1ED5"/>
    <w:rsid w:val="62CD4018"/>
    <w:rsid w:val="62CD6140"/>
    <w:rsid w:val="62CE136F"/>
    <w:rsid w:val="62CE653B"/>
    <w:rsid w:val="62CE7B37"/>
    <w:rsid w:val="62CF2581"/>
    <w:rsid w:val="62D075CB"/>
    <w:rsid w:val="62D17DD9"/>
    <w:rsid w:val="62D31519"/>
    <w:rsid w:val="62D5699C"/>
    <w:rsid w:val="62D60E90"/>
    <w:rsid w:val="62D6719E"/>
    <w:rsid w:val="62D81BBA"/>
    <w:rsid w:val="62D83C1B"/>
    <w:rsid w:val="62DA1A0F"/>
    <w:rsid w:val="62DA4E3E"/>
    <w:rsid w:val="62DA61D7"/>
    <w:rsid w:val="62DB2A06"/>
    <w:rsid w:val="62DB47B4"/>
    <w:rsid w:val="62DC13B6"/>
    <w:rsid w:val="62DD6A26"/>
    <w:rsid w:val="62DD7E82"/>
    <w:rsid w:val="62DE593F"/>
    <w:rsid w:val="62DF14D0"/>
    <w:rsid w:val="62E065D1"/>
    <w:rsid w:val="62E319AF"/>
    <w:rsid w:val="62E474AF"/>
    <w:rsid w:val="62E53885"/>
    <w:rsid w:val="62E74204"/>
    <w:rsid w:val="62E91D6D"/>
    <w:rsid w:val="62E96ED1"/>
    <w:rsid w:val="62EB414C"/>
    <w:rsid w:val="62EC62DB"/>
    <w:rsid w:val="62ED4079"/>
    <w:rsid w:val="62ED4CCD"/>
    <w:rsid w:val="62EE2D13"/>
    <w:rsid w:val="62EE3741"/>
    <w:rsid w:val="62EF05ED"/>
    <w:rsid w:val="62F134DA"/>
    <w:rsid w:val="62F13FD7"/>
    <w:rsid w:val="62F24F2C"/>
    <w:rsid w:val="62F25ACE"/>
    <w:rsid w:val="62F3471D"/>
    <w:rsid w:val="62F403BA"/>
    <w:rsid w:val="62F51D1A"/>
    <w:rsid w:val="62F578A1"/>
    <w:rsid w:val="62F67E98"/>
    <w:rsid w:val="62F74BD5"/>
    <w:rsid w:val="62F834F6"/>
    <w:rsid w:val="62F91F51"/>
    <w:rsid w:val="62F959DA"/>
    <w:rsid w:val="62FA7330"/>
    <w:rsid w:val="62FB00A1"/>
    <w:rsid w:val="62FB11FC"/>
    <w:rsid w:val="62FC2EBF"/>
    <w:rsid w:val="62FD0BCE"/>
    <w:rsid w:val="62FD4C27"/>
    <w:rsid w:val="62FE30AF"/>
    <w:rsid w:val="62FE5615"/>
    <w:rsid w:val="62FE5F36"/>
    <w:rsid w:val="630069BD"/>
    <w:rsid w:val="6302602E"/>
    <w:rsid w:val="63035AB9"/>
    <w:rsid w:val="6304048A"/>
    <w:rsid w:val="63040DEB"/>
    <w:rsid w:val="63040FB0"/>
    <w:rsid w:val="63041F5D"/>
    <w:rsid w:val="63051861"/>
    <w:rsid w:val="630647F9"/>
    <w:rsid w:val="63071A4D"/>
    <w:rsid w:val="63073ACF"/>
    <w:rsid w:val="63076678"/>
    <w:rsid w:val="63077615"/>
    <w:rsid w:val="63091321"/>
    <w:rsid w:val="630B7B66"/>
    <w:rsid w:val="630C207A"/>
    <w:rsid w:val="630D44B7"/>
    <w:rsid w:val="630E529D"/>
    <w:rsid w:val="630E5E3C"/>
    <w:rsid w:val="630E72F2"/>
    <w:rsid w:val="630F754E"/>
    <w:rsid w:val="6310591B"/>
    <w:rsid w:val="6312487D"/>
    <w:rsid w:val="631339AC"/>
    <w:rsid w:val="63133D3B"/>
    <w:rsid w:val="63161C90"/>
    <w:rsid w:val="63165380"/>
    <w:rsid w:val="63187F6A"/>
    <w:rsid w:val="63190CB1"/>
    <w:rsid w:val="631928C8"/>
    <w:rsid w:val="6319412A"/>
    <w:rsid w:val="631A63C8"/>
    <w:rsid w:val="631B23B9"/>
    <w:rsid w:val="631B2AFC"/>
    <w:rsid w:val="631C2539"/>
    <w:rsid w:val="631F0BB4"/>
    <w:rsid w:val="631F109A"/>
    <w:rsid w:val="6320580E"/>
    <w:rsid w:val="6320666B"/>
    <w:rsid w:val="632129E3"/>
    <w:rsid w:val="63213876"/>
    <w:rsid w:val="63213AF4"/>
    <w:rsid w:val="632175F7"/>
    <w:rsid w:val="6321796C"/>
    <w:rsid w:val="632223E3"/>
    <w:rsid w:val="6323541E"/>
    <w:rsid w:val="63236668"/>
    <w:rsid w:val="6324219B"/>
    <w:rsid w:val="632549DC"/>
    <w:rsid w:val="63255A3B"/>
    <w:rsid w:val="63263003"/>
    <w:rsid w:val="63270DA4"/>
    <w:rsid w:val="632717A7"/>
    <w:rsid w:val="63272E28"/>
    <w:rsid w:val="632779F9"/>
    <w:rsid w:val="63283A59"/>
    <w:rsid w:val="6329491B"/>
    <w:rsid w:val="632A14C1"/>
    <w:rsid w:val="632B1A34"/>
    <w:rsid w:val="632B6F6F"/>
    <w:rsid w:val="632F0F4B"/>
    <w:rsid w:val="632F219A"/>
    <w:rsid w:val="632F4A58"/>
    <w:rsid w:val="6331773C"/>
    <w:rsid w:val="633278A6"/>
    <w:rsid w:val="63356920"/>
    <w:rsid w:val="63360502"/>
    <w:rsid w:val="63367B59"/>
    <w:rsid w:val="63375F1A"/>
    <w:rsid w:val="633A21A0"/>
    <w:rsid w:val="633B171E"/>
    <w:rsid w:val="633B25A1"/>
    <w:rsid w:val="633B3465"/>
    <w:rsid w:val="633B5253"/>
    <w:rsid w:val="633D0FCB"/>
    <w:rsid w:val="633D721D"/>
    <w:rsid w:val="633F1711"/>
    <w:rsid w:val="6343537F"/>
    <w:rsid w:val="634379A6"/>
    <w:rsid w:val="634525C3"/>
    <w:rsid w:val="6346416D"/>
    <w:rsid w:val="63470101"/>
    <w:rsid w:val="63472E3E"/>
    <w:rsid w:val="63484A80"/>
    <w:rsid w:val="63490D7B"/>
    <w:rsid w:val="634A15F4"/>
    <w:rsid w:val="634A5C65"/>
    <w:rsid w:val="634B3C50"/>
    <w:rsid w:val="634D0E76"/>
    <w:rsid w:val="634D18BA"/>
    <w:rsid w:val="634E31D8"/>
    <w:rsid w:val="634F1A44"/>
    <w:rsid w:val="635051A2"/>
    <w:rsid w:val="63516C99"/>
    <w:rsid w:val="63533FB2"/>
    <w:rsid w:val="63534F55"/>
    <w:rsid w:val="635414A1"/>
    <w:rsid w:val="63542E30"/>
    <w:rsid w:val="63554566"/>
    <w:rsid w:val="635569AE"/>
    <w:rsid w:val="635704AC"/>
    <w:rsid w:val="635733A8"/>
    <w:rsid w:val="635754D0"/>
    <w:rsid w:val="63575F86"/>
    <w:rsid w:val="63581369"/>
    <w:rsid w:val="635A2E21"/>
    <w:rsid w:val="635A4F02"/>
    <w:rsid w:val="635E083D"/>
    <w:rsid w:val="63607CF7"/>
    <w:rsid w:val="6362447F"/>
    <w:rsid w:val="6362705C"/>
    <w:rsid w:val="63627A9D"/>
    <w:rsid w:val="636501F0"/>
    <w:rsid w:val="63657B08"/>
    <w:rsid w:val="63657FF5"/>
    <w:rsid w:val="63660ED6"/>
    <w:rsid w:val="63660F93"/>
    <w:rsid w:val="63693B8C"/>
    <w:rsid w:val="636B1FDC"/>
    <w:rsid w:val="636C4B2A"/>
    <w:rsid w:val="636D310E"/>
    <w:rsid w:val="636D3B2B"/>
    <w:rsid w:val="636E387A"/>
    <w:rsid w:val="636E73D6"/>
    <w:rsid w:val="63701BA4"/>
    <w:rsid w:val="637075F2"/>
    <w:rsid w:val="63711163"/>
    <w:rsid w:val="63715DC9"/>
    <w:rsid w:val="63716A7D"/>
    <w:rsid w:val="637213EB"/>
    <w:rsid w:val="63722806"/>
    <w:rsid w:val="63732E74"/>
    <w:rsid w:val="637A221F"/>
    <w:rsid w:val="637A3808"/>
    <w:rsid w:val="637B3ABC"/>
    <w:rsid w:val="637B3BB3"/>
    <w:rsid w:val="637C5F97"/>
    <w:rsid w:val="637E307C"/>
    <w:rsid w:val="637E5FA8"/>
    <w:rsid w:val="637E728C"/>
    <w:rsid w:val="637F3AF5"/>
    <w:rsid w:val="637F41CC"/>
    <w:rsid w:val="6380319A"/>
    <w:rsid w:val="63815B9F"/>
    <w:rsid w:val="6384309D"/>
    <w:rsid w:val="63846BFA"/>
    <w:rsid w:val="63853388"/>
    <w:rsid w:val="63860BC4"/>
    <w:rsid w:val="63861052"/>
    <w:rsid w:val="63864E34"/>
    <w:rsid w:val="63873FFE"/>
    <w:rsid w:val="6388738B"/>
    <w:rsid w:val="63893169"/>
    <w:rsid w:val="63894D89"/>
    <w:rsid w:val="638C7FE1"/>
    <w:rsid w:val="638D4524"/>
    <w:rsid w:val="638D5CF6"/>
    <w:rsid w:val="638E5CCA"/>
    <w:rsid w:val="638F1633"/>
    <w:rsid w:val="638F4127"/>
    <w:rsid w:val="638F607D"/>
    <w:rsid w:val="63912808"/>
    <w:rsid w:val="63917771"/>
    <w:rsid w:val="63926882"/>
    <w:rsid w:val="63927568"/>
    <w:rsid w:val="63974B7F"/>
    <w:rsid w:val="6397661F"/>
    <w:rsid w:val="639808F7"/>
    <w:rsid w:val="63992192"/>
    <w:rsid w:val="639979FD"/>
    <w:rsid w:val="639A466F"/>
    <w:rsid w:val="639C1EBC"/>
    <w:rsid w:val="639D6C22"/>
    <w:rsid w:val="639F7D2D"/>
    <w:rsid w:val="63A07CAB"/>
    <w:rsid w:val="63A1091B"/>
    <w:rsid w:val="63A270D4"/>
    <w:rsid w:val="63A426EE"/>
    <w:rsid w:val="63A44EDD"/>
    <w:rsid w:val="63A5729A"/>
    <w:rsid w:val="63A63ECA"/>
    <w:rsid w:val="63A77F35"/>
    <w:rsid w:val="63A91D53"/>
    <w:rsid w:val="63A92B04"/>
    <w:rsid w:val="63A941E0"/>
    <w:rsid w:val="63AA59A8"/>
    <w:rsid w:val="63AB062A"/>
    <w:rsid w:val="63AB0DDB"/>
    <w:rsid w:val="63AB30A9"/>
    <w:rsid w:val="63AD48C7"/>
    <w:rsid w:val="63AF0C1D"/>
    <w:rsid w:val="63AF5726"/>
    <w:rsid w:val="63B3392B"/>
    <w:rsid w:val="63B374DF"/>
    <w:rsid w:val="63B76EED"/>
    <w:rsid w:val="63B87C72"/>
    <w:rsid w:val="63B965B8"/>
    <w:rsid w:val="63BA086D"/>
    <w:rsid w:val="63BA1CA3"/>
    <w:rsid w:val="63BA29FB"/>
    <w:rsid w:val="63BA5000"/>
    <w:rsid w:val="63BB71C0"/>
    <w:rsid w:val="63BD0D52"/>
    <w:rsid w:val="63BF09AA"/>
    <w:rsid w:val="63C0151E"/>
    <w:rsid w:val="63C205F4"/>
    <w:rsid w:val="63C33BC6"/>
    <w:rsid w:val="63C33D41"/>
    <w:rsid w:val="63C344C1"/>
    <w:rsid w:val="63C35974"/>
    <w:rsid w:val="63C516E6"/>
    <w:rsid w:val="63C5259B"/>
    <w:rsid w:val="63C53DA6"/>
    <w:rsid w:val="63C66BAE"/>
    <w:rsid w:val="63C705B2"/>
    <w:rsid w:val="63C73045"/>
    <w:rsid w:val="63C90A96"/>
    <w:rsid w:val="63C97CEB"/>
    <w:rsid w:val="63CB00EA"/>
    <w:rsid w:val="63CE1486"/>
    <w:rsid w:val="63CE39A4"/>
    <w:rsid w:val="63CE60C7"/>
    <w:rsid w:val="63CF2BA1"/>
    <w:rsid w:val="63D01CE9"/>
    <w:rsid w:val="63D027BA"/>
    <w:rsid w:val="63D11E1F"/>
    <w:rsid w:val="63D13A3D"/>
    <w:rsid w:val="63D14304"/>
    <w:rsid w:val="63D2014D"/>
    <w:rsid w:val="63D23E09"/>
    <w:rsid w:val="63D309FB"/>
    <w:rsid w:val="63D36A76"/>
    <w:rsid w:val="63D7141F"/>
    <w:rsid w:val="63D729C1"/>
    <w:rsid w:val="63D76430"/>
    <w:rsid w:val="63D80CF3"/>
    <w:rsid w:val="63D92ED1"/>
    <w:rsid w:val="63DA6947"/>
    <w:rsid w:val="63DC0C44"/>
    <w:rsid w:val="63DD2448"/>
    <w:rsid w:val="63DD50E7"/>
    <w:rsid w:val="63DE25DA"/>
    <w:rsid w:val="63DF3FF8"/>
    <w:rsid w:val="63DF6526"/>
    <w:rsid w:val="63E00D0B"/>
    <w:rsid w:val="63E07F52"/>
    <w:rsid w:val="63E44FA6"/>
    <w:rsid w:val="63E4524A"/>
    <w:rsid w:val="63E753F7"/>
    <w:rsid w:val="63E85859"/>
    <w:rsid w:val="63E86E1C"/>
    <w:rsid w:val="63E90AF2"/>
    <w:rsid w:val="63E9766D"/>
    <w:rsid w:val="63EA6A11"/>
    <w:rsid w:val="63EB6BBE"/>
    <w:rsid w:val="63EB73BE"/>
    <w:rsid w:val="63ED204F"/>
    <w:rsid w:val="63F14E78"/>
    <w:rsid w:val="63F234DD"/>
    <w:rsid w:val="63F24053"/>
    <w:rsid w:val="63F44780"/>
    <w:rsid w:val="63F45B19"/>
    <w:rsid w:val="63F529E4"/>
    <w:rsid w:val="63F70C9B"/>
    <w:rsid w:val="63F750EE"/>
    <w:rsid w:val="63F75A9B"/>
    <w:rsid w:val="63F8558D"/>
    <w:rsid w:val="63FA28ED"/>
    <w:rsid w:val="63FA2B1C"/>
    <w:rsid w:val="63FC080B"/>
    <w:rsid w:val="63FC70D8"/>
    <w:rsid w:val="63FE667B"/>
    <w:rsid w:val="63FE7312"/>
    <w:rsid w:val="63FE763C"/>
    <w:rsid w:val="64002A47"/>
    <w:rsid w:val="64016C68"/>
    <w:rsid w:val="64023F6B"/>
    <w:rsid w:val="6403086A"/>
    <w:rsid w:val="64034D01"/>
    <w:rsid w:val="6403637C"/>
    <w:rsid w:val="640574F2"/>
    <w:rsid w:val="6406740E"/>
    <w:rsid w:val="640779B7"/>
    <w:rsid w:val="6408062D"/>
    <w:rsid w:val="6408315D"/>
    <w:rsid w:val="64086243"/>
    <w:rsid w:val="640A1577"/>
    <w:rsid w:val="640A16E9"/>
    <w:rsid w:val="640C2638"/>
    <w:rsid w:val="640C6C6B"/>
    <w:rsid w:val="640C789D"/>
    <w:rsid w:val="640D3BE6"/>
    <w:rsid w:val="640F0BB9"/>
    <w:rsid w:val="6414542F"/>
    <w:rsid w:val="6415268B"/>
    <w:rsid w:val="64171378"/>
    <w:rsid w:val="64187BAE"/>
    <w:rsid w:val="641A08EF"/>
    <w:rsid w:val="641A4ACF"/>
    <w:rsid w:val="641C32D6"/>
    <w:rsid w:val="641C7E7F"/>
    <w:rsid w:val="641E3BD0"/>
    <w:rsid w:val="641F1628"/>
    <w:rsid w:val="641F5B3C"/>
    <w:rsid w:val="642077AE"/>
    <w:rsid w:val="642161BD"/>
    <w:rsid w:val="64224CCA"/>
    <w:rsid w:val="64225AA8"/>
    <w:rsid w:val="6423110C"/>
    <w:rsid w:val="64233AFE"/>
    <w:rsid w:val="642414EC"/>
    <w:rsid w:val="642474CC"/>
    <w:rsid w:val="64254EC4"/>
    <w:rsid w:val="64277E74"/>
    <w:rsid w:val="64281AC0"/>
    <w:rsid w:val="64286690"/>
    <w:rsid w:val="64291FCF"/>
    <w:rsid w:val="642A40ED"/>
    <w:rsid w:val="642A59F3"/>
    <w:rsid w:val="642B41DD"/>
    <w:rsid w:val="642C65A6"/>
    <w:rsid w:val="642D09F0"/>
    <w:rsid w:val="642E7D9A"/>
    <w:rsid w:val="642E7EC1"/>
    <w:rsid w:val="64303986"/>
    <w:rsid w:val="64311686"/>
    <w:rsid w:val="64312F50"/>
    <w:rsid w:val="643248BA"/>
    <w:rsid w:val="643355BD"/>
    <w:rsid w:val="643405C1"/>
    <w:rsid w:val="64350DB8"/>
    <w:rsid w:val="64360647"/>
    <w:rsid w:val="643659C0"/>
    <w:rsid w:val="64370594"/>
    <w:rsid w:val="6437400B"/>
    <w:rsid w:val="643A375C"/>
    <w:rsid w:val="643A3A59"/>
    <w:rsid w:val="643B19AE"/>
    <w:rsid w:val="643B2AF7"/>
    <w:rsid w:val="643E149E"/>
    <w:rsid w:val="64404E8C"/>
    <w:rsid w:val="644079D0"/>
    <w:rsid w:val="64434D87"/>
    <w:rsid w:val="64442414"/>
    <w:rsid w:val="644562A7"/>
    <w:rsid w:val="64462101"/>
    <w:rsid w:val="64463F4C"/>
    <w:rsid w:val="6447757E"/>
    <w:rsid w:val="644904C4"/>
    <w:rsid w:val="64490689"/>
    <w:rsid w:val="644A7E43"/>
    <w:rsid w:val="644B139F"/>
    <w:rsid w:val="644B4269"/>
    <w:rsid w:val="644C39BC"/>
    <w:rsid w:val="644C751D"/>
    <w:rsid w:val="644E44FB"/>
    <w:rsid w:val="644F12EF"/>
    <w:rsid w:val="64501EDD"/>
    <w:rsid w:val="64504D2E"/>
    <w:rsid w:val="64506EF8"/>
    <w:rsid w:val="6452680B"/>
    <w:rsid w:val="64564CFA"/>
    <w:rsid w:val="64570891"/>
    <w:rsid w:val="645950F7"/>
    <w:rsid w:val="645962D8"/>
    <w:rsid w:val="645A498D"/>
    <w:rsid w:val="645D1035"/>
    <w:rsid w:val="64605C39"/>
    <w:rsid w:val="64611EE0"/>
    <w:rsid w:val="64616C64"/>
    <w:rsid w:val="6461794B"/>
    <w:rsid w:val="64636121"/>
    <w:rsid w:val="64654C7D"/>
    <w:rsid w:val="64671A02"/>
    <w:rsid w:val="64693AB0"/>
    <w:rsid w:val="6469454D"/>
    <w:rsid w:val="646A047C"/>
    <w:rsid w:val="646B7B0D"/>
    <w:rsid w:val="646C1DA9"/>
    <w:rsid w:val="646E0355"/>
    <w:rsid w:val="64700446"/>
    <w:rsid w:val="64742C59"/>
    <w:rsid w:val="647450A4"/>
    <w:rsid w:val="647536CF"/>
    <w:rsid w:val="647811BC"/>
    <w:rsid w:val="6478441C"/>
    <w:rsid w:val="647924D6"/>
    <w:rsid w:val="647A0DC4"/>
    <w:rsid w:val="647A412F"/>
    <w:rsid w:val="647A4AC8"/>
    <w:rsid w:val="647A5C3D"/>
    <w:rsid w:val="647B624F"/>
    <w:rsid w:val="647C3D75"/>
    <w:rsid w:val="647C6082"/>
    <w:rsid w:val="647D7C12"/>
    <w:rsid w:val="647F6D8A"/>
    <w:rsid w:val="64813AA7"/>
    <w:rsid w:val="6481506E"/>
    <w:rsid w:val="648558A4"/>
    <w:rsid w:val="6487138C"/>
    <w:rsid w:val="648732B5"/>
    <w:rsid w:val="64886F1A"/>
    <w:rsid w:val="648C1FC1"/>
    <w:rsid w:val="648C3D96"/>
    <w:rsid w:val="648C45C1"/>
    <w:rsid w:val="648D5F82"/>
    <w:rsid w:val="648D7D30"/>
    <w:rsid w:val="648E281E"/>
    <w:rsid w:val="648E3299"/>
    <w:rsid w:val="648F62E8"/>
    <w:rsid w:val="6491119F"/>
    <w:rsid w:val="64923598"/>
    <w:rsid w:val="649410BE"/>
    <w:rsid w:val="64967E81"/>
    <w:rsid w:val="649738D0"/>
    <w:rsid w:val="6498572D"/>
    <w:rsid w:val="64987101"/>
    <w:rsid w:val="649955B7"/>
    <w:rsid w:val="649966D5"/>
    <w:rsid w:val="649A3CF2"/>
    <w:rsid w:val="649C27E0"/>
    <w:rsid w:val="649C7F73"/>
    <w:rsid w:val="649F3347"/>
    <w:rsid w:val="64A01811"/>
    <w:rsid w:val="64A137DB"/>
    <w:rsid w:val="64A31301"/>
    <w:rsid w:val="64A357A5"/>
    <w:rsid w:val="64A502A1"/>
    <w:rsid w:val="64A51B2D"/>
    <w:rsid w:val="64A53269"/>
    <w:rsid w:val="64A55009"/>
    <w:rsid w:val="64A65A66"/>
    <w:rsid w:val="64A74B06"/>
    <w:rsid w:val="64A76DDC"/>
    <w:rsid w:val="64A83900"/>
    <w:rsid w:val="64A97CF5"/>
    <w:rsid w:val="64AA6967"/>
    <w:rsid w:val="64AF5C09"/>
    <w:rsid w:val="64AF6309"/>
    <w:rsid w:val="64B32167"/>
    <w:rsid w:val="64B34FEC"/>
    <w:rsid w:val="64B43AC8"/>
    <w:rsid w:val="64B546BB"/>
    <w:rsid w:val="64B56841"/>
    <w:rsid w:val="64B5748D"/>
    <w:rsid w:val="64B63677"/>
    <w:rsid w:val="64B73164"/>
    <w:rsid w:val="64B7333A"/>
    <w:rsid w:val="64B86D40"/>
    <w:rsid w:val="64BA1191"/>
    <w:rsid w:val="64BB664B"/>
    <w:rsid w:val="64BC0B49"/>
    <w:rsid w:val="64BD231C"/>
    <w:rsid w:val="64BE61B5"/>
    <w:rsid w:val="64C00105"/>
    <w:rsid w:val="64C01EB3"/>
    <w:rsid w:val="64C26E09"/>
    <w:rsid w:val="64C34168"/>
    <w:rsid w:val="64C44402"/>
    <w:rsid w:val="64C65F88"/>
    <w:rsid w:val="64C96DD9"/>
    <w:rsid w:val="64CB0CDD"/>
    <w:rsid w:val="64CB76D4"/>
    <w:rsid w:val="64CC5A3E"/>
    <w:rsid w:val="64CD1105"/>
    <w:rsid w:val="64CD111D"/>
    <w:rsid w:val="64CE2822"/>
    <w:rsid w:val="64CE573B"/>
    <w:rsid w:val="64CF0348"/>
    <w:rsid w:val="64CF2CAC"/>
    <w:rsid w:val="64D01562"/>
    <w:rsid w:val="64D126C0"/>
    <w:rsid w:val="64D257B3"/>
    <w:rsid w:val="64D34C7C"/>
    <w:rsid w:val="64D45FFF"/>
    <w:rsid w:val="64D56067"/>
    <w:rsid w:val="64D60BF6"/>
    <w:rsid w:val="64D6659B"/>
    <w:rsid w:val="64D72050"/>
    <w:rsid w:val="64D82266"/>
    <w:rsid w:val="64D93174"/>
    <w:rsid w:val="64D95A02"/>
    <w:rsid w:val="64DA4FF3"/>
    <w:rsid w:val="64DC01B7"/>
    <w:rsid w:val="64DE249A"/>
    <w:rsid w:val="64DE67DD"/>
    <w:rsid w:val="64DF5A37"/>
    <w:rsid w:val="64E00B7D"/>
    <w:rsid w:val="64E01CF2"/>
    <w:rsid w:val="64E04087"/>
    <w:rsid w:val="64E060B2"/>
    <w:rsid w:val="64E076E5"/>
    <w:rsid w:val="64E13B69"/>
    <w:rsid w:val="64E21E2A"/>
    <w:rsid w:val="64E41DC3"/>
    <w:rsid w:val="64E43618"/>
    <w:rsid w:val="64E45D08"/>
    <w:rsid w:val="64E57F23"/>
    <w:rsid w:val="64E63306"/>
    <w:rsid w:val="64E67906"/>
    <w:rsid w:val="64E8140A"/>
    <w:rsid w:val="64E95A2C"/>
    <w:rsid w:val="64EA6C44"/>
    <w:rsid w:val="64EE1A97"/>
    <w:rsid w:val="64EE3286"/>
    <w:rsid w:val="64EE6A20"/>
    <w:rsid w:val="64EF09EB"/>
    <w:rsid w:val="64EF6909"/>
    <w:rsid w:val="64F00229"/>
    <w:rsid w:val="64F2474D"/>
    <w:rsid w:val="64F249ED"/>
    <w:rsid w:val="64F32289"/>
    <w:rsid w:val="64F367FE"/>
    <w:rsid w:val="64F3795D"/>
    <w:rsid w:val="64F37C83"/>
    <w:rsid w:val="64F42D75"/>
    <w:rsid w:val="64F63B27"/>
    <w:rsid w:val="64F733FB"/>
    <w:rsid w:val="64F73ED3"/>
    <w:rsid w:val="64F8151B"/>
    <w:rsid w:val="64F81930"/>
    <w:rsid w:val="64F937BE"/>
    <w:rsid w:val="64FA6308"/>
    <w:rsid w:val="64FA7712"/>
    <w:rsid w:val="64FB113D"/>
    <w:rsid w:val="64FC0235"/>
    <w:rsid w:val="64FE2BC6"/>
    <w:rsid w:val="64FE4A36"/>
    <w:rsid w:val="64FF62E8"/>
    <w:rsid w:val="65002699"/>
    <w:rsid w:val="650049A6"/>
    <w:rsid w:val="6501401F"/>
    <w:rsid w:val="65014172"/>
    <w:rsid w:val="65024493"/>
    <w:rsid w:val="6502710D"/>
    <w:rsid w:val="65030753"/>
    <w:rsid w:val="65045E61"/>
    <w:rsid w:val="650466C6"/>
    <w:rsid w:val="65046905"/>
    <w:rsid w:val="65062B86"/>
    <w:rsid w:val="65064151"/>
    <w:rsid w:val="65073BFF"/>
    <w:rsid w:val="65074105"/>
    <w:rsid w:val="65094967"/>
    <w:rsid w:val="650B2FCE"/>
    <w:rsid w:val="650D069A"/>
    <w:rsid w:val="650E70C3"/>
    <w:rsid w:val="651248C9"/>
    <w:rsid w:val="65126536"/>
    <w:rsid w:val="6512665D"/>
    <w:rsid w:val="65130235"/>
    <w:rsid w:val="65133218"/>
    <w:rsid w:val="65135467"/>
    <w:rsid w:val="65136487"/>
    <w:rsid w:val="65140886"/>
    <w:rsid w:val="65146AB2"/>
    <w:rsid w:val="65152165"/>
    <w:rsid w:val="65165F77"/>
    <w:rsid w:val="65177B21"/>
    <w:rsid w:val="6518472E"/>
    <w:rsid w:val="65190BD8"/>
    <w:rsid w:val="651A1EAC"/>
    <w:rsid w:val="651A744F"/>
    <w:rsid w:val="651D7306"/>
    <w:rsid w:val="651E4D27"/>
    <w:rsid w:val="65200324"/>
    <w:rsid w:val="65206DF6"/>
    <w:rsid w:val="65207558"/>
    <w:rsid w:val="652113EF"/>
    <w:rsid w:val="652201F3"/>
    <w:rsid w:val="65227E33"/>
    <w:rsid w:val="6524032D"/>
    <w:rsid w:val="65256CF4"/>
    <w:rsid w:val="65265959"/>
    <w:rsid w:val="65271D0E"/>
    <w:rsid w:val="652725B2"/>
    <w:rsid w:val="652811A1"/>
    <w:rsid w:val="65295CAB"/>
    <w:rsid w:val="652A1A23"/>
    <w:rsid w:val="652A608B"/>
    <w:rsid w:val="652B0B65"/>
    <w:rsid w:val="652B6C79"/>
    <w:rsid w:val="652C579B"/>
    <w:rsid w:val="652D7DDC"/>
    <w:rsid w:val="652F0974"/>
    <w:rsid w:val="652F0DDD"/>
    <w:rsid w:val="652F0DE7"/>
    <w:rsid w:val="65303DC9"/>
    <w:rsid w:val="6530528B"/>
    <w:rsid w:val="65305863"/>
    <w:rsid w:val="6530590C"/>
    <w:rsid w:val="65332685"/>
    <w:rsid w:val="6533605F"/>
    <w:rsid w:val="65361C40"/>
    <w:rsid w:val="65371254"/>
    <w:rsid w:val="65372126"/>
    <w:rsid w:val="65377536"/>
    <w:rsid w:val="653837EC"/>
    <w:rsid w:val="65387C9C"/>
    <w:rsid w:val="653B4797"/>
    <w:rsid w:val="653C3451"/>
    <w:rsid w:val="653F4015"/>
    <w:rsid w:val="653F54CE"/>
    <w:rsid w:val="654047C0"/>
    <w:rsid w:val="65414339"/>
    <w:rsid w:val="6542290B"/>
    <w:rsid w:val="65430F20"/>
    <w:rsid w:val="6543520D"/>
    <w:rsid w:val="65435BCA"/>
    <w:rsid w:val="65440CC7"/>
    <w:rsid w:val="65456147"/>
    <w:rsid w:val="65465F28"/>
    <w:rsid w:val="65481752"/>
    <w:rsid w:val="65487C3E"/>
    <w:rsid w:val="65497794"/>
    <w:rsid w:val="654A76BA"/>
    <w:rsid w:val="654D1C6D"/>
    <w:rsid w:val="654E74BF"/>
    <w:rsid w:val="654F5059"/>
    <w:rsid w:val="65504EF6"/>
    <w:rsid w:val="65505117"/>
    <w:rsid w:val="65521477"/>
    <w:rsid w:val="65526EC4"/>
    <w:rsid w:val="65530F79"/>
    <w:rsid w:val="655340BC"/>
    <w:rsid w:val="6554084E"/>
    <w:rsid w:val="6558360C"/>
    <w:rsid w:val="65594BA3"/>
    <w:rsid w:val="655A5E64"/>
    <w:rsid w:val="655B40BA"/>
    <w:rsid w:val="655B7A69"/>
    <w:rsid w:val="655D22F3"/>
    <w:rsid w:val="655D23F5"/>
    <w:rsid w:val="655D3BA6"/>
    <w:rsid w:val="655D5954"/>
    <w:rsid w:val="655D69CB"/>
    <w:rsid w:val="655E05CE"/>
    <w:rsid w:val="655E1BCB"/>
    <w:rsid w:val="655F16CC"/>
    <w:rsid w:val="655F6AB1"/>
    <w:rsid w:val="65605411"/>
    <w:rsid w:val="65605444"/>
    <w:rsid w:val="65605670"/>
    <w:rsid w:val="65615E7B"/>
    <w:rsid w:val="65616D96"/>
    <w:rsid w:val="656258BB"/>
    <w:rsid w:val="65650D00"/>
    <w:rsid w:val="65653B5D"/>
    <w:rsid w:val="65657727"/>
    <w:rsid w:val="65660CAD"/>
    <w:rsid w:val="656935FD"/>
    <w:rsid w:val="656A3B0A"/>
    <w:rsid w:val="656A4AB3"/>
    <w:rsid w:val="656C22FF"/>
    <w:rsid w:val="656C27A9"/>
    <w:rsid w:val="656C5B97"/>
    <w:rsid w:val="656C745D"/>
    <w:rsid w:val="656D2708"/>
    <w:rsid w:val="656D5081"/>
    <w:rsid w:val="656D6116"/>
    <w:rsid w:val="656E190F"/>
    <w:rsid w:val="656E1B1E"/>
    <w:rsid w:val="656E2699"/>
    <w:rsid w:val="6570115F"/>
    <w:rsid w:val="65704A58"/>
    <w:rsid w:val="65721468"/>
    <w:rsid w:val="65743DF8"/>
    <w:rsid w:val="657453AF"/>
    <w:rsid w:val="657617E2"/>
    <w:rsid w:val="6576554A"/>
    <w:rsid w:val="657700A1"/>
    <w:rsid w:val="65794317"/>
    <w:rsid w:val="65794C1B"/>
    <w:rsid w:val="657966D3"/>
    <w:rsid w:val="657B0706"/>
    <w:rsid w:val="657B4052"/>
    <w:rsid w:val="657C5397"/>
    <w:rsid w:val="657D67A9"/>
    <w:rsid w:val="657D6F4E"/>
    <w:rsid w:val="657E7B5C"/>
    <w:rsid w:val="6580777F"/>
    <w:rsid w:val="65811974"/>
    <w:rsid w:val="658174B6"/>
    <w:rsid w:val="6582360D"/>
    <w:rsid w:val="6582607D"/>
    <w:rsid w:val="658265DD"/>
    <w:rsid w:val="65843D37"/>
    <w:rsid w:val="65844F8D"/>
    <w:rsid w:val="6584687B"/>
    <w:rsid w:val="65856959"/>
    <w:rsid w:val="65865A67"/>
    <w:rsid w:val="65872767"/>
    <w:rsid w:val="658B6A49"/>
    <w:rsid w:val="658B72CD"/>
    <w:rsid w:val="658C75BD"/>
    <w:rsid w:val="658D110E"/>
    <w:rsid w:val="658E7B9D"/>
    <w:rsid w:val="658F7A9A"/>
    <w:rsid w:val="6590449A"/>
    <w:rsid w:val="65913850"/>
    <w:rsid w:val="65921F7B"/>
    <w:rsid w:val="65926A06"/>
    <w:rsid w:val="65927FB8"/>
    <w:rsid w:val="65932723"/>
    <w:rsid w:val="65932756"/>
    <w:rsid w:val="6593581A"/>
    <w:rsid w:val="65953340"/>
    <w:rsid w:val="65965373"/>
    <w:rsid w:val="65982BDD"/>
    <w:rsid w:val="65985316"/>
    <w:rsid w:val="659A0F18"/>
    <w:rsid w:val="659A1083"/>
    <w:rsid w:val="659A56E6"/>
    <w:rsid w:val="659A6074"/>
    <w:rsid w:val="659C1373"/>
    <w:rsid w:val="659C46CE"/>
    <w:rsid w:val="659D1FEC"/>
    <w:rsid w:val="659D3FA3"/>
    <w:rsid w:val="659D4FDB"/>
    <w:rsid w:val="659D5CF8"/>
    <w:rsid w:val="65A15102"/>
    <w:rsid w:val="65A35B38"/>
    <w:rsid w:val="65A35F8B"/>
    <w:rsid w:val="65A51119"/>
    <w:rsid w:val="65A54634"/>
    <w:rsid w:val="65A6554D"/>
    <w:rsid w:val="65A753BA"/>
    <w:rsid w:val="65A76BCF"/>
    <w:rsid w:val="65A84C00"/>
    <w:rsid w:val="65AB451A"/>
    <w:rsid w:val="65AC7364"/>
    <w:rsid w:val="65AD4D1F"/>
    <w:rsid w:val="65AE33E0"/>
    <w:rsid w:val="65B110CD"/>
    <w:rsid w:val="65B20F77"/>
    <w:rsid w:val="65B33BEC"/>
    <w:rsid w:val="65B35574"/>
    <w:rsid w:val="65B37C6A"/>
    <w:rsid w:val="65B42112"/>
    <w:rsid w:val="65B4429E"/>
    <w:rsid w:val="65B75534"/>
    <w:rsid w:val="65B75E88"/>
    <w:rsid w:val="65BB62A0"/>
    <w:rsid w:val="65BE57C0"/>
    <w:rsid w:val="65BF03BD"/>
    <w:rsid w:val="65C01118"/>
    <w:rsid w:val="65C07C91"/>
    <w:rsid w:val="65C50FC8"/>
    <w:rsid w:val="65C53507"/>
    <w:rsid w:val="65C60144"/>
    <w:rsid w:val="65C6174B"/>
    <w:rsid w:val="65C6799D"/>
    <w:rsid w:val="65C732DF"/>
    <w:rsid w:val="65C9251A"/>
    <w:rsid w:val="65C93BE3"/>
    <w:rsid w:val="65C94727"/>
    <w:rsid w:val="65CB654F"/>
    <w:rsid w:val="65CC41F5"/>
    <w:rsid w:val="65CE0600"/>
    <w:rsid w:val="65CE3F9D"/>
    <w:rsid w:val="65CF114E"/>
    <w:rsid w:val="65D1091E"/>
    <w:rsid w:val="65D133AF"/>
    <w:rsid w:val="65D35115"/>
    <w:rsid w:val="65D54C8C"/>
    <w:rsid w:val="65D654DC"/>
    <w:rsid w:val="65D7216C"/>
    <w:rsid w:val="65D75FAE"/>
    <w:rsid w:val="65D93800"/>
    <w:rsid w:val="65DA35BA"/>
    <w:rsid w:val="65DC0B09"/>
    <w:rsid w:val="65DE2B9C"/>
    <w:rsid w:val="65E22973"/>
    <w:rsid w:val="65E25E59"/>
    <w:rsid w:val="65E31408"/>
    <w:rsid w:val="65E4762B"/>
    <w:rsid w:val="65E600D2"/>
    <w:rsid w:val="65E64613"/>
    <w:rsid w:val="65E654FC"/>
    <w:rsid w:val="65E6594A"/>
    <w:rsid w:val="65E67934"/>
    <w:rsid w:val="65E67BA5"/>
    <w:rsid w:val="65E73D86"/>
    <w:rsid w:val="65EA4409"/>
    <w:rsid w:val="65EB3A59"/>
    <w:rsid w:val="65EC74F1"/>
    <w:rsid w:val="65EC7FAC"/>
    <w:rsid w:val="65EE0CA2"/>
    <w:rsid w:val="65F012DD"/>
    <w:rsid w:val="65F17257"/>
    <w:rsid w:val="65F23FFE"/>
    <w:rsid w:val="65F405C7"/>
    <w:rsid w:val="65F4277A"/>
    <w:rsid w:val="65F55B8D"/>
    <w:rsid w:val="65F8526B"/>
    <w:rsid w:val="65F86A28"/>
    <w:rsid w:val="65F972C2"/>
    <w:rsid w:val="65FA371A"/>
    <w:rsid w:val="65FA4823"/>
    <w:rsid w:val="65FA522A"/>
    <w:rsid w:val="65FB3207"/>
    <w:rsid w:val="65FD0C9E"/>
    <w:rsid w:val="65FD0E6C"/>
    <w:rsid w:val="65FE7137"/>
    <w:rsid w:val="65FF4C5D"/>
    <w:rsid w:val="660011E0"/>
    <w:rsid w:val="660065E3"/>
    <w:rsid w:val="660074FA"/>
    <w:rsid w:val="660404C6"/>
    <w:rsid w:val="660414F9"/>
    <w:rsid w:val="66045A80"/>
    <w:rsid w:val="660460F1"/>
    <w:rsid w:val="660576BF"/>
    <w:rsid w:val="66081760"/>
    <w:rsid w:val="66096988"/>
    <w:rsid w:val="660B787B"/>
    <w:rsid w:val="660D2ED6"/>
    <w:rsid w:val="660D548D"/>
    <w:rsid w:val="660D5738"/>
    <w:rsid w:val="66100116"/>
    <w:rsid w:val="661007D1"/>
    <w:rsid w:val="66104212"/>
    <w:rsid w:val="66112C08"/>
    <w:rsid w:val="6611479D"/>
    <w:rsid w:val="661164FE"/>
    <w:rsid w:val="66117A85"/>
    <w:rsid w:val="66123A5E"/>
    <w:rsid w:val="661324B7"/>
    <w:rsid w:val="66134265"/>
    <w:rsid w:val="66173FFF"/>
    <w:rsid w:val="661819EC"/>
    <w:rsid w:val="66186012"/>
    <w:rsid w:val="661A38C3"/>
    <w:rsid w:val="661C32DD"/>
    <w:rsid w:val="661F2348"/>
    <w:rsid w:val="661F4BB7"/>
    <w:rsid w:val="66204DE2"/>
    <w:rsid w:val="6621372E"/>
    <w:rsid w:val="66214BD4"/>
    <w:rsid w:val="66225C4B"/>
    <w:rsid w:val="6625438F"/>
    <w:rsid w:val="662621EA"/>
    <w:rsid w:val="66287D10"/>
    <w:rsid w:val="6629369F"/>
    <w:rsid w:val="662B03CC"/>
    <w:rsid w:val="662B15AE"/>
    <w:rsid w:val="662B3B37"/>
    <w:rsid w:val="662B40E0"/>
    <w:rsid w:val="662C71A8"/>
    <w:rsid w:val="662D17CA"/>
    <w:rsid w:val="66303069"/>
    <w:rsid w:val="66317672"/>
    <w:rsid w:val="66331334"/>
    <w:rsid w:val="66353B8B"/>
    <w:rsid w:val="66372EE3"/>
    <w:rsid w:val="663812EA"/>
    <w:rsid w:val="66381E21"/>
    <w:rsid w:val="6638521D"/>
    <w:rsid w:val="663921BB"/>
    <w:rsid w:val="6639277A"/>
    <w:rsid w:val="663A44F5"/>
    <w:rsid w:val="663C1A0D"/>
    <w:rsid w:val="663C37BC"/>
    <w:rsid w:val="663C7DFC"/>
    <w:rsid w:val="663F32AC"/>
    <w:rsid w:val="663F6891"/>
    <w:rsid w:val="66411701"/>
    <w:rsid w:val="66415276"/>
    <w:rsid w:val="664215C6"/>
    <w:rsid w:val="66453D19"/>
    <w:rsid w:val="66460FA9"/>
    <w:rsid w:val="664774B4"/>
    <w:rsid w:val="664850E3"/>
    <w:rsid w:val="66486604"/>
    <w:rsid w:val="6649491D"/>
    <w:rsid w:val="66495ED8"/>
    <w:rsid w:val="664A035D"/>
    <w:rsid w:val="664C74D8"/>
    <w:rsid w:val="664D3B44"/>
    <w:rsid w:val="664E0668"/>
    <w:rsid w:val="664F1741"/>
    <w:rsid w:val="664F7993"/>
    <w:rsid w:val="6653422F"/>
    <w:rsid w:val="6655487D"/>
    <w:rsid w:val="66555095"/>
    <w:rsid w:val="665651F7"/>
    <w:rsid w:val="66565803"/>
    <w:rsid w:val="66576211"/>
    <w:rsid w:val="66576847"/>
    <w:rsid w:val="665D53CC"/>
    <w:rsid w:val="665D63BD"/>
    <w:rsid w:val="665E09E7"/>
    <w:rsid w:val="665E4573"/>
    <w:rsid w:val="665F0B49"/>
    <w:rsid w:val="665F1D29"/>
    <w:rsid w:val="66631110"/>
    <w:rsid w:val="666346EA"/>
    <w:rsid w:val="66635810"/>
    <w:rsid w:val="66636F9A"/>
    <w:rsid w:val="666431EA"/>
    <w:rsid w:val="66647351"/>
    <w:rsid w:val="66652D12"/>
    <w:rsid w:val="66663A43"/>
    <w:rsid w:val="66676016"/>
    <w:rsid w:val="666878CC"/>
    <w:rsid w:val="666902A6"/>
    <w:rsid w:val="666920D7"/>
    <w:rsid w:val="666948C4"/>
    <w:rsid w:val="666A0329"/>
    <w:rsid w:val="666A0801"/>
    <w:rsid w:val="666A1CFB"/>
    <w:rsid w:val="666B40A1"/>
    <w:rsid w:val="666B5E4F"/>
    <w:rsid w:val="666C1B19"/>
    <w:rsid w:val="666C3121"/>
    <w:rsid w:val="666D1BA3"/>
    <w:rsid w:val="666D6533"/>
    <w:rsid w:val="666E5877"/>
    <w:rsid w:val="666E5CAD"/>
    <w:rsid w:val="666F3F89"/>
    <w:rsid w:val="66700C12"/>
    <w:rsid w:val="66705C12"/>
    <w:rsid w:val="66707DFA"/>
    <w:rsid w:val="66711F53"/>
    <w:rsid w:val="66714535"/>
    <w:rsid w:val="6672542F"/>
    <w:rsid w:val="6672546B"/>
    <w:rsid w:val="66725FA1"/>
    <w:rsid w:val="667354DB"/>
    <w:rsid w:val="6673696B"/>
    <w:rsid w:val="66767DE3"/>
    <w:rsid w:val="667A3D28"/>
    <w:rsid w:val="667D586E"/>
    <w:rsid w:val="667E3DD4"/>
    <w:rsid w:val="667F4E78"/>
    <w:rsid w:val="667F60AA"/>
    <w:rsid w:val="66803D5D"/>
    <w:rsid w:val="66815672"/>
    <w:rsid w:val="668469E5"/>
    <w:rsid w:val="66853938"/>
    <w:rsid w:val="6685501F"/>
    <w:rsid w:val="66875032"/>
    <w:rsid w:val="66896B5E"/>
    <w:rsid w:val="668A0DFC"/>
    <w:rsid w:val="668A2164"/>
    <w:rsid w:val="668A455E"/>
    <w:rsid w:val="668B4284"/>
    <w:rsid w:val="668B5EBB"/>
    <w:rsid w:val="668C179A"/>
    <w:rsid w:val="668C3B5D"/>
    <w:rsid w:val="668D2F14"/>
    <w:rsid w:val="668D2FD9"/>
    <w:rsid w:val="668E32D6"/>
    <w:rsid w:val="668E63A9"/>
    <w:rsid w:val="66915762"/>
    <w:rsid w:val="66937143"/>
    <w:rsid w:val="669406BC"/>
    <w:rsid w:val="66952ECC"/>
    <w:rsid w:val="66957B32"/>
    <w:rsid w:val="669748D6"/>
    <w:rsid w:val="66983372"/>
    <w:rsid w:val="66986FB3"/>
    <w:rsid w:val="669A79ED"/>
    <w:rsid w:val="669C0AAD"/>
    <w:rsid w:val="669C376D"/>
    <w:rsid w:val="669C5E64"/>
    <w:rsid w:val="669D5A33"/>
    <w:rsid w:val="669E7FD2"/>
    <w:rsid w:val="66A01F9C"/>
    <w:rsid w:val="66A54284"/>
    <w:rsid w:val="66A61722"/>
    <w:rsid w:val="66A64DF9"/>
    <w:rsid w:val="66A65723"/>
    <w:rsid w:val="66A7157D"/>
    <w:rsid w:val="66A82BFF"/>
    <w:rsid w:val="66A86CA8"/>
    <w:rsid w:val="66A9783B"/>
    <w:rsid w:val="66AB0941"/>
    <w:rsid w:val="66AB3551"/>
    <w:rsid w:val="66AC60CF"/>
    <w:rsid w:val="66AD6467"/>
    <w:rsid w:val="66AE2B5D"/>
    <w:rsid w:val="66AE3C2E"/>
    <w:rsid w:val="66AE71A9"/>
    <w:rsid w:val="66AF1430"/>
    <w:rsid w:val="66AF4AB6"/>
    <w:rsid w:val="66AF5135"/>
    <w:rsid w:val="66B04310"/>
    <w:rsid w:val="66B15D46"/>
    <w:rsid w:val="66B337FA"/>
    <w:rsid w:val="66B374FF"/>
    <w:rsid w:val="66B43C9A"/>
    <w:rsid w:val="66B52CF9"/>
    <w:rsid w:val="66B56294"/>
    <w:rsid w:val="66B62179"/>
    <w:rsid w:val="66B8168E"/>
    <w:rsid w:val="66B94F27"/>
    <w:rsid w:val="66B96B1F"/>
    <w:rsid w:val="66BA1500"/>
    <w:rsid w:val="66BB0F04"/>
    <w:rsid w:val="66BB693E"/>
    <w:rsid w:val="66BC030D"/>
    <w:rsid w:val="66BC0AA4"/>
    <w:rsid w:val="66BD6F8D"/>
    <w:rsid w:val="66BD7A81"/>
    <w:rsid w:val="66BE4593"/>
    <w:rsid w:val="66BE49BE"/>
    <w:rsid w:val="66C22E74"/>
    <w:rsid w:val="66C23136"/>
    <w:rsid w:val="66C336DD"/>
    <w:rsid w:val="66C37B75"/>
    <w:rsid w:val="66C57C55"/>
    <w:rsid w:val="66C7577B"/>
    <w:rsid w:val="66C80954"/>
    <w:rsid w:val="66C82E62"/>
    <w:rsid w:val="66C87F45"/>
    <w:rsid w:val="66CA3376"/>
    <w:rsid w:val="66CB53F1"/>
    <w:rsid w:val="66CB6964"/>
    <w:rsid w:val="66CC17A7"/>
    <w:rsid w:val="66CD097F"/>
    <w:rsid w:val="66CD28BF"/>
    <w:rsid w:val="66CE7AD7"/>
    <w:rsid w:val="66CF26FB"/>
    <w:rsid w:val="66D03940"/>
    <w:rsid w:val="66D1057D"/>
    <w:rsid w:val="66D15EF7"/>
    <w:rsid w:val="66D16C71"/>
    <w:rsid w:val="66D46FD3"/>
    <w:rsid w:val="66D67EE2"/>
    <w:rsid w:val="66D7663C"/>
    <w:rsid w:val="66D8674A"/>
    <w:rsid w:val="66D968EE"/>
    <w:rsid w:val="66D96FC3"/>
    <w:rsid w:val="66DA0110"/>
    <w:rsid w:val="66DA06EA"/>
    <w:rsid w:val="66DB02DB"/>
    <w:rsid w:val="66DB7082"/>
    <w:rsid w:val="66DB7997"/>
    <w:rsid w:val="66DE0D17"/>
    <w:rsid w:val="66DE76B0"/>
    <w:rsid w:val="66DE78A2"/>
    <w:rsid w:val="66DF121A"/>
    <w:rsid w:val="66E10A89"/>
    <w:rsid w:val="66E4125A"/>
    <w:rsid w:val="66E418B0"/>
    <w:rsid w:val="66E44DA2"/>
    <w:rsid w:val="66E45509"/>
    <w:rsid w:val="66E52B79"/>
    <w:rsid w:val="66E60BBC"/>
    <w:rsid w:val="66E63713"/>
    <w:rsid w:val="66E63727"/>
    <w:rsid w:val="66E63B5E"/>
    <w:rsid w:val="66E77E0F"/>
    <w:rsid w:val="66E867D7"/>
    <w:rsid w:val="66E96DCF"/>
    <w:rsid w:val="66EA104A"/>
    <w:rsid w:val="66EA1965"/>
    <w:rsid w:val="66EA796E"/>
    <w:rsid w:val="66EB5EC0"/>
    <w:rsid w:val="66EC5262"/>
    <w:rsid w:val="66ED0FD2"/>
    <w:rsid w:val="66ED209F"/>
    <w:rsid w:val="66EF2B62"/>
    <w:rsid w:val="66EF5DF0"/>
    <w:rsid w:val="66EF6A80"/>
    <w:rsid w:val="66F12373"/>
    <w:rsid w:val="66F13DA0"/>
    <w:rsid w:val="66F17C23"/>
    <w:rsid w:val="66F2036E"/>
    <w:rsid w:val="66F366C0"/>
    <w:rsid w:val="66F50FF3"/>
    <w:rsid w:val="66F52B0D"/>
    <w:rsid w:val="66F67E0E"/>
    <w:rsid w:val="66F7221C"/>
    <w:rsid w:val="66F83B86"/>
    <w:rsid w:val="66F95AFD"/>
    <w:rsid w:val="66F97AB3"/>
    <w:rsid w:val="66FA65C0"/>
    <w:rsid w:val="66FD1471"/>
    <w:rsid w:val="66FE4F15"/>
    <w:rsid w:val="66FF0770"/>
    <w:rsid w:val="67006EDF"/>
    <w:rsid w:val="670074C7"/>
    <w:rsid w:val="67007D83"/>
    <w:rsid w:val="67021596"/>
    <w:rsid w:val="67035B76"/>
    <w:rsid w:val="6704453E"/>
    <w:rsid w:val="67044F7F"/>
    <w:rsid w:val="67045135"/>
    <w:rsid w:val="67071E28"/>
    <w:rsid w:val="670771EC"/>
    <w:rsid w:val="67090837"/>
    <w:rsid w:val="67091CCB"/>
    <w:rsid w:val="670927AC"/>
    <w:rsid w:val="670A2121"/>
    <w:rsid w:val="670A76AB"/>
    <w:rsid w:val="670B50D6"/>
    <w:rsid w:val="670B5CF4"/>
    <w:rsid w:val="670C4F98"/>
    <w:rsid w:val="670C54AB"/>
    <w:rsid w:val="670E3A3A"/>
    <w:rsid w:val="671130D8"/>
    <w:rsid w:val="6712481A"/>
    <w:rsid w:val="67127C7D"/>
    <w:rsid w:val="671319B0"/>
    <w:rsid w:val="67151DCF"/>
    <w:rsid w:val="67157D6C"/>
    <w:rsid w:val="6716400D"/>
    <w:rsid w:val="67176CA3"/>
    <w:rsid w:val="67183B38"/>
    <w:rsid w:val="671940DB"/>
    <w:rsid w:val="671B4A39"/>
    <w:rsid w:val="671B4CF1"/>
    <w:rsid w:val="671C554F"/>
    <w:rsid w:val="671E3435"/>
    <w:rsid w:val="671F633C"/>
    <w:rsid w:val="67204E8B"/>
    <w:rsid w:val="67211342"/>
    <w:rsid w:val="672122D3"/>
    <w:rsid w:val="67213792"/>
    <w:rsid w:val="672158EA"/>
    <w:rsid w:val="67220BBC"/>
    <w:rsid w:val="6722293A"/>
    <w:rsid w:val="67226FEF"/>
    <w:rsid w:val="67236729"/>
    <w:rsid w:val="6726293F"/>
    <w:rsid w:val="67263BD8"/>
    <w:rsid w:val="6729770A"/>
    <w:rsid w:val="672A1135"/>
    <w:rsid w:val="672A7AB8"/>
    <w:rsid w:val="672C2426"/>
    <w:rsid w:val="672D219E"/>
    <w:rsid w:val="672E4E33"/>
    <w:rsid w:val="672E75A8"/>
    <w:rsid w:val="672F71F5"/>
    <w:rsid w:val="67333B53"/>
    <w:rsid w:val="67362E6F"/>
    <w:rsid w:val="673638E0"/>
    <w:rsid w:val="67364881"/>
    <w:rsid w:val="67380427"/>
    <w:rsid w:val="673821D5"/>
    <w:rsid w:val="67386444"/>
    <w:rsid w:val="673A282D"/>
    <w:rsid w:val="673B33C9"/>
    <w:rsid w:val="673B3A73"/>
    <w:rsid w:val="673D79A1"/>
    <w:rsid w:val="673F17B5"/>
    <w:rsid w:val="673F6A27"/>
    <w:rsid w:val="67407898"/>
    <w:rsid w:val="67410733"/>
    <w:rsid w:val="67423054"/>
    <w:rsid w:val="6742305D"/>
    <w:rsid w:val="67423E0C"/>
    <w:rsid w:val="67446DCC"/>
    <w:rsid w:val="6745464E"/>
    <w:rsid w:val="674A094A"/>
    <w:rsid w:val="674A351B"/>
    <w:rsid w:val="674B173C"/>
    <w:rsid w:val="674C2AF2"/>
    <w:rsid w:val="674C4A53"/>
    <w:rsid w:val="674D0403"/>
    <w:rsid w:val="674D3CE9"/>
    <w:rsid w:val="67505450"/>
    <w:rsid w:val="675054F0"/>
    <w:rsid w:val="67512142"/>
    <w:rsid w:val="67513297"/>
    <w:rsid w:val="67523AC3"/>
    <w:rsid w:val="67523E37"/>
    <w:rsid w:val="67541A30"/>
    <w:rsid w:val="67542A49"/>
    <w:rsid w:val="6755664A"/>
    <w:rsid w:val="67560396"/>
    <w:rsid w:val="675651A7"/>
    <w:rsid w:val="6757400E"/>
    <w:rsid w:val="67574148"/>
    <w:rsid w:val="675958B6"/>
    <w:rsid w:val="675B2171"/>
    <w:rsid w:val="675B22B1"/>
    <w:rsid w:val="675D1C3B"/>
    <w:rsid w:val="675E23FB"/>
    <w:rsid w:val="67605671"/>
    <w:rsid w:val="67606591"/>
    <w:rsid w:val="676153FD"/>
    <w:rsid w:val="67626DAE"/>
    <w:rsid w:val="67642630"/>
    <w:rsid w:val="676514A7"/>
    <w:rsid w:val="67667FA0"/>
    <w:rsid w:val="676755BE"/>
    <w:rsid w:val="67680778"/>
    <w:rsid w:val="676A5208"/>
    <w:rsid w:val="676A58F9"/>
    <w:rsid w:val="676B11E5"/>
    <w:rsid w:val="676B2CEC"/>
    <w:rsid w:val="676D14B1"/>
    <w:rsid w:val="676D4F4B"/>
    <w:rsid w:val="676E1873"/>
    <w:rsid w:val="67701963"/>
    <w:rsid w:val="6770247D"/>
    <w:rsid w:val="6770255C"/>
    <w:rsid w:val="67707E98"/>
    <w:rsid w:val="6771764C"/>
    <w:rsid w:val="677223D4"/>
    <w:rsid w:val="67723797"/>
    <w:rsid w:val="6773320D"/>
    <w:rsid w:val="6773446C"/>
    <w:rsid w:val="67734C0B"/>
    <w:rsid w:val="67743486"/>
    <w:rsid w:val="67755B92"/>
    <w:rsid w:val="67760F4F"/>
    <w:rsid w:val="67762AC9"/>
    <w:rsid w:val="67765354"/>
    <w:rsid w:val="677871A4"/>
    <w:rsid w:val="6779459B"/>
    <w:rsid w:val="67794E58"/>
    <w:rsid w:val="677A0A3F"/>
    <w:rsid w:val="677A13E7"/>
    <w:rsid w:val="677B3824"/>
    <w:rsid w:val="67801FF6"/>
    <w:rsid w:val="678161BB"/>
    <w:rsid w:val="6782249A"/>
    <w:rsid w:val="678243B9"/>
    <w:rsid w:val="678341BF"/>
    <w:rsid w:val="67862220"/>
    <w:rsid w:val="67866CFD"/>
    <w:rsid w:val="6786702E"/>
    <w:rsid w:val="678710AA"/>
    <w:rsid w:val="6787259A"/>
    <w:rsid w:val="67880668"/>
    <w:rsid w:val="67890C82"/>
    <w:rsid w:val="678A5DDD"/>
    <w:rsid w:val="678B118C"/>
    <w:rsid w:val="678B42CB"/>
    <w:rsid w:val="678C54B7"/>
    <w:rsid w:val="678E1B0C"/>
    <w:rsid w:val="678F3DBF"/>
    <w:rsid w:val="67926B9F"/>
    <w:rsid w:val="67933201"/>
    <w:rsid w:val="6793442E"/>
    <w:rsid w:val="679451D1"/>
    <w:rsid w:val="679466BE"/>
    <w:rsid w:val="679528B0"/>
    <w:rsid w:val="67953F5D"/>
    <w:rsid w:val="67963BF2"/>
    <w:rsid w:val="679652E3"/>
    <w:rsid w:val="679744DF"/>
    <w:rsid w:val="67984F99"/>
    <w:rsid w:val="67985CB9"/>
    <w:rsid w:val="679A6900"/>
    <w:rsid w:val="679B51F9"/>
    <w:rsid w:val="679C1682"/>
    <w:rsid w:val="679C3E24"/>
    <w:rsid w:val="679D17B5"/>
    <w:rsid w:val="679F04A6"/>
    <w:rsid w:val="679F1169"/>
    <w:rsid w:val="679F4002"/>
    <w:rsid w:val="67A1421E"/>
    <w:rsid w:val="67A15776"/>
    <w:rsid w:val="67A51218"/>
    <w:rsid w:val="67A755AC"/>
    <w:rsid w:val="67A86F6A"/>
    <w:rsid w:val="67AA53C7"/>
    <w:rsid w:val="67AC4971"/>
    <w:rsid w:val="67AD2607"/>
    <w:rsid w:val="67AE2497"/>
    <w:rsid w:val="67AE7B43"/>
    <w:rsid w:val="67AF410F"/>
    <w:rsid w:val="67B03D13"/>
    <w:rsid w:val="67B238A6"/>
    <w:rsid w:val="67B354BF"/>
    <w:rsid w:val="67B36479"/>
    <w:rsid w:val="67B4591A"/>
    <w:rsid w:val="67B56437"/>
    <w:rsid w:val="67B565EB"/>
    <w:rsid w:val="67B747A2"/>
    <w:rsid w:val="67B74A0C"/>
    <w:rsid w:val="67B75622"/>
    <w:rsid w:val="67B9286D"/>
    <w:rsid w:val="67BA01C1"/>
    <w:rsid w:val="67BA0E3C"/>
    <w:rsid w:val="67BA5B32"/>
    <w:rsid w:val="67BA7CC0"/>
    <w:rsid w:val="67BB0C58"/>
    <w:rsid w:val="67BD092C"/>
    <w:rsid w:val="67BD26DA"/>
    <w:rsid w:val="67BD6B7E"/>
    <w:rsid w:val="67BF0C05"/>
    <w:rsid w:val="67C01797"/>
    <w:rsid w:val="67C01D4E"/>
    <w:rsid w:val="67C021CA"/>
    <w:rsid w:val="67C05B1A"/>
    <w:rsid w:val="67C1041C"/>
    <w:rsid w:val="67C13094"/>
    <w:rsid w:val="67C14D4F"/>
    <w:rsid w:val="67C537C4"/>
    <w:rsid w:val="67C9107F"/>
    <w:rsid w:val="67CB3049"/>
    <w:rsid w:val="67CD0024"/>
    <w:rsid w:val="67CE0B87"/>
    <w:rsid w:val="67CE48E7"/>
    <w:rsid w:val="67CE4ED7"/>
    <w:rsid w:val="67CE5DDA"/>
    <w:rsid w:val="67CF2049"/>
    <w:rsid w:val="67CF41BD"/>
    <w:rsid w:val="67D050C2"/>
    <w:rsid w:val="67D070E2"/>
    <w:rsid w:val="67D17082"/>
    <w:rsid w:val="67D37CA0"/>
    <w:rsid w:val="67D457BC"/>
    <w:rsid w:val="67D516A3"/>
    <w:rsid w:val="67D52F54"/>
    <w:rsid w:val="67D53EC8"/>
    <w:rsid w:val="67D64A49"/>
    <w:rsid w:val="67D675DB"/>
    <w:rsid w:val="67D712A2"/>
    <w:rsid w:val="67DB1458"/>
    <w:rsid w:val="67DB2106"/>
    <w:rsid w:val="67DD0864"/>
    <w:rsid w:val="67DD3E48"/>
    <w:rsid w:val="67DD4B2A"/>
    <w:rsid w:val="67DF4D46"/>
    <w:rsid w:val="67E05E5B"/>
    <w:rsid w:val="67E1286C"/>
    <w:rsid w:val="67E14D7E"/>
    <w:rsid w:val="67E175F7"/>
    <w:rsid w:val="67E20393"/>
    <w:rsid w:val="67E260DB"/>
    <w:rsid w:val="67E364E5"/>
    <w:rsid w:val="67E45EB9"/>
    <w:rsid w:val="67E5463B"/>
    <w:rsid w:val="67E87498"/>
    <w:rsid w:val="67E91419"/>
    <w:rsid w:val="67E92A48"/>
    <w:rsid w:val="67E934CF"/>
    <w:rsid w:val="67E97EC8"/>
    <w:rsid w:val="67EA2F3D"/>
    <w:rsid w:val="67EA3BDA"/>
    <w:rsid w:val="67EB7023"/>
    <w:rsid w:val="67EC2FBF"/>
    <w:rsid w:val="67EC57E8"/>
    <w:rsid w:val="67ED19DC"/>
    <w:rsid w:val="67ED1D74"/>
    <w:rsid w:val="67ED29B0"/>
    <w:rsid w:val="67ED6539"/>
    <w:rsid w:val="67EE08F1"/>
    <w:rsid w:val="67EE5B24"/>
    <w:rsid w:val="67F01465"/>
    <w:rsid w:val="67F02CB7"/>
    <w:rsid w:val="67F21F07"/>
    <w:rsid w:val="67F3592B"/>
    <w:rsid w:val="67F43425"/>
    <w:rsid w:val="67F465B3"/>
    <w:rsid w:val="67F500C6"/>
    <w:rsid w:val="67F7371C"/>
    <w:rsid w:val="67F847ED"/>
    <w:rsid w:val="67F87BB6"/>
    <w:rsid w:val="67FA4DDD"/>
    <w:rsid w:val="67FC3D45"/>
    <w:rsid w:val="67FD4E1A"/>
    <w:rsid w:val="67FD51CC"/>
    <w:rsid w:val="67FD72B5"/>
    <w:rsid w:val="67FF1EAE"/>
    <w:rsid w:val="67FF2CF3"/>
    <w:rsid w:val="6804038D"/>
    <w:rsid w:val="68057461"/>
    <w:rsid w:val="68061D81"/>
    <w:rsid w:val="680846A1"/>
    <w:rsid w:val="68084F5C"/>
    <w:rsid w:val="680A3EC7"/>
    <w:rsid w:val="680A5A11"/>
    <w:rsid w:val="680A6137"/>
    <w:rsid w:val="680B0534"/>
    <w:rsid w:val="680B27AF"/>
    <w:rsid w:val="680D1544"/>
    <w:rsid w:val="680D5952"/>
    <w:rsid w:val="680D7890"/>
    <w:rsid w:val="680E538A"/>
    <w:rsid w:val="680E6F0D"/>
    <w:rsid w:val="680F02B0"/>
    <w:rsid w:val="680F531F"/>
    <w:rsid w:val="68103BEC"/>
    <w:rsid w:val="68110DFC"/>
    <w:rsid w:val="68117157"/>
    <w:rsid w:val="68165B43"/>
    <w:rsid w:val="68170D40"/>
    <w:rsid w:val="6819518E"/>
    <w:rsid w:val="681A7BCC"/>
    <w:rsid w:val="681C38A5"/>
    <w:rsid w:val="681D13CB"/>
    <w:rsid w:val="681D1D81"/>
    <w:rsid w:val="681F08C7"/>
    <w:rsid w:val="68201072"/>
    <w:rsid w:val="682033F3"/>
    <w:rsid w:val="68211576"/>
    <w:rsid w:val="68211702"/>
    <w:rsid w:val="682138BE"/>
    <w:rsid w:val="68230865"/>
    <w:rsid w:val="68235C54"/>
    <w:rsid w:val="6824662B"/>
    <w:rsid w:val="682575C3"/>
    <w:rsid w:val="682643BE"/>
    <w:rsid w:val="6827609B"/>
    <w:rsid w:val="6828049B"/>
    <w:rsid w:val="68281D39"/>
    <w:rsid w:val="68285E18"/>
    <w:rsid w:val="682A6BF9"/>
    <w:rsid w:val="682C160E"/>
    <w:rsid w:val="682C24C2"/>
    <w:rsid w:val="682C260C"/>
    <w:rsid w:val="682D3D04"/>
    <w:rsid w:val="682D4D6B"/>
    <w:rsid w:val="682D7DA0"/>
    <w:rsid w:val="682E1D2A"/>
    <w:rsid w:val="68313749"/>
    <w:rsid w:val="68320187"/>
    <w:rsid w:val="68326677"/>
    <w:rsid w:val="6833592B"/>
    <w:rsid w:val="68341D14"/>
    <w:rsid w:val="68351B40"/>
    <w:rsid w:val="6835594A"/>
    <w:rsid w:val="68362E23"/>
    <w:rsid w:val="68363C50"/>
    <w:rsid w:val="68374295"/>
    <w:rsid w:val="683926A8"/>
    <w:rsid w:val="683934CF"/>
    <w:rsid w:val="683967C4"/>
    <w:rsid w:val="683A590B"/>
    <w:rsid w:val="683B0AA4"/>
    <w:rsid w:val="683B5501"/>
    <w:rsid w:val="683D54AC"/>
    <w:rsid w:val="683D608B"/>
    <w:rsid w:val="68410C73"/>
    <w:rsid w:val="684136A6"/>
    <w:rsid w:val="68415177"/>
    <w:rsid w:val="68430937"/>
    <w:rsid w:val="68435106"/>
    <w:rsid w:val="684352D5"/>
    <w:rsid w:val="68436452"/>
    <w:rsid w:val="68442DFB"/>
    <w:rsid w:val="684469AB"/>
    <w:rsid w:val="68456C28"/>
    <w:rsid w:val="68460DCF"/>
    <w:rsid w:val="684828EC"/>
    <w:rsid w:val="68493A83"/>
    <w:rsid w:val="684A2231"/>
    <w:rsid w:val="684B20EA"/>
    <w:rsid w:val="684B23DC"/>
    <w:rsid w:val="684C2B1C"/>
    <w:rsid w:val="684D41BC"/>
    <w:rsid w:val="684D76D7"/>
    <w:rsid w:val="684D7D87"/>
    <w:rsid w:val="684E0520"/>
    <w:rsid w:val="685002C6"/>
    <w:rsid w:val="68501331"/>
    <w:rsid w:val="68512AFB"/>
    <w:rsid w:val="685154BA"/>
    <w:rsid w:val="6852321A"/>
    <w:rsid w:val="685511D4"/>
    <w:rsid w:val="68564F16"/>
    <w:rsid w:val="6857502D"/>
    <w:rsid w:val="685760DC"/>
    <w:rsid w:val="6858003B"/>
    <w:rsid w:val="68594A17"/>
    <w:rsid w:val="685B118E"/>
    <w:rsid w:val="685B4EF4"/>
    <w:rsid w:val="685C2CA6"/>
    <w:rsid w:val="685C2CE9"/>
    <w:rsid w:val="685E61AD"/>
    <w:rsid w:val="685E7B92"/>
    <w:rsid w:val="685F1AC2"/>
    <w:rsid w:val="685F3CDF"/>
    <w:rsid w:val="685F7C35"/>
    <w:rsid w:val="68611A91"/>
    <w:rsid w:val="686134C7"/>
    <w:rsid w:val="68624C1C"/>
    <w:rsid w:val="68624D28"/>
    <w:rsid w:val="6864263E"/>
    <w:rsid w:val="6864646F"/>
    <w:rsid w:val="6866021C"/>
    <w:rsid w:val="68683C5B"/>
    <w:rsid w:val="68686AEA"/>
    <w:rsid w:val="68692862"/>
    <w:rsid w:val="686A23AC"/>
    <w:rsid w:val="686B0388"/>
    <w:rsid w:val="686B65DA"/>
    <w:rsid w:val="686C263E"/>
    <w:rsid w:val="686C6147"/>
    <w:rsid w:val="686C64B6"/>
    <w:rsid w:val="686D5FFE"/>
    <w:rsid w:val="686D7CF2"/>
    <w:rsid w:val="686F09A9"/>
    <w:rsid w:val="6873052F"/>
    <w:rsid w:val="68733F3E"/>
    <w:rsid w:val="687403F6"/>
    <w:rsid w:val="68741CCE"/>
    <w:rsid w:val="68765D0D"/>
    <w:rsid w:val="68777FE3"/>
    <w:rsid w:val="687A18C0"/>
    <w:rsid w:val="687A198D"/>
    <w:rsid w:val="687A4598"/>
    <w:rsid w:val="687C1678"/>
    <w:rsid w:val="687C56F2"/>
    <w:rsid w:val="687D3C28"/>
    <w:rsid w:val="68815DFB"/>
    <w:rsid w:val="68817BAC"/>
    <w:rsid w:val="688244C9"/>
    <w:rsid w:val="68825A99"/>
    <w:rsid w:val="68830403"/>
    <w:rsid w:val="6884144A"/>
    <w:rsid w:val="688415D6"/>
    <w:rsid w:val="688471B6"/>
    <w:rsid w:val="6886545E"/>
    <w:rsid w:val="6887341D"/>
    <w:rsid w:val="68876748"/>
    <w:rsid w:val="68891B98"/>
    <w:rsid w:val="688A198A"/>
    <w:rsid w:val="688A2F04"/>
    <w:rsid w:val="688B4E68"/>
    <w:rsid w:val="688B6B68"/>
    <w:rsid w:val="688D6550"/>
    <w:rsid w:val="688D6DD8"/>
    <w:rsid w:val="688E447B"/>
    <w:rsid w:val="689033D6"/>
    <w:rsid w:val="689042C6"/>
    <w:rsid w:val="68904F43"/>
    <w:rsid w:val="6891551D"/>
    <w:rsid w:val="68927B0C"/>
    <w:rsid w:val="68934D06"/>
    <w:rsid w:val="6893661A"/>
    <w:rsid w:val="6894168D"/>
    <w:rsid w:val="68951C23"/>
    <w:rsid w:val="68967BD2"/>
    <w:rsid w:val="68973B64"/>
    <w:rsid w:val="6897633A"/>
    <w:rsid w:val="68985DA1"/>
    <w:rsid w:val="689A6F83"/>
    <w:rsid w:val="689B5D0C"/>
    <w:rsid w:val="689B622D"/>
    <w:rsid w:val="689C2C37"/>
    <w:rsid w:val="689C49E5"/>
    <w:rsid w:val="689C4BA8"/>
    <w:rsid w:val="689C5383"/>
    <w:rsid w:val="689C69F1"/>
    <w:rsid w:val="689D73CB"/>
    <w:rsid w:val="689E197D"/>
    <w:rsid w:val="689E250C"/>
    <w:rsid w:val="689E69AF"/>
    <w:rsid w:val="68A0350F"/>
    <w:rsid w:val="68A10795"/>
    <w:rsid w:val="68A12A5C"/>
    <w:rsid w:val="68A17E46"/>
    <w:rsid w:val="68A2169D"/>
    <w:rsid w:val="68A27B0E"/>
    <w:rsid w:val="68A4036B"/>
    <w:rsid w:val="68A660CA"/>
    <w:rsid w:val="68A72703"/>
    <w:rsid w:val="68A815DC"/>
    <w:rsid w:val="68A839E0"/>
    <w:rsid w:val="68A84122"/>
    <w:rsid w:val="68A853DE"/>
    <w:rsid w:val="68A87799"/>
    <w:rsid w:val="68AA773C"/>
    <w:rsid w:val="68AB4C28"/>
    <w:rsid w:val="68AF64C7"/>
    <w:rsid w:val="68B26F25"/>
    <w:rsid w:val="68B33987"/>
    <w:rsid w:val="68B40662"/>
    <w:rsid w:val="68B55FE4"/>
    <w:rsid w:val="68B60664"/>
    <w:rsid w:val="68B6658F"/>
    <w:rsid w:val="68B81109"/>
    <w:rsid w:val="68B82CC6"/>
    <w:rsid w:val="68B84965"/>
    <w:rsid w:val="68B95597"/>
    <w:rsid w:val="68BA6D79"/>
    <w:rsid w:val="68BB128E"/>
    <w:rsid w:val="68BB1E56"/>
    <w:rsid w:val="68BB526C"/>
    <w:rsid w:val="68BC116C"/>
    <w:rsid w:val="68BC2510"/>
    <w:rsid w:val="68BD20E4"/>
    <w:rsid w:val="68BD4161"/>
    <w:rsid w:val="68BE0D78"/>
    <w:rsid w:val="68BE261D"/>
    <w:rsid w:val="68BE602D"/>
    <w:rsid w:val="68BF0506"/>
    <w:rsid w:val="68C006D4"/>
    <w:rsid w:val="68C2674A"/>
    <w:rsid w:val="68C27158"/>
    <w:rsid w:val="68C305E8"/>
    <w:rsid w:val="68C43F8C"/>
    <w:rsid w:val="68C44649"/>
    <w:rsid w:val="68C46CA4"/>
    <w:rsid w:val="68C65138"/>
    <w:rsid w:val="68C654A3"/>
    <w:rsid w:val="68C656C9"/>
    <w:rsid w:val="68C72FCA"/>
    <w:rsid w:val="68C74DAE"/>
    <w:rsid w:val="68C90706"/>
    <w:rsid w:val="68CA1553"/>
    <w:rsid w:val="68CA6CAA"/>
    <w:rsid w:val="68CB0699"/>
    <w:rsid w:val="68CB31A6"/>
    <w:rsid w:val="68CB43CF"/>
    <w:rsid w:val="68CC319B"/>
    <w:rsid w:val="68CD3373"/>
    <w:rsid w:val="68D128E1"/>
    <w:rsid w:val="68D12E44"/>
    <w:rsid w:val="68D21626"/>
    <w:rsid w:val="68D25789"/>
    <w:rsid w:val="68D764D7"/>
    <w:rsid w:val="68D85DA0"/>
    <w:rsid w:val="68D86FEB"/>
    <w:rsid w:val="68DB2AD1"/>
    <w:rsid w:val="68DD38CD"/>
    <w:rsid w:val="68DD3F42"/>
    <w:rsid w:val="68DE371F"/>
    <w:rsid w:val="68DF1251"/>
    <w:rsid w:val="68DF7B10"/>
    <w:rsid w:val="68DF7CD8"/>
    <w:rsid w:val="68E153FE"/>
    <w:rsid w:val="68E320F2"/>
    <w:rsid w:val="68E4023B"/>
    <w:rsid w:val="68E4199B"/>
    <w:rsid w:val="68E452FE"/>
    <w:rsid w:val="68E50F9E"/>
    <w:rsid w:val="68E57F4B"/>
    <w:rsid w:val="68E60913"/>
    <w:rsid w:val="68E81170"/>
    <w:rsid w:val="68E87FC4"/>
    <w:rsid w:val="68E92BD2"/>
    <w:rsid w:val="68E97798"/>
    <w:rsid w:val="68EA2EA1"/>
    <w:rsid w:val="68EA5751"/>
    <w:rsid w:val="68EB3277"/>
    <w:rsid w:val="68EB66C8"/>
    <w:rsid w:val="68ED0CA1"/>
    <w:rsid w:val="68ED0EF4"/>
    <w:rsid w:val="68ED1298"/>
    <w:rsid w:val="68EE169B"/>
    <w:rsid w:val="68EF720B"/>
    <w:rsid w:val="68F00401"/>
    <w:rsid w:val="68F10201"/>
    <w:rsid w:val="68F148CF"/>
    <w:rsid w:val="68F14D31"/>
    <w:rsid w:val="68F20AA9"/>
    <w:rsid w:val="68F23B23"/>
    <w:rsid w:val="68F30BE9"/>
    <w:rsid w:val="68F30D1A"/>
    <w:rsid w:val="68F35A7F"/>
    <w:rsid w:val="68F3778A"/>
    <w:rsid w:val="68F41FC9"/>
    <w:rsid w:val="68F53CB9"/>
    <w:rsid w:val="68F545F1"/>
    <w:rsid w:val="68F6059A"/>
    <w:rsid w:val="68F646A8"/>
    <w:rsid w:val="68F71883"/>
    <w:rsid w:val="68F83B8C"/>
    <w:rsid w:val="68F93BE6"/>
    <w:rsid w:val="68FA3C61"/>
    <w:rsid w:val="68FB7395"/>
    <w:rsid w:val="68FE11FC"/>
    <w:rsid w:val="6900539F"/>
    <w:rsid w:val="6902480F"/>
    <w:rsid w:val="690305C1"/>
    <w:rsid w:val="69043BC8"/>
    <w:rsid w:val="690600B1"/>
    <w:rsid w:val="690613D1"/>
    <w:rsid w:val="690613D9"/>
    <w:rsid w:val="69063E66"/>
    <w:rsid w:val="69064A9A"/>
    <w:rsid w:val="69073E6B"/>
    <w:rsid w:val="69076FCD"/>
    <w:rsid w:val="690802CD"/>
    <w:rsid w:val="6908045D"/>
    <w:rsid w:val="69083E29"/>
    <w:rsid w:val="69085BD7"/>
    <w:rsid w:val="69085EEE"/>
    <w:rsid w:val="69085F24"/>
    <w:rsid w:val="690A0D3E"/>
    <w:rsid w:val="690B0E8D"/>
    <w:rsid w:val="690B1D17"/>
    <w:rsid w:val="690B56C7"/>
    <w:rsid w:val="690C0B00"/>
    <w:rsid w:val="690C2B68"/>
    <w:rsid w:val="690D08E5"/>
    <w:rsid w:val="690D3A25"/>
    <w:rsid w:val="690F564E"/>
    <w:rsid w:val="690F7C07"/>
    <w:rsid w:val="691047EE"/>
    <w:rsid w:val="69126921"/>
    <w:rsid w:val="691357B2"/>
    <w:rsid w:val="6914700F"/>
    <w:rsid w:val="6916132E"/>
    <w:rsid w:val="6917396C"/>
    <w:rsid w:val="69173C68"/>
    <w:rsid w:val="69184195"/>
    <w:rsid w:val="69190D7C"/>
    <w:rsid w:val="69191363"/>
    <w:rsid w:val="691914D9"/>
    <w:rsid w:val="6919167D"/>
    <w:rsid w:val="691A2CCD"/>
    <w:rsid w:val="691A7AD8"/>
    <w:rsid w:val="691C5825"/>
    <w:rsid w:val="691D0D7D"/>
    <w:rsid w:val="691D1FE4"/>
    <w:rsid w:val="691D3513"/>
    <w:rsid w:val="691E231E"/>
    <w:rsid w:val="691E364C"/>
    <w:rsid w:val="691E6E80"/>
    <w:rsid w:val="691E6EA1"/>
    <w:rsid w:val="691F10FF"/>
    <w:rsid w:val="691F114B"/>
    <w:rsid w:val="692114BF"/>
    <w:rsid w:val="69220094"/>
    <w:rsid w:val="69223BC3"/>
    <w:rsid w:val="69231F5F"/>
    <w:rsid w:val="69236437"/>
    <w:rsid w:val="69247985"/>
    <w:rsid w:val="692557E1"/>
    <w:rsid w:val="69272501"/>
    <w:rsid w:val="6927625C"/>
    <w:rsid w:val="69280027"/>
    <w:rsid w:val="692844CB"/>
    <w:rsid w:val="69285392"/>
    <w:rsid w:val="69290B99"/>
    <w:rsid w:val="692A1D15"/>
    <w:rsid w:val="692B4C87"/>
    <w:rsid w:val="692C04BA"/>
    <w:rsid w:val="692C58E1"/>
    <w:rsid w:val="692D4CEA"/>
    <w:rsid w:val="692E2A70"/>
    <w:rsid w:val="692F40E3"/>
    <w:rsid w:val="692F7608"/>
    <w:rsid w:val="693021C8"/>
    <w:rsid w:val="693036D6"/>
    <w:rsid w:val="6930735B"/>
    <w:rsid w:val="69312995"/>
    <w:rsid w:val="6936122A"/>
    <w:rsid w:val="693654E7"/>
    <w:rsid w:val="69387195"/>
    <w:rsid w:val="6939071B"/>
    <w:rsid w:val="693B4DCA"/>
    <w:rsid w:val="693B59B8"/>
    <w:rsid w:val="693D7F76"/>
    <w:rsid w:val="693E5A9D"/>
    <w:rsid w:val="69406733"/>
    <w:rsid w:val="69414646"/>
    <w:rsid w:val="69414974"/>
    <w:rsid w:val="6941503B"/>
    <w:rsid w:val="6942733B"/>
    <w:rsid w:val="69471F61"/>
    <w:rsid w:val="69477BA3"/>
    <w:rsid w:val="6949397F"/>
    <w:rsid w:val="694956F1"/>
    <w:rsid w:val="694A2DE1"/>
    <w:rsid w:val="694B2B30"/>
    <w:rsid w:val="694B32C4"/>
    <w:rsid w:val="694B48D3"/>
    <w:rsid w:val="694C01BA"/>
    <w:rsid w:val="694E0C56"/>
    <w:rsid w:val="694E2BB7"/>
    <w:rsid w:val="694E2BF2"/>
    <w:rsid w:val="694F2063"/>
    <w:rsid w:val="69505F28"/>
    <w:rsid w:val="69524E67"/>
    <w:rsid w:val="6953168E"/>
    <w:rsid w:val="69555DCB"/>
    <w:rsid w:val="69561FF5"/>
    <w:rsid w:val="69567CE1"/>
    <w:rsid w:val="69572814"/>
    <w:rsid w:val="69572824"/>
    <w:rsid w:val="695731E1"/>
    <w:rsid w:val="695805D8"/>
    <w:rsid w:val="69582A9B"/>
    <w:rsid w:val="69586F84"/>
    <w:rsid w:val="69595F05"/>
    <w:rsid w:val="69596B47"/>
    <w:rsid w:val="695E1C9B"/>
    <w:rsid w:val="695E52C5"/>
    <w:rsid w:val="695F5A1C"/>
    <w:rsid w:val="696037F0"/>
    <w:rsid w:val="69621F1C"/>
    <w:rsid w:val="69621FC2"/>
    <w:rsid w:val="69624C57"/>
    <w:rsid w:val="69672B32"/>
    <w:rsid w:val="69673CF2"/>
    <w:rsid w:val="69684D9A"/>
    <w:rsid w:val="69684EF3"/>
    <w:rsid w:val="69694C28"/>
    <w:rsid w:val="696964DD"/>
    <w:rsid w:val="696A0474"/>
    <w:rsid w:val="696A4AE4"/>
    <w:rsid w:val="696B00DF"/>
    <w:rsid w:val="696C1CD7"/>
    <w:rsid w:val="696D0F78"/>
    <w:rsid w:val="696D6E5B"/>
    <w:rsid w:val="696E697F"/>
    <w:rsid w:val="696F0EDC"/>
    <w:rsid w:val="69710AAB"/>
    <w:rsid w:val="697175FF"/>
    <w:rsid w:val="6972636E"/>
    <w:rsid w:val="6972741B"/>
    <w:rsid w:val="69734251"/>
    <w:rsid w:val="6974414F"/>
    <w:rsid w:val="6974490C"/>
    <w:rsid w:val="6975795B"/>
    <w:rsid w:val="69780837"/>
    <w:rsid w:val="69787200"/>
    <w:rsid w:val="69790530"/>
    <w:rsid w:val="69794D27"/>
    <w:rsid w:val="697B64FB"/>
    <w:rsid w:val="697D4817"/>
    <w:rsid w:val="697E527C"/>
    <w:rsid w:val="697F078E"/>
    <w:rsid w:val="69800EA1"/>
    <w:rsid w:val="69803CD8"/>
    <w:rsid w:val="69817394"/>
    <w:rsid w:val="698336F8"/>
    <w:rsid w:val="6984338D"/>
    <w:rsid w:val="69845BA5"/>
    <w:rsid w:val="69860EFC"/>
    <w:rsid w:val="698A4AA9"/>
    <w:rsid w:val="698A50C9"/>
    <w:rsid w:val="698A568D"/>
    <w:rsid w:val="698A727A"/>
    <w:rsid w:val="698C5E7B"/>
    <w:rsid w:val="698C62E8"/>
    <w:rsid w:val="698C6808"/>
    <w:rsid w:val="698D197B"/>
    <w:rsid w:val="698E5D07"/>
    <w:rsid w:val="698F2D38"/>
    <w:rsid w:val="699208A9"/>
    <w:rsid w:val="69925B6A"/>
    <w:rsid w:val="699403F0"/>
    <w:rsid w:val="69941886"/>
    <w:rsid w:val="69944D87"/>
    <w:rsid w:val="699451AE"/>
    <w:rsid w:val="69956513"/>
    <w:rsid w:val="69960B36"/>
    <w:rsid w:val="699851AD"/>
    <w:rsid w:val="69992D95"/>
    <w:rsid w:val="699A10A4"/>
    <w:rsid w:val="699B75DD"/>
    <w:rsid w:val="699D15AA"/>
    <w:rsid w:val="699D6538"/>
    <w:rsid w:val="699D6C67"/>
    <w:rsid w:val="699F07E8"/>
    <w:rsid w:val="699F5234"/>
    <w:rsid w:val="69A023B2"/>
    <w:rsid w:val="69A034A9"/>
    <w:rsid w:val="69A2398F"/>
    <w:rsid w:val="69A27DD9"/>
    <w:rsid w:val="69A32D6E"/>
    <w:rsid w:val="69A41529"/>
    <w:rsid w:val="69A46066"/>
    <w:rsid w:val="69A47C98"/>
    <w:rsid w:val="69A50668"/>
    <w:rsid w:val="69A604DE"/>
    <w:rsid w:val="69A71290"/>
    <w:rsid w:val="69A7357A"/>
    <w:rsid w:val="69A74C44"/>
    <w:rsid w:val="69A753F0"/>
    <w:rsid w:val="69A754D4"/>
    <w:rsid w:val="69A813F7"/>
    <w:rsid w:val="69A872DD"/>
    <w:rsid w:val="69A87C65"/>
    <w:rsid w:val="69AA0CD3"/>
    <w:rsid w:val="69AA610E"/>
    <w:rsid w:val="69AA6241"/>
    <w:rsid w:val="69AC07D7"/>
    <w:rsid w:val="69AC142D"/>
    <w:rsid w:val="69AC291F"/>
    <w:rsid w:val="69AE49D0"/>
    <w:rsid w:val="69AE57F9"/>
    <w:rsid w:val="69B01D77"/>
    <w:rsid w:val="69B31FE7"/>
    <w:rsid w:val="69B538EF"/>
    <w:rsid w:val="69B63885"/>
    <w:rsid w:val="69B6668F"/>
    <w:rsid w:val="69B67D29"/>
    <w:rsid w:val="69B723CA"/>
    <w:rsid w:val="69B72B89"/>
    <w:rsid w:val="69B824A3"/>
    <w:rsid w:val="69B853DB"/>
    <w:rsid w:val="69B858BC"/>
    <w:rsid w:val="69BA1345"/>
    <w:rsid w:val="69BA386D"/>
    <w:rsid w:val="69BB44D0"/>
    <w:rsid w:val="69BC4571"/>
    <w:rsid w:val="69BD61C3"/>
    <w:rsid w:val="69BD647A"/>
    <w:rsid w:val="69BE2739"/>
    <w:rsid w:val="69BE7BAE"/>
    <w:rsid w:val="69BF0563"/>
    <w:rsid w:val="69BF5C51"/>
    <w:rsid w:val="69C0520A"/>
    <w:rsid w:val="69C14634"/>
    <w:rsid w:val="69C27F96"/>
    <w:rsid w:val="69C30066"/>
    <w:rsid w:val="69C421C4"/>
    <w:rsid w:val="69C4359B"/>
    <w:rsid w:val="69C46EF5"/>
    <w:rsid w:val="69C53A5B"/>
    <w:rsid w:val="69C53AC8"/>
    <w:rsid w:val="69C70B9F"/>
    <w:rsid w:val="69C725FB"/>
    <w:rsid w:val="69C7445F"/>
    <w:rsid w:val="69C94295"/>
    <w:rsid w:val="69C970C0"/>
    <w:rsid w:val="69CB1E1A"/>
    <w:rsid w:val="69CC4D48"/>
    <w:rsid w:val="69CC58F7"/>
    <w:rsid w:val="69CC7252"/>
    <w:rsid w:val="69CD0CF9"/>
    <w:rsid w:val="69CD26DB"/>
    <w:rsid w:val="69CD7C2A"/>
    <w:rsid w:val="69CE4C23"/>
    <w:rsid w:val="69D25890"/>
    <w:rsid w:val="69D2764D"/>
    <w:rsid w:val="69D514E6"/>
    <w:rsid w:val="69D5399A"/>
    <w:rsid w:val="69D5565B"/>
    <w:rsid w:val="69D65A8F"/>
    <w:rsid w:val="69D7210C"/>
    <w:rsid w:val="69D75D4B"/>
    <w:rsid w:val="69D76EFE"/>
    <w:rsid w:val="69D87020"/>
    <w:rsid w:val="69DA4AA7"/>
    <w:rsid w:val="69DB32EB"/>
    <w:rsid w:val="69DC3B22"/>
    <w:rsid w:val="69DC4E9E"/>
    <w:rsid w:val="69DD15DB"/>
    <w:rsid w:val="69E06B54"/>
    <w:rsid w:val="69E3050E"/>
    <w:rsid w:val="69E44896"/>
    <w:rsid w:val="69E62FB0"/>
    <w:rsid w:val="69E65EC7"/>
    <w:rsid w:val="69E923CE"/>
    <w:rsid w:val="69E94088"/>
    <w:rsid w:val="69EC12BA"/>
    <w:rsid w:val="69EC72DF"/>
    <w:rsid w:val="69ED6098"/>
    <w:rsid w:val="69ED7A8E"/>
    <w:rsid w:val="69EE74C3"/>
    <w:rsid w:val="69F068FB"/>
    <w:rsid w:val="69F12B0F"/>
    <w:rsid w:val="69F35510"/>
    <w:rsid w:val="69F4681A"/>
    <w:rsid w:val="69F6555B"/>
    <w:rsid w:val="69F765FE"/>
    <w:rsid w:val="69F84196"/>
    <w:rsid w:val="69F957DD"/>
    <w:rsid w:val="69FA4299"/>
    <w:rsid w:val="69FE4B1A"/>
    <w:rsid w:val="6A026ACA"/>
    <w:rsid w:val="6A041A04"/>
    <w:rsid w:val="6A041F8D"/>
    <w:rsid w:val="6A0525B2"/>
    <w:rsid w:val="6A0559E0"/>
    <w:rsid w:val="6A05628A"/>
    <w:rsid w:val="6A06480C"/>
    <w:rsid w:val="6A085138"/>
    <w:rsid w:val="6A0869F2"/>
    <w:rsid w:val="6A09144F"/>
    <w:rsid w:val="6A0A597F"/>
    <w:rsid w:val="6A0A6D13"/>
    <w:rsid w:val="6A0A71C1"/>
    <w:rsid w:val="6A0C4FD9"/>
    <w:rsid w:val="6A0C54B9"/>
    <w:rsid w:val="6A0D1870"/>
    <w:rsid w:val="6A0D65B7"/>
    <w:rsid w:val="6A0F1123"/>
    <w:rsid w:val="6A0F3DFC"/>
    <w:rsid w:val="6A0F3E3A"/>
    <w:rsid w:val="6A1112AB"/>
    <w:rsid w:val="6A130D5F"/>
    <w:rsid w:val="6A132F25"/>
    <w:rsid w:val="6A14250A"/>
    <w:rsid w:val="6A14613F"/>
    <w:rsid w:val="6A1539B6"/>
    <w:rsid w:val="6A161646"/>
    <w:rsid w:val="6A162576"/>
    <w:rsid w:val="6A164AAF"/>
    <w:rsid w:val="6A177715"/>
    <w:rsid w:val="6A1876BB"/>
    <w:rsid w:val="6A192D06"/>
    <w:rsid w:val="6A1A34D6"/>
    <w:rsid w:val="6A1A44BF"/>
    <w:rsid w:val="6A1D1F7E"/>
    <w:rsid w:val="6A1D3904"/>
    <w:rsid w:val="6A1E02B2"/>
    <w:rsid w:val="6A1E16CE"/>
    <w:rsid w:val="6A1F10C3"/>
    <w:rsid w:val="6A1F119C"/>
    <w:rsid w:val="6A1F58CE"/>
    <w:rsid w:val="6A2014CC"/>
    <w:rsid w:val="6A216760"/>
    <w:rsid w:val="6A224DE7"/>
    <w:rsid w:val="6A226039"/>
    <w:rsid w:val="6A23552C"/>
    <w:rsid w:val="6A241853"/>
    <w:rsid w:val="6A244627"/>
    <w:rsid w:val="6A271148"/>
    <w:rsid w:val="6A276531"/>
    <w:rsid w:val="6A2A5B5C"/>
    <w:rsid w:val="6A2B6060"/>
    <w:rsid w:val="6A2C5D71"/>
    <w:rsid w:val="6A2C73C5"/>
    <w:rsid w:val="6A2E5B11"/>
    <w:rsid w:val="6A303990"/>
    <w:rsid w:val="6A3063C2"/>
    <w:rsid w:val="6A3363C3"/>
    <w:rsid w:val="6A33672E"/>
    <w:rsid w:val="6A3457CB"/>
    <w:rsid w:val="6A34672D"/>
    <w:rsid w:val="6A351188"/>
    <w:rsid w:val="6A366774"/>
    <w:rsid w:val="6A3813C5"/>
    <w:rsid w:val="6A391A52"/>
    <w:rsid w:val="6A3A36EC"/>
    <w:rsid w:val="6A3C5999"/>
    <w:rsid w:val="6A3F17D8"/>
    <w:rsid w:val="6A3F38D9"/>
    <w:rsid w:val="6A3F71ED"/>
    <w:rsid w:val="6A412203"/>
    <w:rsid w:val="6A413A96"/>
    <w:rsid w:val="6A440E91"/>
    <w:rsid w:val="6A443EB3"/>
    <w:rsid w:val="6A445F21"/>
    <w:rsid w:val="6A4474EA"/>
    <w:rsid w:val="6A4663F4"/>
    <w:rsid w:val="6A475399"/>
    <w:rsid w:val="6A484851"/>
    <w:rsid w:val="6A49796A"/>
    <w:rsid w:val="6A497BD0"/>
    <w:rsid w:val="6A4A07BE"/>
    <w:rsid w:val="6A4B367A"/>
    <w:rsid w:val="6A4B6F33"/>
    <w:rsid w:val="6A4C4D11"/>
    <w:rsid w:val="6A4D41CD"/>
    <w:rsid w:val="6A4D444B"/>
    <w:rsid w:val="6A4D56EB"/>
    <w:rsid w:val="6A502604"/>
    <w:rsid w:val="6A5070DE"/>
    <w:rsid w:val="6A514D5C"/>
    <w:rsid w:val="6A515BCF"/>
    <w:rsid w:val="6A52684D"/>
    <w:rsid w:val="6A532835"/>
    <w:rsid w:val="6A53601C"/>
    <w:rsid w:val="6A5410DE"/>
    <w:rsid w:val="6A543D05"/>
    <w:rsid w:val="6A554E4C"/>
    <w:rsid w:val="6A5639FE"/>
    <w:rsid w:val="6A5825B4"/>
    <w:rsid w:val="6A590866"/>
    <w:rsid w:val="6A5B76F0"/>
    <w:rsid w:val="6A5C1AE5"/>
    <w:rsid w:val="6A5E1D79"/>
    <w:rsid w:val="6A5E431B"/>
    <w:rsid w:val="6A5F0501"/>
    <w:rsid w:val="6A5F4521"/>
    <w:rsid w:val="6A6034B6"/>
    <w:rsid w:val="6A607E55"/>
    <w:rsid w:val="6A621876"/>
    <w:rsid w:val="6A6309FA"/>
    <w:rsid w:val="6A636002"/>
    <w:rsid w:val="6A6424BD"/>
    <w:rsid w:val="6A645AAE"/>
    <w:rsid w:val="6A656FA4"/>
    <w:rsid w:val="6A66460C"/>
    <w:rsid w:val="6A667DD4"/>
    <w:rsid w:val="6A6731B6"/>
    <w:rsid w:val="6A6742B0"/>
    <w:rsid w:val="6A6872A3"/>
    <w:rsid w:val="6A694D9B"/>
    <w:rsid w:val="6A6A1E07"/>
    <w:rsid w:val="6A6B1CCD"/>
    <w:rsid w:val="6A6B7365"/>
    <w:rsid w:val="6A6C07F5"/>
    <w:rsid w:val="6A6E2DC1"/>
    <w:rsid w:val="6A702663"/>
    <w:rsid w:val="6A705326"/>
    <w:rsid w:val="6A706B60"/>
    <w:rsid w:val="6A706DE0"/>
    <w:rsid w:val="6A7154B1"/>
    <w:rsid w:val="6A726139"/>
    <w:rsid w:val="6A742635"/>
    <w:rsid w:val="6A75102E"/>
    <w:rsid w:val="6A751B44"/>
    <w:rsid w:val="6A753740"/>
    <w:rsid w:val="6A7646B2"/>
    <w:rsid w:val="6A774B85"/>
    <w:rsid w:val="6A794FDE"/>
    <w:rsid w:val="6A7973F8"/>
    <w:rsid w:val="6A7A48B2"/>
    <w:rsid w:val="6A7B0E4C"/>
    <w:rsid w:val="6A7B5219"/>
    <w:rsid w:val="6A7E54E2"/>
    <w:rsid w:val="6A7F3F09"/>
    <w:rsid w:val="6A7F67F0"/>
    <w:rsid w:val="6A802233"/>
    <w:rsid w:val="6A8120E5"/>
    <w:rsid w:val="6A8409E7"/>
    <w:rsid w:val="6A86594D"/>
    <w:rsid w:val="6A881849"/>
    <w:rsid w:val="6A89113D"/>
    <w:rsid w:val="6A89333E"/>
    <w:rsid w:val="6A895812"/>
    <w:rsid w:val="6A8D0A8A"/>
    <w:rsid w:val="6A8D6CDC"/>
    <w:rsid w:val="6A8F460B"/>
    <w:rsid w:val="6A8F4EF4"/>
    <w:rsid w:val="6A9001BE"/>
    <w:rsid w:val="6A9040D6"/>
    <w:rsid w:val="6A911036"/>
    <w:rsid w:val="6A916745"/>
    <w:rsid w:val="6A923BEC"/>
    <w:rsid w:val="6A9303D7"/>
    <w:rsid w:val="6A930BB8"/>
    <w:rsid w:val="6A942284"/>
    <w:rsid w:val="6A9649F6"/>
    <w:rsid w:val="6A971908"/>
    <w:rsid w:val="6A975464"/>
    <w:rsid w:val="6A991279"/>
    <w:rsid w:val="6A995C7D"/>
    <w:rsid w:val="6A99742E"/>
    <w:rsid w:val="6A9A160C"/>
    <w:rsid w:val="6A9A7794"/>
    <w:rsid w:val="6A9D34E1"/>
    <w:rsid w:val="6A9D3D8A"/>
    <w:rsid w:val="6A9D4C68"/>
    <w:rsid w:val="6A9F2C85"/>
    <w:rsid w:val="6A9F6BDC"/>
    <w:rsid w:val="6AA052F7"/>
    <w:rsid w:val="6AA13A6B"/>
    <w:rsid w:val="6AA31959"/>
    <w:rsid w:val="6AA420C1"/>
    <w:rsid w:val="6AA546D1"/>
    <w:rsid w:val="6AA62B08"/>
    <w:rsid w:val="6AA70E9C"/>
    <w:rsid w:val="6AAA6F57"/>
    <w:rsid w:val="6AAB22F4"/>
    <w:rsid w:val="6AAB4860"/>
    <w:rsid w:val="6AAB6E52"/>
    <w:rsid w:val="6AAD1F92"/>
    <w:rsid w:val="6AAF0A00"/>
    <w:rsid w:val="6AAF5FDC"/>
    <w:rsid w:val="6AAF7BA9"/>
    <w:rsid w:val="6AB038E6"/>
    <w:rsid w:val="6AB25D96"/>
    <w:rsid w:val="6AB27AB2"/>
    <w:rsid w:val="6AB27E6E"/>
    <w:rsid w:val="6AB40E67"/>
    <w:rsid w:val="6AB47DA3"/>
    <w:rsid w:val="6AB5766F"/>
    <w:rsid w:val="6AB65E24"/>
    <w:rsid w:val="6AB67410"/>
    <w:rsid w:val="6AB73D58"/>
    <w:rsid w:val="6AB765B6"/>
    <w:rsid w:val="6AB76A69"/>
    <w:rsid w:val="6AB853DB"/>
    <w:rsid w:val="6AB8592C"/>
    <w:rsid w:val="6AB9525A"/>
    <w:rsid w:val="6ABC136F"/>
    <w:rsid w:val="6ABC5F36"/>
    <w:rsid w:val="6ABD7B87"/>
    <w:rsid w:val="6ABF1326"/>
    <w:rsid w:val="6ABF3149"/>
    <w:rsid w:val="6ABF5516"/>
    <w:rsid w:val="6AC00E5F"/>
    <w:rsid w:val="6AC01E63"/>
    <w:rsid w:val="6AC27FBE"/>
    <w:rsid w:val="6AC47E99"/>
    <w:rsid w:val="6AC56475"/>
    <w:rsid w:val="6AC634A7"/>
    <w:rsid w:val="6AC76CD4"/>
    <w:rsid w:val="6AC91176"/>
    <w:rsid w:val="6ACB20FD"/>
    <w:rsid w:val="6ACC48C4"/>
    <w:rsid w:val="6ACD532A"/>
    <w:rsid w:val="6ACF4839"/>
    <w:rsid w:val="6AD00976"/>
    <w:rsid w:val="6AD14E1A"/>
    <w:rsid w:val="6AD15A42"/>
    <w:rsid w:val="6AD20B22"/>
    <w:rsid w:val="6AD20C96"/>
    <w:rsid w:val="6AD2649C"/>
    <w:rsid w:val="6AD278A5"/>
    <w:rsid w:val="6AD41037"/>
    <w:rsid w:val="6AD51B81"/>
    <w:rsid w:val="6AD6255B"/>
    <w:rsid w:val="6AD678EF"/>
    <w:rsid w:val="6AD73A5F"/>
    <w:rsid w:val="6AD761A9"/>
    <w:rsid w:val="6AD82761"/>
    <w:rsid w:val="6AD930B3"/>
    <w:rsid w:val="6AD9466A"/>
    <w:rsid w:val="6AD97C8D"/>
    <w:rsid w:val="6ADB75C4"/>
    <w:rsid w:val="6ADC0A9E"/>
    <w:rsid w:val="6ADC5A4D"/>
    <w:rsid w:val="6ADD62AD"/>
    <w:rsid w:val="6ADE1FDD"/>
    <w:rsid w:val="6AE12510"/>
    <w:rsid w:val="6AE12B83"/>
    <w:rsid w:val="6AE329B7"/>
    <w:rsid w:val="6AE4490D"/>
    <w:rsid w:val="6AE44AD1"/>
    <w:rsid w:val="6AE547DF"/>
    <w:rsid w:val="6AE54ADE"/>
    <w:rsid w:val="6AE6596C"/>
    <w:rsid w:val="6AEB2793"/>
    <w:rsid w:val="6AEB7469"/>
    <w:rsid w:val="6AEC0549"/>
    <w:rsid w:val="6AED5354"/>
    <w:rsid w:val="6AEF02D0"/>
    <w:rsid w:val="6AF03B19"/>
    <w:rsid w:val="6AF047CD"/>
    <w:rsid w:val="6AF059CA"/>
    <w:rsid w:val="6AF07A45"/>
    <w:rsid w:val="6AF13AD4"/>
    <w:rsid w:val="6AF26E82"/>
    <w:rsid w:val="6AF327D5"/>
    <w:rsid w:val="6AF45B71"/>
    <w:rsid w:val="6AF4631C"/>
    <w:rsid w:val="6AF50F9A"/>
    <w:rsid w:val="6AF8423F"/>
    <w:rsid w:val="6AF87EB2"/>
    <w:rsid w:val="6AF92B4D"/>
    <w:rsid w:val="6AFA45B0"/>
    <w:rsid w:val="6AFA5E99"/>
    <w:rsid w:val="6AFD4231"/>
    <w:rsid w:val="6AFD5939"/>
    <w:rsid w:val="6AFD700F"/>
    <w:rsid w:val="6AFE4CDE"/>
    <w:rsid w:val="6AFF1E9B"/>
    <w:rsid w:val="6AFF6047"/>
    <w:rsid w:val="6AFF6BBA"/>
    <w:rsid w:val="6B0048F6"/>
    <w:rsid w:val="6B005CDC"/>
    <w:rsid w:val="6B006F2C"/>
    <w:rsid w:val="6B0101D0"/>
    <w:rsid w:val="6B02459E"/>
    <w:rsid w:val="6B024755"/>
    <w:rsid w:val="6B03334B"/>
    <w:rsid w:val="6B036F9E"/>
    <w:rsid w:val="6B044596"/>
    <w:rsid w:val="6B050642"/>
    <w:rsid w:val="6B0538C7"/>
    <w:rsid w:val="6B0613EE"/>
    <w:rsid w:val="6B07083C"/>
    <w:rsid w:val="6B0719BB"/>
    <w:rsid w:val="6B073DE0"/>
    <w:rsid w:val="6B074E0D"/>
    <w:rsid w:val="6B086362"/>
    <w:rsid w:val="6B090EAA"/>
    <w:rsid w:val="6B093FD5"/>
    <w:rsid w:val="6B094467"/>
    <w:rsid w:val="6B0A2F7F"/>
    <w:rsid w:val="6B0A37EF"/>
    <w:rsid w:val="6B0B03FB"/>
    <w:rsid w:val="6B0B7485"/>
    <w:rsid w:val="6B0C1CA8"/>
    <w:rsid w:val="6B0D363F"/>
    <w:rsid w:val="6B0D5727"/>
    <w:rsid w:val="6B0E7FF1"/>
    <w:rsid w:val="6B1104B4"/>
    <w:rsid w:val="6B1362C5"/>
    <w:rsid w:val="6B14703F"/>
    <w:rsid w:val="6B17255A"/>
    <w:rsid w:val="6B172F60"/>
    <w:rsid w:val="6B1747F7"/>
    <w:rsid w:val="6B19231D"/>
    <w:rsid w:val="6B1B3D9E"/>
    <w:rsid w:val="6B1B7E43"/>
    <w:rsid w:val="6B1D00CC"/>
    <w:rsid w:val="6B1D240A"/>
    <w:rsid w:val="6B1E0A88"/>
    <w:rsid w:val="6B1F40D5"/>
    <w:rsid w:val="6B2313EE"/>
    <w:rsid w:val="6B2322A9"/>
    <w:rsid w:val="6B244B6D"/>
    <w:rsid w:val="6B2573DB"/>
    <w:rsid w:val="6B265B50"/>
    <w:rsid w:val="6B270BB7"/>
    <w:rsid w:val="6B2922E0"/>
    <w:rsid w:val="6B2955A5"/>
    <w:rsid w:val="6B2A09E5"/>
    <w:rsid w:val="6B2A62D8"/>
    <w:rsid w:val="6B2B5B8F"/>
    <w:rsid w:val="6B2B635B"/>
    <w:rsid w:val="6B2C3D47"/>
    <w:rsid w:val="6B2F7693"/>
    <w:rsid w:val="6B324809"/>
    <w:rsid w:val="6B345EDA"/>
    <w:rsid w:val="6B347157"/>
    <w:rsid w:val="6B362ECF"/>
    <w:rsid w:val="6B3804DD"/>
    <w:rsid w:val="6B380F1E"/>
    <w:rsid w:val="6B3818F4"/>
    <w:rsid w:val="6B3960FC"/>
    <w:rsid w:val="6B39651C"/>
    <w:rsid w:val="6B3B04E6"/>
    <w:rsid w:val="6B3B2900"/>
    <w:rsid w:val="6B3B4AA4"/>
    <w:rsid w:val="6B3B6AE7"/>
    <w:rsid w:val="6B3C2769"/>
    <w:rsid w:val="6B3C70A6"/>
    <w:rsid w:val="6B3D1532"/>
    <w:rsid w:val="6B3D5B12"/>
    <w:rsid w:val="6B403D4E"/>
    <w:rsid w:val="6B433C63"/>
    <w:rsid w:val="6B435654"/>
    <w:rsid w:val="6B435CD5"/>
    <w:rsid w:val="6B462950"/>
    <w:rsid w:val="6B463F87"/>
    <w:rsid w:val="6B464BBC"/>
    <w:rsid w:val="6B466EA6"/>
    <w:rsid w:val="6B472278"/>
    <w:rsid w:val="6B4A12A4"/>
    <w:rsid w:val="6B4A3901"/>
    <w:rsid w:val="6B4B5428"/>
    <w:rsid w:val="6B4B624F"/>
    <w:rsid w:val="6B4B77D1"/>
    <w:rsid w:val="6B4C5DB7"/>
    <w:rsid w:val="6B4E2B57"/>
    <w:rsid w:val="6B501015"/>
    <w:rsid w:val="6B505A4D"/>
    <w:rsid w:val="6B52095A"/>
    <w:rsid w:val="6B52147D"/>
    <w:rsid w:val="6B5243AE"/>
    <w:rsid w:val="6B5248D3"/>
    <w:rsid w:val="6B52582F"/>
    <w:rsid w:val="6B5259A4"/>
    <w:rsid w:val="6B527828"/>
    <w:rsid w:val="6B530B87"/>
    <w:rsid w:val="6B535992"/>
    <w:rsid w:val="6B585E1A"/>
    <w:rsid w:val="6B59096C"/>
    <w:rsid w:val="6B5925FD"/>
    <w:rsid w:val="6B59522E"/>
    <w:rsid w:val="6B5C1213"/>
    <w:rsid w:val="6B5E2A34"/>
    <w:rsid w:val="6B5E41D4"/>
    <w:rsid w:val="6B5F01EE"/>
    <w:rsid w:val="6B605C4A"/>
    <w:rsid w:val="6B633598"/>
    <w:rsid w:val="6B634280"/>
    <w:rsid w:val="6B635558"/>
    <w:rsid w:val="6B64193A"/>
    <w:rsid w:val="6B6517CB"/>
    <w:rsid w:val="6B685AF2"/>
    <w:rsid w:val="6B6A538A"/>
    <w:rsid w:val="6B6A7209"/>
    <w:rsid w:val="6B6C080A"/>
    <w:rsid w:val="6B6C3431"/>
    <w:rsid w:val="6B6E0498"/>
    <w:rsid w:val="6B6E1095"/>
    <w:rsid w:val="6B6E796D"/>
    <w:rsid w:val="6B6F1F3D"/>
    <w:rsid w:val="6B6F2CF5"/>
    <w:rsid w:val="6B702D80"/>
    <w:rsid w:val="6B715A72"/>
    <w:rsid w:val="6B726513"/>
    <w:rsid w:val="6B7340E8"/>
    <w:rsid w:val="6B740742"/>
    <w:rsid w:val="6B741C4A"/>
    <w:rsid w:val="6B746749"/>
    <w:rsid w:val="6B757A9E"/>
    <w:rsid w:val="6B761975"/>
    <w:rsid w:val="6B7678FF"/>
    <w:rsid w:val="6B7713F6"/>
    <w:rsid w:val="6B781412"/>
    <w:rsid w:val="6B784B08"/>
    <w:rsid w:val="6B794231"/>
    <w:rsid w:val="6B7A6DB6"/>
    <w:rsid w:val="6B7D1054"/>
    <w:rsid w:val="6B7D7572"/>
    <w:rsid w:val="6B7F0757"/>
    <w:rsid w:val="6B7F12E5"/>
    <w:rsid w:val="6B81193C"/>
    <w:rsid w:val="6B830ACE"/>
    <w:rsid w:val="6B842586"/>
    <w:rsid w:val="6B8471F4"/>
    <w:rsid w:val="6B847213"/>
    <w:rsid w:val="6B8518C4"/>
    <w:rsid w:val="6B854620"/>
    <w:rsid w:val="6B865827"/>
    <w:rsid w:val="6B871427"/>
    <w:rsid w:val="6B875A40"/>
    <w:rsid w:val="6B8813C8"/>
    <w:rsid w:val="6B883111"/>
    <w:rsid w:val="6B8960C0"/>
    <w:rsid w:val="6B8F10C1"/>
    <w:rsid w:val="6B8F192C"/>
    <w:rsid w:val="6B8F25C8"/>
    <w:rsid w:val="6B9145AA"/>
    <w:rsid w:val="6B9320D0"/>
    <w:rsid w:val="6B9326F8"/>
    <w:rsid w:val="6B9419A4"/>
    <w:rsid w:val="6B956202"/>
    <w:rsid w:val="6B96021A"/>
    <w:rsid w:val="6B96571C"/>
    <w:rsid w:val="6B9810E0"/>
    <w:rsid w:val="6B981494"/>
    <w:rsid w:val="6B982EEA"/>
    <w:rsid w:val="6B9A68E8"/>
    <w:rsid w:val="6B9C1554"/>
    <w:rsid w:val="6B9D2F4E"/>
    <w:rsid w:val="6B9D4F6E"/>
    <w:rsid w:val="6BA13561"/>
    <w:rsid w:val="6BA15289"/>
    <w:rsid w:val="6BA306E0"/>
    <w:rsid w:val="6BA3608B"/>
    <w:rsid w:val="6BA50055"/>
    <w:rsid w:val="6BA55F14"/>
    <w:rsid w:val="6BA64818"/>
    <w:rsid w:val="6BA710D1"/>
    <w:rsid w:val="6BA77545"/>
    <w:rsid w:val="6BA86DB0"/>
    <w:rsid w:val="6BA914C0"/>
    <w:rsid w:val="6BA92169"/>
    <w:rsid w:val="6BAA1AFF"/>
    <w:rsid w:val="6BAA7419"/>
    <w:rsid w:val="6BAB7CA9"/>
    <w:rsid w:val="6BAC13E3"/>
    <w:rsid w:val="6BAC5461"/>
    <w:rsid w:val="6BAD0377"/>
    <w:rsid w:val="6BAD0C97"/>
    <w:rsid w:val="6BAD751C"/>
    <w:rsid w:val="6BAE3AE0"/>
    <w:rsid w:val="6BAE796C"/>
    <w:rsid w:val="6BAF67DE"/>
    <w:rsid w:val="6BB14B21"/>
    <w:rsid w:val="6BB17334"/>
    <w:rsid w:val="6BB236CA"/>
    <w:rsid w:val="6BB34520"/>
    <w:rsid w:val="6BB47F24"/>
    <w:rsid w:val="6BB55966"/>
    <w:rsid w:val="6BB60439"/>
    <w:rsid w:val="6BB67B6C"/>
    <w:rsid w:val="6BB766CE"/>
    <w:rsid w:val="6BB829F7"/>
    <w:rsid w:val="6BB878DB"/>
    <w:rsid w:val="6BBA4D58"/>
    <w:rsid w:val="6BBB35ED"/>
    <w:rsid w:val="6BBB5183"/>
    <w:rsid w:val="6BBB59EF"/>
    <w:rsid w:val="6BBC1EC4"/>
    <w:rsid w:val="6BBC6F66"/>
    <w:rsid w:val="6BBD0EFB"/>
    <w:rsid w:val="6BBF1D5D"/>
    <w:rsid w:val="6BBF2306"/>
    <w:rsid w:val="6BC17739"/>
    <w:rsid w:val="6BC228F1"/>
    <w:rsid w:val="6BC24797"/>
    <w:rsid w:val="6BC4672D"/>
    <w:rsid w:val="6BC5399A"/>
    <w:rsid w:val="6BC71D79"/>
    <w:rsid w:val="6BC963AC"/>
    <w:rsid w:val="6BCA186A"/>
    <w:rsid w:val="6BCA7D47"/>
    <w:rsid w:val="6BCA7FB0"/>
    <w:rsid w:val="6BCB435B"/>
    <w:rsid w:val="6BCB63A3"/>
    <w:rsid w:val="6BCC3834"/>
    <w:rsid w:val="6BCC55E2"/>
    <w:rsid w:val="6BCC61AB"/>
    <w:rsid w:val="6BCD297E"/>
    <w:rsid w:val="6BCD6A1E"/>
    <w:rsid w:val="6BCE220C"/>
    <w:rsid w:val="6BCE4EB6"/>
    <w:rsid w:val="6BD022D8"/>
    <w:rsid w:val="6BD04E24"/>
    <w:rsid w:val="6BD108EF"/>
    <w:rsid w:val="6BD149A6"/>
    <w:rsid w:val="6BD478D1"/>
    <w:rsid w:val="6BD56F2E"/>
    <w:rsid w:val="6BD57D6A"/>
    <w:rsid w:val="6BD61FBC"/>
    <w:rsid w:val="6BD66460"/>
    <w:rsid w:val="6BD674B5"/>
    <w:rsid w:val="6BD80588"/>
    <w:rsid w:val="6BD96F06"/>
    <w:rsid w:val="6BDA1DE2"/>
    <w:rsid w:val="6BDA696B"/>
    <w:rsid w:val="6BDB3DD9"/>
    <w:rsid w:val="6BDC307A"/>
    <w:rsid w:val="6BDD77EF"/>
    <w:rsid w:val="6BDE6480"/>
    <w:rsid w:val="6BDF047B"/>
    <w:rsid w:val="6BE20961"/>
    <w:rsid w:val="6BE3047C"/>
    <w:rsid w:val="6BE33269"/>
    <w:rsid w:val="6BE413B1"/>
    <w:rsid w:val="6BE53C38"/>
    <w:rsid w:val="6BE55DDB"/>
    <w:rsid w:val="6BE56147"/>
    <w:rsid w:val="6BE676FC"/>
    <w:rsid w:val="6BE83381"/>
    <w:rsid w:val="6BE97F42"/>
    <w:rsid w:val="6BEC1425"/>
    <w:rsid w:val="6BEC17E0"/>
    <w:rsid w:val="6BEC358E"/>
    <w:rsid w:val="6BEC5C84"/>
    <w:rsid w:val="6BEC7DD7"/>
    <w:rsid w:val="6BEF2B0E"/>
    <w:rsid w:val="6BF22023"/>
    <w:rsid w:val="6BF36941"/>
    <w:rsid w:val="6BF411A8"/>
    <w:rsid w:val="6BF46E44"/>
    <w:rsid w:val="6BF47448"/>
    <w:rsid w:val="6BF71434"/>
    <w:rsid w:val="6BF90704"/>
    <w:rsid w:val="6BFB56B9"/>
    <w:rsid w:val="6BFB7C75"/>
    <w:rsid w:val="6BFD579B"/>
    <w:rsid w:val="6BFE3D94"/>
    <w:rsid w:val="6BFE4DC1"/>
    <w:rsid w:val="6C031950"/>
    <w:rsid w:val="6C031981"/>
    <w:rsid w:val="6C032726"/>
    <w:rsid w:val="6C0412A5"/>
    <w:rsid w:val="6C046B2A"/>
    <w:rsid w:val="6C047C83"/>
    <w:rsid w:val="6C061B49"/>
    <w:rsid w:val="6C0703C8"/>
    <w:rsid w:val="6C0905E4"/>
    <w:rsid w:val="6C092392"/>
    <w:rsid w:val="6C0A08F2"/>
    <w:rsid w:val="6C0A1FF2"/>
    <w:rsid w:val="6C0D1056"/>
    <w:rsid w:val="6C103638"/>
    <w:rsid w:val="6C133015"/>
    <w:rsid w:val="6C150530"/>
    <w:rsid w:val="6C153B9A"/>
    <w:rsid w:val="6C1606CA"/>
    <w:rsid w:val="6C173235"/>
    <w:rsid w:val="6C1765A4"/>
    <w:rsid w:val="6C180827"/>
    <w:rsid w:val="6C1835BF"/>
    <w:rsid w:val="6C183EC4"/>
    <w:rsid w:val="6C192FC4"/>
    <w:rsid w:val="6C1A459F"/>
    <w:rsid w:val="6C1A50DD"/>
    <w:rsid w:val="6C1B22B0"/>
    <w:rsid w:val="6C1C42BC"/>
    <w:rsid w:val="6C1C5BD0"/>
    <w:rsid w:val="6C1E0F33"/>
    <w:rsid w:val="6C1E7780"/>
    <w:rsid w:val="6C1F0DA2"/>
    <w:rsid w:val="6C1F1BB5"/>
    <w:rsid w:val="6C1F6785"/>
    <w:rsid w:val="6C204E7B"/>
    <w:rsid w:val="6C215487"/>
    <w:rsid w:val="6C215D13"/>
    <w:rsid w:val="6C244D08"/>
    <w:rsid w:val="6C275853"/>
    <w:rsid w:val="6C294735"/>
    <w:rsid w:val="6C2A410A"/>
    <w:rsid w:val="6C2B274E"/>
    <w:rsid w:val="6C2B5969"/>
    <w:rsid w:val="6C2B711D"/>
    <w:rsid w:val="6C2D2442"/>
    <w:rsid w:val="6C2D6BD7"/>
    <w:rsid w:val="6C2E5548"/>
    <w:rsid w:val="6C2F3B9C"/>
    <w:rsid w:val="6C2F668D"/>
    <w:rsid w:val="6C30791F"/>
    <w:rsid w:val="6C311952"/>
    <w:rsid w:val="6C313F7E"/>
    <w:rsid w:val="6C315378"/>
    <w:rsid w:val="6C3200FC"/>
    <w:rsid w:val="6C3278BA"/>
    <w:rsid w:val="6C3463EC"/>
    <w:rsid w:val="6C3627C8"/>
    <w:rsid w:val="6C366D01"/>
    <w:rsid w:val="6C3671B3"/>
    <w:rsid w:val="6C376DB0"/>
    <w:rsid w:val="6C38489A"/>
    <w:rsid w:val="6C3A56DD"/>
    <w:rsid w:val="6C3B76E9"/>
    <w:rsid w:val="6C3C0154"/>
    <w:rsid w:val="6C3C5E83"/>
    <w:rsid w:val="6C3D3038"/>
    <w:rsid w:val="6C3F671A"/>
    <w:rsid w:val="6C41462D"/>
    <w:rsid w:val="6C435AE5"/>
    <w:rsid w:val="6C440EAF"/>
    <w:rsid w:val="6C44161C"/>
    <w:rsid w:val="6C44786E"/>
    <w:rsid w:val="6C46549F"/>
    <w:rsid w:val="6C4663A0"/>
    <w:rsid w:val="6C471485"/>
    <w:rsid w:val="6C475BCD"/>
    <w:rsid w:val="6C494FFC"/>
    <w:rsid w:val="6C4A634A"/>
    <w:rsid w:val="6C4B4758"/>
    <w:rsid w:val="6C4B7382"/>
    <w:rsid w:val="6C4D1676"/>
    <w:rsid w:val="6C4D6722"/>
    <w:rsid w:val="6C4E3C44"/>
    <w:rsid w:val="6C4F0002"/>
    <w:rsid w:val="6C500390"/>
    <w:rsid w:val="6C501D6F"/>
    <w:rsid w:val="6C503AA0"/>
    <w:rsid w:val="6C516AC1"/>
    <w:rsid w:val="6C520AAB"/>
    <w:rsid w:val="6C5555D7"/>
    <w:rsid w:val="6C556836"/>
    <w:rsid w:val="6C5607E6"/>
    <w:rsid w:val="6C564FAB"/>
    <w:rsid w:val="6C5775A1"/>
    <w:rsid w:val="6C5A72D1"/>
    <w:rsid w:val="6C5B0466"/>
    <w:rsid w:val="6C5B54F3"/>
    <w:rsid w:val="6C5D2C06"/>
    <w:rsid w:val="6C5E37B1"/>
    <w:rsid w:val="6C5F0283"/>
    <w:rsid w:val="6C6019FC"/>
    <w:rsid w:val="6C60477E"/>
    <w:rsid w:val="6C612FA7"/>
    <w:rsid w:val="6C625F0A"/>
    <w:rsid w:val="6C635FFC"/>
    <w:rsid w:val="6C641BC9"/>
    <w:rsid w:val="6C641FF2"/>
    <w:rsid w:val="6C65770A"/>
    <w:rsid w:val="6C661592"/>
    <w:rsid w:val="6C67530A"/>
    <w:rsid w:val="6C676E26"/>
    <w:rsid w:val="6C6807F4"/>
    <w:rsid w:val="6C680EC8"/>
    <w:rsid w:val="6C681E3D"/>
    <w:rsid w:val="6C6856BD"/>
    <w:rsid w:val="6C691082"/>
    <w:rsid w:val="6C6C6EB0"/>
    <w:rsid w:val="6C6D4C14"/>
    <w:rsid w:val="6C6D5692"/>
    <w:rsid w:val="6C6D6A56"/>
    <w:rsid w:val="6C6E17B5"/>
    <w:rsid w:val="6C6F41FD"/>
    <w:rsid w:val="6C702411"/>
    <w:rsid w:val="6C703B78"/>
    <w:rsid w:val="6C720DFB"/>
    <w:rsid w:val="6C7218C1"/>
    <w:rsid w:val="6C75239F"/>
    <w:rsid w:val="6C7656CD"/>
    <w:rsid w:val="6C7A233B"/>
    <w:rsid w:val="6C7A3290"/>
    <w:rsid w:val="6C7A4FFB"/>
    <w:rsid w:val="6C7B73F9"/>
    <w:rsid w:val="6C7C0843"/>
    <w:rsid w:val="6C7C3C95"/>
    <w:rsid w:val="6C7C5990"/>
    <w:rsid w:val="6C7F3298"/>
    <w:rsid w:val="6C80208D"/>
    <w:rsid w:val="6C8233DF"/>
    <w:rsid w:val="6C830849"/>
    <w:rsid w:val="6C830B16"/>
    <w:rsid w:val="6C841A18"/>
    <w:rsid w:val="6C847DD6"/>
    <w:rsid w:val="6C852502"/>
    <w:rsid w:val="6C855934"/>
    <w:rsid w:val="6C8574C7"/>
    <w:rsid w:val="6C86310B"/>
    <w:rsid w:val="6C865790"/>
    <w:rsid w:val="6C871412"/>
    <w:rsid w:val="6C875F9B"/>
    <w:rsid w:val="6C8856AD"/>
    <w:rsid w:val="6C894CB3"/>
    <w:rsid w:val="6C8B154D"/>
    <w:rsid w:val="6C8C3AB6"/>
    <w:rsid w:val="6C8C71EA"/>
    <w:rsid w:val="6C8D4D71"/>
    <w:rsid w:val="6C8E38ED"/>
    <w:rsid w:val="6C8F3C23"/>
    <w:rsid w:val="6C910BDA"/>
    <w:rsid w:val="6C9144F8"/>
    <w:rsid w:val="6C951E77"/>
    <w:rsid w:val="6C961CF6"/>
    <w:rsid w:val="6C967015"/>
    <w:rsid w:val="6C9675FC"/>
    <w:rsid w:val="6C9679CC"/>
    <w:rsid w:val="6C981E56"/>
    <w:rsid w:val="6C982286"/>
    <w:rsid w:val="6C9854C4"/>
    <w:rsid w:val="6C9858E3"/>
    <w:rsid w:val="6C9A4242"/>
    <w:rsid w:val="6C9A7020"/>
    <w:rsid w:val="6C9D0866"/>
    <w:rsid w:val="6C9D0D2C"/>
    <w:rsid w:val="6C9D1E90"/>
    <w:rsid w:val="6C9F1A9B"/>
    <w:rsid w:val="6C9F2851"/>
    <w:rsid w:val="6C9F2CF6"/>
    <w:rsid w:val="6CA1081C"/>
    <w:rsid w:val="6CA13495"/>
    <w:rsid w:val="6CA421A9"/>
    <w:rsid w:val="6CA47948"/>
    <w:rsid w:val="6CA51AD2"/>
    <w:rsid w:val="6CA9548B"/>
    <w:rsid w:val="6CAB169B"/>
    <w:rsid w:val="6CAB297C"/>
    <w:rsid w:val="6CAB6C48"/>
    <w:rsid w:val="6CAD5413"/>
    <w:rsid w:val="6CAE651D"/>
    <w:rsid w:val="6CB0280D"/>
    <w:rsid w:val="6CB10D5A"/>
    <w:rsid w:val="6CB15D81"/>
    <w:rsid w:val="6CB1691E"/>
    <w:rsid w:val="6CB174AE"/>
    <w:rsid w:val="6CB36247"/>
    <w:rsid w:val="6CB40284"/>
    <w:rsid w:val="6CB43BD9"/>
    <w:rsid w:val="6CB45DA1"/>
    <w:rsid w:val="6CB47A23"/>
    <w:rsid w:val="6CB55547"/>
    <w:rsid w:val="6CB57E24"/>
    <w:rsid w:val="6CB604D2"/>
    <w:rsid w:val="6CB62553"/>
    <w:rsid w:val="6CB816CC"/>
    <w:rsid w:val="6CB92618"/>
    <w:rsid w:val="6CBA49FF"/>
    <w:rsid w:val="6CBB1997"/>
    <w:rsid w:val="6CBC11B2"/>
    <w:rsid w:val="6CBD4EEE"/>
    <w:rsid w:val="6CBD4F2A"/>
    <w:rsid w:val="6CBE0242"/>
    <w:rsid w:val="6CBE3453"/>
    <w:rsid w:val="6CBF0DF2"/>
    <w:rsid w:val="6CBF6EF4"/>
    <w:rsid w:val="6CC06F2F"/>
    <w:rsid w:val="6CC12CDC"/>
    <w:rsid w:val="6CC13DA5"/>
    <w:rsid w:val="6CC62031"/>
    <w:rsid w:val="6CC8073C"/>
    <w:rsid w:val="6CC80B73"/>
    <w:rsid w:val="6CCA2B0A"/>
    <w:rsid w:val="6CCA4BBB"/>
    <w:rsid w:val="6CCC42E5"/>
    <w:rsid w:val="6CCC443C"/>
    <w:rsid w:val="6CCC5D55"/>
    <w:rsid w:val="6CCD1003"/>
    <w:rsid w:val="6CCD7585"/>
    <w:rsid w:val="6CCE39CB"/>
    <w:rsid w:val="6CD02EB0"/>
    <w:rsid w:val="6CD15CA3"/>
    <w:rsid w:val="6CD16A4E"/>
    <w:rsid w:val="6CD16B0B"/>
    <w:rsid w:val="6CD25C09"/>
    <w:rsid w:val="6CD3640C"/>
    <w:rsid w:val="6CD419AC"/>
    <w:rsid w:val="6CD429A0"/>
    <w:rsid w:val="6CD45238"/>
    <w:rsid w:val="6CD5069A"/>
    <w:rsid w:val="6CD52274"/>
    <w:rsid w:val="6CD52B67"/>
    <w:rsid w:val="6CD646CF"/>
    <w:rsid w:val="6CD75FEC"/>
    <w:rsid w:val="6CD80A94"/>
    <w:rsid w:val="6CD836F7"/>
    <w:rsid w:val="6CD91A99"/>
    <w:rsid w:val="6CDA4C16"/>
    <w:rsid w:val="6CDB7153"/>
    <w:rsid w:val="6CDD4A3B"/>
    <w:rsid w:val="6CDE36A8"/>
    <w:rsid w:val="6CDE775B"/>
    <w:rsid w:val="6CDF10D1"/>
    <w:rsid w:val="6CE13232"/>
    <w:rsid w:val="6CE1330F"/>
    <w:rsid w:val="6CE1418C"/>
    <w:rsid w:val="6CE23EA8"/>
    <w:rsid w:val="6CE36AD9"/>
    <w:rsid w:val="6CE40D7C"/>
    <w:rsid w:val="6CE4167D"/>
    <w:rsid w:val="6CE448A4"/>
    <w:rsid w:val="6CE50FD4"/>
    <w:rsid w:val="6CE556CB"/>
    <w:rsid w:val="6CEB5CE5"/>
    <w:rsid w:val="6CEB7CE9"/>
    <w:rsid w:val="6CED5810"/>
    <w:rsid w:val="6CED59F6"/>
    <w:rsid w:val="6CEF44CF"/>
    <w:rsid w:val="6CF22E26"/>
    <w:rsid w:val="6CF30A7F"/>
    <w:rsid w:val="6CF32B85"/>
    <w:rsid w:val="6CF375B6"/>
    <w:rsid w:val="6CF558E4"/>
    <w:rsid w:val="6CF634D1"/>
    <w:rsid w:val="6CF70926"/>
    <w:rsid w:val="6CF73A7A"/>
    <w:rsid w:val="6CF7668E"/>
    <w:rsid w:val="6CFB4D33"/>
    <w:rsid w:val="6CFD6EA7"/>
    <w:rsid w:val="6CFE56DA"/>
    <w:rsid w:val="6CFE7A1D"/>
    <w:rsid w:val="6D0019E7"/>
    <w:rsid w:val="6D027BEC"/>
    <w:rsid w:val="6D040C67"/>
    <w:rsid w:val="6D056FFD"/>
    <w:rsid w:val="6D065C59"/>
    <w:rsid w:val="6D0668D1"/>
    <w:rsid w:val="6D070476"/>
    <w:rsid w:val="6D08295A"/>
    <w:rsid w:val="6D087D49"/>
    <w:rsid w:val="6D090CC7"/>
    <w:rsid w:val="6D0938B4"/>
    <w:rsid w:val="6D095D65"/>
    <w:rsid w:val="6D0A2D70"/>
    <w:rsid w:val="6D0B45AC"/>
    <w:rsid w:val="6D0C2A35"/>
    <w:rsid w:val="6D0D1A0E"/>
    <w:rsid w:val="6D0D7DA4"/>
    <w:rsid w:val="6D0E6E2D"/>
    <w:rsid w:val="6D1017C2"/>
    <w:rsid w:val="6D107530"/>
    <w:rsid w:val="6D1159A2"/>
    <w:rsid w:val="6D12601F"/>
    <w:rsid w:val="6D1622F5"/>
    <w:rsid w:val="6D17249C"/>
    <w:rsid w:val="6D180706"/>
    <w:rsid w:val="6D182CDF"/>
    <w:rsid w:val="6D18386D"/>
    <w:rsid w:val="6D1A378B"/>
    <w:rsid w:val="6D1A6391"/>
    <w:rsid w:val="6D1B37EB"/>
    <w:rsid w:val="6D1C18FC"/>
    <w:rsid w:val="6D1E4FB2"/>
    <w:rsid w:val="6D22638E"/>
    <w:rsid w:val="6D230C5E"/>
    <w:rsid w:val="6D243B91"/>
    <w:rsid w:val="6D254561"/>
    <w:rsid w:val="6D260810"/>
    <w:rsid w:val="6D273CFB"/>
    <w:rsid w:val="6D2A2982"/>
    <w:rsid w:val="6D2B6797"/>
    <w:rsid w:val="6D2C27DC"/>
    <w:rsid w:val="6D2D55CC"/>
    <w:rsid w:val="6D2D5603"/>
    <w:rsid w:val="6D2E065F"/>
    <w:rsid w:val="6D2E2793"/>
    <w:rsid w:val="6D2F6CDF"/>
    <w:rsid w:val="6D300E15"/>
    <w:rsid w:val="6D31167E"/>
    <w:rsid w:val="6D3218FC"/>
    <w:rsid w:val="6D325139"/>
    <w:rsid w:val="6D332F2B"/>
    <w:rsid w:val="6D333A34"/>
    <w:rsid w:val="6D345C52"/>
    <w:rsid w:val="6D373845"/>
    <w:rsid w:val="6D374CDD"/>
    <w:rsid w:val="6D37799B"/>
    <w:rsid w:val="6D38269A"/>
    <w:rsid w:val="6D38435B"/>
    <w:rsid w:val="6D394AAF"/>
    <w:rsid w:val="6D3A4588"/>
    <w:rsid w:val="6D3B4D97"/>
    <w:rsid w:val="6D3C3B0D"/>
    <w:rsid w:val="6D3E6F03"/>
    <w:rsid w:val="6D3E7A54"/>
    <w:rsid w:val="6D3F1BF0"/>
    <w:rsid w:val="6D410AFC"/>
    <w:rsid w:val="6D413B2F"/>
    <w:rsid w:val="6D416750"/>
    <w:rsid w:val="6D443964"/>
    <w:rsid w:val="6D447721"/>
    <w:rsid w:val="6D453799"/>
    <w:rsid w:val="6D46082E"/>
    <w:rsid w:val="6D471617"/>
    <w:rsid w:val="6D471ED2"/>
    <w:rsid w:val="6D4828EA"/>
    <w:rsid w:val="6D482980"/>
    <w:rsid w:val="6D4934B8"/>
    <w:rsid w:val="6D4A0491"/>
    <w:rsid w:val="6D4A16B7"/>
    <w:rsid w:val="6D4A2C62"/>
    <w:rsid w:val="6D4A33CE"/>
    <w:rsid w:val="6D4A46F3"/>
    <w:rsid w:val="6D4A5BEA"/>
    <w:rsid w:val="6D4B0788"/>
    <w:rsid w:val="6D4B38BA"/>
    <w:rsid w:val="6D4D330F"/>
    <w:rsid w:val="6D4D393B"/>
    <w:rsid w:val="6D4D6D45"/>
    <w:rsid w:val="6D4E4603"/>
    <w:rsid w:val="6D4F0C03"/>
    <w:rsid w:val="6D4F2026"/>
    <w:rsid w:val="6D4F59B8"/>
    <w:rsid w:val="6D4F64CA"/>
    <w:rsid w:val="6D4F726F"/>
    <w:rsid w:val="6D505221"/>
    <w:rsid w:val="6D515991"/>
    <w:rsid w:val="6D5224A4"/>
    <w:rsid w:val="6D523B29"/>
    <w:rsid w:val="6D526D7F"/>
    <w:rsid w:val="6D53301E"/>
    <w:rsid w:val="6D5706E5"/>
    <w:rsid w:val="6D5741CF"/>
    <w:rsid w:val="6D57712D"/>
    <w:rsid w:val="6D577956"/>
    <w:rsid w:val="6D592C3D"/>
    <w:rsid w:val="6D594C53"/>
    <w:rsid w:val="6D596A85"/>
    <w:rsid w:val="6D597A48"/>
    <w:rsid w:val="6D5A0BB0"/>
    <w:rsid w:val="6D5A3380"/>
    <w:rsid w:val="6D5B1482"/>
    <w:rsid w:val="6D5B2169"/>
    <w:rsid w:val="6D5C5AB8"/>
    <w:rsid w:val="6D5C5D42"/>
    <w:rsid w:val="6D5E2408"/>
    <w:rsid w:val="6D5E495F"/>
    <w:rsid w:val="6D5F5680"/>
    <w:rsid w:val="6D601781"/>
    <w:rsid w:val="6D6103FD"/>
    <w:rsid w:val="6D6105B3"/>
    <w:rsid w:val="6D6125BB"/>
    <w:rsid w:val="6D621DCA"/>
    <w:rsid w:val="6D6244DF"/>
    <w:rsid w:val="6D62634D"/>
    <w:rsid w:val="6D6414F8"/>
    <w:rsid w:val="6D6512A3"/>
    <w:rsid w:val="6D6672AE"/>
    <w:rsid w:val="6D68758C"/>
    <w:rsid w:val="6D6909C0"/>
    <w:rsid w:val="6D696E25"/>
    <w:rsid w:val="6D697480"/>
    <w:rsid w:val="6D6A33F4"/>
    <w:rsid w:val="6D6D48E9"/>
    <w:rsid w:val="6D721C5D"/>
    <w:rsid w:val="6D7221B9"/>
    <w:rsid w:val="6D726375"/>
    <w:rsid w:val="6D7477B4"/>
    <w:rsid w:val="6D751493"/>
    <w:rsid w:val="6D7527C0"/>
    <w:rsid w:val="6D761CA9"/>
    <w:rsid w:val="6D763A57"/>
    <w:rsid w:val="6D765805"/>
    <w:rsid w:val="6D77543B"/>
    <w:rsid w:val="6D777E64"/>
    <w:rsid w:val="6D7A0FC9"/>
    <w:rsid w:val="6D7C6B93"/>
    <w:rsid w:val="6D7D4DE5"/>
    <w:rsid w:val="6D7F0BAB"/>
    <w:rsid w:val="6D7F4976"/>
    <w:rsid w:val="6D813038"/>
    <w:rsid w:val="6D82752C"/>
    <w:rsid w:val="6D841E4C"/>
    <w:rsid w:val="6D854820"/>
    <w:rsid w:val="6D856AE0"/>
    <w:rsid w:val="6D8667EF"/>
    <w:rsid w:val="6D87079E"/>
    <w:rsid w:val="6D8714A1"/>
    <w:rsid w:val="6D875C64"/>
    <w:rsid w:val="6D886349"/>
    <w:rsid w:val="6D88746D"/>
    <w:rsid w:val="6D8927CA"/>
    <w:rsid w:val="6D8B6866"/>
    <w:rsid w:val="6D8C3DB5"/>
    <w:rsid w:val="6D8C7F00"/>
    <w:rsid w:val="6D8D0DA1"/>
    <w:rsid w:val="6D8D7308"/>
    <w:rsid w:val="6D8D7847"/>
    <w:rsid w:val="6D8E0070"/>
    <w:rsid w:val="6D8E1AE5"/>
    <w:rsid w:val="6D8F1190"/>
    <w:rsid w:val="6D8F495B"/>
    <w:rsid w:val="6D8F4B19"/>
    <w:rsid w:val="6D9003EF"/>
    <w:rsid w:val="6D910891"/>
    <w:rsid w:val="6D91263F"/>
    <w:rsid w:val="6D930621"/>
    <w:rsid w:val="6D934609"/>
    <w:rsid w:val="6D935DD2"/>
    <w:rsid w:val="6D962DC9"/>
    <w:rsid w:val="6D971802"/>
    <w:rsid w:val="6D983849"/>
    <w:rsid w:val="6D9908C3"/>
    <w:rsid w:val="6D9914F3"/>
    <w:rsid w:val="6D996810"/>
    <w:rsid w:val="6D9A12E3"/>
    <w:rsid w:val="6D9C790B"/>
    <w:rsid w:val="6D9D3F65"/>
    <w:rsid w:val="6D9D67C2"/>
    <w:rsid w:val="6D9E02B7"/>
    <w:rsid w:val="6D9F43D5"/>
    <w:rsid w:val="6DA02882"/>
    <w:rsid w:val="6DA14226"/>
    <w:rsid w:val="6DA570EC"/>
    <w:rsid w:val="6DA71E62"/>
    <w:rsid w:val="6DA74F4A"/>
    <w:rsid w:val="6DA823F7"/>
    <w:rsid w:val="6DA93623"/>
    <w:rsid w:val="6DAD21F6"/>
    <w:rsid w:val="6DAF5011"/>
    <w:rsid w:val="6DB015B3"/>
    <w:rsid w:val="6DB02925"/>
    <w:rsid w:val="6DB061FF"/>
    <w:rsid w:val="6DB41985"/>
    <w:rsid w:val="6DB47B13"/>
    <w:rsid w:val="6DB8099F"/>
    <w:rsid w:val="6DB85E1E"/>
    <w:rsid w:val="6DBA67EC"/>
    <w:rsid w:val="6DBB117B"/>
    <w:rsid w:val="6DBB2BDA"/>
    <w:rsid w:val="6DBB316F"/>
    <w:rsid w:val="6DBB4AEC"/>
    <w:rsid w:val="6DBC5E8A"/>
    <w:rsid w:val="6DBC79CA"/>
    <w:rsid w:val="6DBD09AC"/>
    <w:rsid w:val="6DBD3434"/>
    <w:rsid w:val="6DBD764C"/>
    <w:rsid w:val="6DBD7663"/>
    <w:rsid w:val="6DBE0F5A"/>
    <w:rsid w:val="6DBE1582"/>
    <w:rsid w:val="6DBE2F15"/>
    <w:rsid w:val="6DBF48FD"/>
    <w:rsid w:val="6DBF603E"/>
    <w:rsid w:val="6DBF75B2"/>
    <w:rsid w:val="6DC11578"/>
    <w:rsid w:val="6DC12627"/>
    <w:rsid w:val="6DC566D8"/>
    <w:rsid w:val="6DC7633B"/>
    <w:rsid w:val="6DC80165"/>
    <w:rsid w:val="6DCC19FB"/>
    <w:rsid w:val="6DCC3677"/>
    <w:rsid w:val="6DCC5A70"/>
    <w:rsid w:val="6DCC6D91"/>
    <w:rsid w:val="6DCD364F"/>
    <w:rsid w:val="6DCE3893"/>
    <w:rsid w:val="6DD026B4"/>
    <w:rsid w:val="6DD062D9"/>
    <w:rsid w:val="6DD10C8D"/>
    <w:rsid w:val="6DD30EA9"/>
    <w:rsid w:val="6DD358C1"/>
    <w:rsid w:val="6DD4053D"/>
    <w:rsid w:val="6DD4185B"/>
    <w:rsid w:val="6DD43CBA"/>
    <w:rsid w:val="6DD47152"/>
    <w:rsid w:val="6DD479A0"/>
    <w:rsid w:val="6DD5418A"/>
    <w:rsid w:val="6DD62446"/>
    <w:rsid w:val="6DD74E59"/>
    <w:rsid w:val="6DD8110B"/>
    <w:rsid w:val="6DDA4C13"/>
    <w:rsid w:val="6DDB40D5"/>
    <w:rsid w:val="6DDD3D47"/>
    <w:rsid w:val="6DDD69F5"/>
    <w:rsid w:val="6DDF2A40"/>
    <w:rsid w:val="6DDF784E"/>
    <w:rsid w:val="6DE01326"/>
    <w:rsid w:val="6DE14C28"/>
    <w:rsid w:val="6DE229CA"/>
    <w:rsid w:val="6DE262E2"/>
    <w:rsid w:val="6DE30AE9"/>
    <w:rsid w:val="6DE363ED"/>
    <w:rsid w:val="6DE52608"/>
    <w:rsid w:val="6DE5298B"/>
    <w:rsid w:val="6DE625FB"/>
    <w:rsid w:val="6DE6721B"/>
    <w:rsid w:val="6DE74955"/>
    <w:rsid w:val="6DE9042D"/>
    <w:rsid w:val="6DEA1732"/>
    <w:rsid w:val="6DEC3D19"/>
    <w:rsid w:val="6DEC4AC7"/>
    <w:rsid w:val="6DEC505A"/>
    <w:rsid w:val="6DEE0AAA"/>
    <w:rsid w:val="6DEF366B"/>
    <w:rsid w:val="6DEF7E63"/>
    <w:rsid w:val="6DF062F0"/>
    <w:rsid w:val="6DF158AE"/>
    <w:rsid w:val="6DF2033E"/>
    <w:rsid w:val="6DF373DB"/>
    <w:rsid w:val="6DF40508"/>
    <w:rsid w:val="6DF464FE"/>
    <w:rsid w:val="6DF87D8D"/>
    <w:rsid w:val="6DFA01BF"/>
    <w:rsid w:val="6DFB0400"/>
    <w:rsid w:val="6DFB21AE"/>
    <w:rsid w:val="6DFB3F5C"/>
    <w:rsid w:val="6DFB7E46"/>
    <w:rsid w:val="6DFD2AD9"/>
    <w:rsid w:val="6DFE1E03"/>
    <w:rsid w:val="6DFE6BFE"/>
    <w:rsid w:val="6E0029DF"/>
    <w:rsid w:val="6E002CD0"/>
    <w:rsid w:val="6E0031F1"/>
    <w:rsid w:val="6E027DEE"/>
    <w:rsid w:val="6E031C5C"/>
    <w:rsid w:val="6E032E11"/>
    <w:rsid w:val="6E065159"/>
    <w:rsid w:val="6E066F89"/>
    <w:rsid w:val="6E0A0D4F"/>
    <w:rsid w:val="6E0A7D76"/>
    <w:rsid w:val="6E0E4627"/>
    <w:rsid w:val="6E0E785E"/>
    <w:rsid w:val="6E102D14"/>
    <w:rsid w:val="6E113195"/>
    <w:rsid w:val="6E113780"/>
    <w:rsid w:val="6E1141A4"/>
    <w:rsid w:val="6E11598F"/>
    <w:rsid w:val="6E125634"/>
    <w:rsid w:val="6E13041D"/>
    <w:rsid w:val="6E133480"/>
    <w:rsid w:val="6E142EBC"/>
    <w:rsid w:val="6E143DE4"/>
    <w:rsid w:val="6E144C91"/>
    <w:rsid w:val="6E1556F6"/>
    <w:rsid w:val="6E156E9E"/>
    <w:rsid w:val="6E160D96"/>
    <w:rsid w:val="6E162A32"/>
    <w:rsid w:val="6E167AF2"/>
    <w:rsid w:val="6E171838"/>
    <w:rsid w:val="6E183353"/>
    <w:rsid w:val="6E190378"/>
    <w:rsid w:val="6E195AE5"/>
    <w:rsid w:val="6E1A1FD9"/>
    <w:rsid w:val="6E1A6AD8"/>
    <w:rsid w:val="6E1B00F3"/>
    <w:rsid w:val="6E1D39B2"/>
    <w:rsid w:val="6E1E6B73"/>
    <w:rsid w:val="6E1E765D"/>
    <w:rsid w:val="6E1F40EF"/>
    <w:rsid w:val="6E1F5E9D"/>
    <w:rsid w:val="6E1F7577"/>
    <w:rsid w:val="6E211B7C"/>
    <w:rsid w:val="6E217E67"/>
    <w:rsid w:val="6E226882"/>
    <w:rsid w:val="6E227042"/>
    <w:rsid w:val="6E2455B9"/>
    <w:rsid w:val="6E25249D"/>
    <w:rsid w:val="6E26547D"/>
    <w:rsid w:val="6E2735D2"/>
    <w:rsid w:val="6E274D51"/>
    <w:rsid w:val="6E280596"/>
    <w:rsid w:val="6E290D4D"/>
    <w:rsid w:val="6E294C11"/>
    <w:rsid w:val="6E2C2D44"/>
    <w:rsid w:val="6E2C680B"/>
    <w:rsid w:val="6E2D1350"/>
    <w:rsid w:val="6E2D74A0"/>
    <w:rsid w:val="6E2E0238"/>
    <w:rsid w:val="6E2E1AA0"/>
    <w:rsid w:val="6E2E64D7"/>
    <w:rsid w:val="6E2F6904"/>
    <w:rsid w:val="6E3000AA"/>
    <w:rsid w:val="6E301E58"/>
    <w:rsid w:val="6E304DFC"/>
    <w:rsid w:val="6E31183C"/>
    <w:rsid w:val="6E322B31"/>
    <w:rsid w:val="6E325FBF"/>
    <w:rsid w:val="6E3277AB"/>
    <w:rsid w:val="6E331948"/>
    <w:rsid w:val="6E337F6C"/>
    <w:rsid w:val="6E353BC5"/>
    <w:rsid w:val="6E366CF6"/>
    <w:rsid w:val="6E386E8A"/>
    <w:rsid w:val="6E395B39"/>
    <w:rsid w:val="6E3B25AB"/>
    <w:rsid w:val="6E3B3E98"/>
    <w:rsid w:val="6E3B4230"/>
    <w:rsid w:val="6E3B535B"/>
    <w:rsid w:val="6E3C2BCA"/>
    <w:rsid w:val="6E3C6C86"/>
    <w:rsid w:val="6E3E1D88"/>
    <w:rsid w:val="6E3F46CC"/>
    <w:rsid w:val="6E4110B7"/>
    <w:rsid w:val="6E433332"/>
    <w:rsid w:val="6E4401B0"/>
    <w:rsid w:val="6E441C04"/>
    <w:rsid w:val="6E474552"/>
    <w:rsid w:val="6E4877A3"/>
    <w:rsid w:val="6E496675"/>
    <w:rsid w:val="6E4A7C67"/>
    <w:rsid w:val="6E4B0233"/>
    <w:rsid w:val="6E4B4966"/>
    <w:rsid w:val="6E4C2C29"/>
    <w:rsid w:val="6E543F48"/>
    <w:rsid w:val="6E5518EF"/>
    <w:rsid w:val="6E5673E4"/>
    <w:rsid w:val="6E58273B"/>
    <w:rsid w:val="6E5874A5"/>
    <w:rsid w:val="6E587601"/>
    <w:rsid w:val="6E597DC9"/>
    <w:rsid w:val="6E5A6C22"/>
    <w:rsid w:val="6E5C22B1"/>
    <w:rsid w:val="6E5C674A"/>
    <w:rsid w:val="6E5D48A7"/>
    <w:rsid w:val="6E5D4C17"/>
    <w:rsid w:val="6E5E799A"/>
    <w:rsid w:val="6E6050CB"/>
    <w:rsid w:val="6E6119FD"/>
    <w:rsid w:val="6E647AFF"/>
    <w:rsid w:val="6E6605AA"/>
    <w:rsid w:val="6E68124A"/>
    <w:rsid w:val="6E68642E"/>
    <w:rsid w:val="6E6909CF"/>
    <w:rsid w:val="6E6A1C30"/>
    <w:rsid w:val="6E6A1E76"/>
    <w:rsid w:val="6E6B37CC"/>
    <w:rsid w:val="6E6C045C"/>
    <w:rsid w:val="6E6E4507"/>
    <w:rsid w:val="6E6E472E"/>
    <w:rsid w:val="6E6E4B92"/>
    <w:rsid w:val="6E6F62FA"/>
    <w:rsid w:val="6E704000"/>
    <w:rsid w:val="6E7116EB"/>
    <w:rsid w:val="6E732C64"/>
    <w:rsid w:val="6E747C26"/>
    <w:rsid w:val="6E754F86"/>
    <w:rsid w:val="6E7667B8"/>
    <w:rsid w:val="6E7A0807"/>
    <w:rsid w:val="6E7B0800"/>
    <w:rsid w:val="6E7B20BD"/>
    <w:rsid w:val="6E7B6BAA"/>
    <w:rsid w:val="6E7C509D"/>
    <w:rsid w:val="6E7C68E8"/>
    <w:rsid w:val="6E7E7894"/>
    <w:rsid w:val="6E7F3A9C"/>
    <w:rsid w:val="6E7F5771"/>
    <w:rsid w:val="6E81563C"/>
    <w:rsid w:val="6E833036"/>
    <w:rsid w:val="6E8421A4"/>
    <w:rsid w:val="6E873A42"/>
    <w:rsid w:val="6E875DA0"/>
    <w:rsid w:val="6E881C94"/>
    <w:rsid w:val="6E8D6CB9"/>
    <w:rsid w:val="6E902A48"/>
    <w:rsid w:val="6E9176D7"/>
    <w:rsid w:val="6E923E19"/>
    <w:rsid w:val="6E927607"/>
    <w:rsid w:val="6E9323E7"/>
    <w:rsid w:val="6E9354E7"/>
    <w:rsid w:val="6E95027E"/>
    <w:rsid w:val="6E952124"/>
    <w:rsid w:val="6E983DCC"/>
    <w:rsid w:val="6E987306"/>
    <w:rsid w:val="6E990B73"/>
    <w:rsid w:val="6E990FFB"/>
    <w:rsid w:val="6E994041"/>
    <w:rsid w:val="6E9B2BD2"/>
    <w:rsid w:val="6E9C469A"/>
    <w:rsid w:val="6E9D47F7"/>
    <w:rsid w:val="6E9F3744"/>
    <w:rsid w:val="6EA04F5D"/>
    <w:rsid w:val="6EA23924"/>
    <w:rsid w:val="6EA410B2"/>
    <w:rsid w:val="6EA432DE"/>
    <w:rsid w:val="6EA44515"/>
    <w:rsid w:val="6EA445F4"/>
    <w:rsid w:val="6EA55B36"/>
    <w:rsid w:val="6EA61570"/>
    <w:rsid w:val="6EA6211A"/>
    <w:rsid w:val="6EA65977"/>
    <w:rsid w:val="6EA75E92"/>
    <w:rsid w:val="6EAB5D2B"/>
    <w:rsid w:val="6EAB66F9"/>
    <w:rsid w:val="6EAC1789"/>
    <w:rsid w:val="6EAE7189"/>
    <w:rsid w:val="6EAF6F47"/>
    <w:rsid w:val="6EB00C9A"/>
    <w:rsid w:val="6EB0547A"/>
    <w:rsid w:val="6EB10AAE"/>
    <w:rsid w:val="6EB10E58"/>
    <w:rsid w:val="6EB15DA1"/>
    <w:rsid w:val="6EB234C5"/>
    <w:rsid w:val="6EB42084"/>
    <w:rsid w:val="6EB43224"/>
    <w:rsid w:val="6EB54526"/>
    <w:rsid w:val="6EB621C9"/>
    <w:rsid w:val="6EB64310"/>
    <w:rsid w:val="6EB700F6"/>
    <w:rsid w:val="6EB702EE"/>
    <w:rsid w:val="6EB721CF"/>
    <w:rsid w:val="6EB8009F"/>
    <w:rsid w:val="6EB867E4"/>
    <w:rsid w:val="6EB93246"/>
    <w:rsid w:val="6EB96A59"/>
    <w:rsid w:val="6EB96EBE"/>
    <w:rsid w:val="6EBB05F6"/>
    <w:rsid w:val="6EBB3DA8"/>
    <w:rsid w:val="6EBC33D9"/>
    <w:rsid w:val="6EBC36EB"/>
    <w:rsid w:val="6EBD10DA"/>
    <w:rsid w:val="6EBE06B8"/>
    <w:rsid w:val="6EBE56B6"/>
    <w:rsid w:val="6EBF1A6F"/>
    <w:rsid w:val="6EBF27CA"/>
    <w:rsid w:val="6EC03A0B"/>
    <w:rsid w:val="6EC0794E"/>
    <w:rsid w:val="6EC15CC0"/>
    <w:rsid w:val="6EC26AD4"/>
    <w:rsid w:val="6EC30F1E"/>
    <w:rsid w:val="6EC41959"/>
    <w:rsid w:val="6EC60F6A"/>
    <w:rsid w:val="6EC702DA"/>
    <w:rsid w:val="6EC72090"/>
    <w:rsid w:val="6EC770E3"/>
    <w:rsid w:val="6ECB1B80"/>
    <w:rsid w:val="6ECD1366"/>
    <w:rsid w:val="6ECE341F"/>
    <w:rsid w:val="6ECF651E"/>
    <w:rsid w:val="6ED421B0"/>
    <w:rsid w:val="6ED66B34"/>
    <w:rsid w:val="6ED70525"/>
    <w:rsid w:val="6ED72EBB"/>
    <w:rsid w:val="6ED75C20"/>
    <w:rsid w:val="6EDA7F3B"/>
    <w:rsid w:val="6EDC04F7"/>
    <w:rsid w:val="6EDE57C3"/>
    <w:rsid w:val="6EDE7227"/>
    <w:rsid w:val="6EE0526E"/>
    <w:rsid w:val="6EE07EE0"/>
    <w:rsid w:val="6EE352C5"/>
    <w:rsid w:val="6EE43BE6"/>
    <w:rsid w:val="6EE573DC"/>
    <w:rsid w:val="6EE61403"/>
    <w:rsid w:val="6EE61A01"/>
    <w:rsid w:val="6EE623D0"/>
    <w:rsid w:val="6EE77FFC"/>
    <w:rsid w:val="6EE80984"/>
    <w:rsid w:val="6EE90507"/>
    <w:rsid w:val="6EE91D09"/>
    <w:rsid w:val="6EE9790F"/>
    <w:rsid w:val="6EEA1354"/>
    <w:rsid w:val="6EEA7FD8"/>
    <w:rsid w:val="6EEE13C3"/>
    <w:rsid w:val="6EEE3053"/>
    <w:rsid w:val="6EF03E8D"/>
    <w:rsid w:val="6EF13547"/>
    <w:rsid w:val="6EF154D3"/>
    <w:rsid w:val="6EF232EE"/>
    <w:rsid w:val="6EF2710D"/>
    <w:rsid w:val="6EF37304"/>
    <w:rsid w:val="6EF512A1"/>
    <w:rsid w:val="6EF530A1"/>
    <w:rsid w:val="6EF62DB2"/>
    <w:rsid w:val="6EF72235"/>
    <w:rsid w:val="6EF72976"/>
    <w:rsid w:val="6EF73B23"/>
    <w:rsid w:val="6EF91340"/>
    <w:rsid w:val="6EFA6397"/>
    <w:rsid w:val="6EFB5485"/>
    <w:rsid w:val="6EFC61F3"/>
    <w:rsid w:val="6EFC7DD2"/>
    <w:rsid w:val="6EFD65CC"/>
    <w:rsid w:val="6EFE1675"/>
    <w:rsid w:val="6EFE45C9"/>
    <w:rsid w:val="6EFF5A3E"/>
    <w:rsid w:val="6F000580"/>
    <w:rsid w:val="6F012025"/>
    <w:rsid w:val="6F0155A2"/>
    <w:rsid w:val="6F025CCC"/>
    <w:rsid w:val="6F035AEC"/>
    <w:rsid w:val="6F03756C"/>
    <w:rsid w:val="6F04446E"/>
    <w:rsid w:val="6F057177"/>
    <w:rsid w:val="6F0655D3"/>
    <w:rsid w:val="6F066740"/>
    <w:rsid w:val="6F082DD5"/>
    <w:rsid w:val="6F0914AB"/>
    <w:rsid w:val="6F0B1443"/>
    <w:rsid w:val="6F0B2FC3"/>
    <w:rsid w:val="6F0B4673"/>
    <w:rsid w:val="6F0C05CF"/>
    <w:rsid w:val="6F0C1806"/>
    <w:rsid w:val="6F0C1C24"/>
    <w:rsid w:val="6F0D2199"/>
    <w:rsid w:val="6F0E1AE3"/>
    <w:rsid w:val="6F0E5640"/>
    <w:rsid w:val="6F0F587A"/>
    <w:rsid w:val="6F101C89"/>
    <w:rsid w:val="6F1057E5"/>
    <w:rsid w:val="6F1102AB"/>
    <w:rsid w:val="6F125A01"/>
    <w:rsid w:val="6F136565"/>
    <w:rsid w:val="6F1445FB"/>
    <w:rsid w:val="6F172276"/>
    <w:rsid w:val="6F1741E3"/>
    <w:rsid w:val="6F17729C"/>
    <w:rsid w:val="6F1912C3"/>
    <w:rsid w:val="6F1966C9"/>
    <w:rsid w:val="6F1B1883"/>
    <w:rsid w:val="6F1C23CD"/>
    <w:rsid w:val="6F1C23DC"/>
    <w:rsid w:val="6F1C77E1"/>
    <w:rsid w:val="6F1D0466"/>
    <w:rsid w:val="6F1D2145"/>
    <w:rsid w:val="6F1D73C4"/>
    <w:rsid w:val="6F215C44"/>
    <w:rsid w:val="6F222375"/>
    <w:rsid w:val="6F2242DF"/>
    <w:rsid w:val="6F2319BD"/>
    <w:rsid w:val="6F2452F0"/>
    <w:rsid w:val="6F2457CD"/>
    <w:rsid w:val="6F252FA2"/>
    <w:rsid w:val="6F256125"/>
    <w:rsid w:val="6F273616"/>
    <w:rsid w:val="6F276A1D"/>
    <w:rsid w:val="6F2913E8"/>
    <w:rsid w:val="6F295110"/>
    <w:rsid w:val="6F2B7BAD"/>
    <w:rsid w:val="6F2C64D3"/>
    <w:rsid w:val="6F2D1269"/>
    <w:rsid w:val="6F2D382F"/>
    <w:rsid w:val="6F2F54CD"/>
    <w:rsid w:val="6F31353D"/>
    <w:rsid w:val="6F322F49"/>
    <w:rsid w:val="6F325843"/>
    <w:rsid w:val="6F335FE3"/>
    <w:rsid w:val="6F343142"/>
    <w:rsid w:val="6F3509D3"/>
    <w:rsid w:val="6F370FC4"/>
    <w:rsid w:val="6F3911E0"/>
    <w:rsid w:val="6F3947F4"/>
    <w:rsid w:val="6F3B268F"/>
    <w:rsid w:val="6F3B2ACC"/>
    <w:rsid w:val="6F3B34CC"/>
    <w:rsid w:val="6F3D328A"/>
    <w:rsid w:val="6F40038F"/>
    <w:rsid w:val="6F401996"/>
    <w:rsid w:val="6F40256E"/>
    <w:rsid w:val="6F411E43"/>
    <w:rsid w:val="6F420605"/>
    <w:rsid w:val="6F426FED"/>
    <w:rsid w:val="6F435B3E"/>
    <w:rsid w:val="6F435DDD"/>
    <w:rsid w:val="6F444811"/>
    <w:rsid w:val="6F446866"/>
    <w:rsid w:val="6F45422C"/>
    <w:rsid w:val="6F4656AB"/>
    <w:rsid w:val="6F472EA6"/>
    <w:rsid w:val="6F4760D3"/>
    <w:rsid w:val="6F481C3E"/>
    <w:rsid w:val="6F4831D1"/>
    <w:rsid w:val="6F494A9D"/>
    <w:rsid w:val="6F494E31"/>
    <w:rsid w:val="6F4B5B27"/>
    <w:rsid w:val="6F4E3F0C"/>
    <w:rsid w:val="6F4E4717"/>
    <w:rsid w:val="6F4F1414"/>
    <w:rsid w:val="6F4F45D8"/>
    <w:rsid w:val="6F4F5ABD"/>
    <w:rsid w:val="6F4F630E"/>
    <w:rsid w:val="6F501A8C"/>
    <w:rsid w:val="6F5150BD"/>
    <w:rsid w:val="6F52121D"/>
    <w:rsid w:val="6F5323CC"/>
    <w:rsid w:val="6F541D77"/>
    <w:rsid w:val="6F547DC8"/>
    <w:rsid w:val="6F556011"/>
    <w:rsid w:val="6F5917CA"/>
    <w:rsid w:val="6F5A4CB2"/>
    <w:rsid w:val="6F5B2505"/>
    <w:rsid w:val="6F5C62BD"/>
    <w:rsid w:val="6F5C7B76"/>
    <w:rsid w:val="6F5F0599"/>
    <w:rsid w:val="6F612C73"/>
    <w:rsid w:val="6F61745E"/>
    <w:rsid w:val="6F635275"/>
    <w:rsid w:val="6F645A64"/>
    <w:rsid w:val="6F656E84"/>
    <w:rsid w:val="6F665D41"/>
    <w:rsid w:val="6F671BA8"/>
    <w:rsid w:val="6F6768E0"/>
    <w:rsid w:val="6F681AF4"/>
    <w:rsid w:val="6F682CB0"/>
    <w:rsid w:val="6F686C54"/>
    <w:rsid w:val="6F6B0955"/>
    <w:rsid w:val="6F6B34E8"/>
    <w:rsid w:val="6F6B6571"/>
    <w:rsid w:val="6F6C3363"/>
    <w:rsid w:val="6F6C348A"/>
    <w:rsid w:val="6F6C4724"/>
    <w:rsid w:val="6F6C4A40"/>
    <w:rsid w:val="6F6D52E9"/>
    <w:rsid w:val="6F6E52E0"/>
    <w:rsid w:val="6F710A0C"/>
    <w:rsid w:val="6F71315E"/>
    <w:rsid w:val="6F714BD3"/>
    <w:rsid w:val="6F716B39"/>
    <w:rsid w:val="6F723264"/>
    <w:rsid w:val="6F726B79"/>
    <w:rsid w:val="6F735497"/>
    <w:rsid w:val="6F7574C9"/>
    <w:rsid w:val="6F761A2D"/>
    <w:rsid w:val="6F772360"/>
    <w:rsid w:val="6F773AB6"/>
    <w:rsid w:val="6F795A80"/>
    <w:rsid w:val="6F796576"/>
    <w:rsid w:val="6F79782E"/>
    <w:rsid w:val="6F7A18EA"/>
    <w:rsid w:val="6F7A4321"/>
    <w:rsid w:val="6F7B61B3"/>
    <w:rsid w:val="6F7C2D48"/>
    <w:rsid w:val="6F7C2E7B"/>
    <w:rsid w:val="6F7E6BF3"/>
    <w:rsid w:val="6F7F0332"/>
    <w:rsid w:val="6F801900"/>
    <w:rsid w:val="6F8023A9"/>
    <w:rsid w:val="6F81026F"/>
    <w:rsid w:val="6F8164A6"/>
    <w:rsid w:val="6F8263E2"/>
    <w:rsid w:val="6F8265E9"/>
    <w:rsid w:val="6F826C35"/>
    <w:rsid w:val="6F842A78"/>
    <w:rsid w:val="6F852BFE"/>
    <w:rsid w:val="6F8612A8"/>
    <w:rsid w:val="6F863CF9"/>
    <w:rsid w:val="6F876E45"/>
    <w:rsid w:val="6F881820"/>
    <w:rsid w:val="6F88495E"/>
    <w:rsid w:val="6F890B79"/>
    <w:rsid w:val="6F8938AE"/>
    <w:rsid w:val="6F897436"/>
    <w:rsid w:val="6F897FB7"/>
    <w:rsid w:val="6F8A04D3"/>
    <w:rsid w:val="6F8A1B87"/>
    <w:rsid w:val="6F8A5A5E"/>
    <w:rsid w:val="6F8A697B"/>
    <w:rsid w:val="6F8A78F6"/>
    <w:rsid w:val="6F8B7A92"/>
    <w:rsid w:val="6F8D6E36"/>
    <w:rsid w:val="6F8E2418"/>
    <w:rsid w:val="6F8E6781"/>
    <w:rsid w:val="6F8F0E00"/>
    <w:rsid w:val="6F8F6824"/>
    <w:rsid w:val="6F904BCB"/>
    <w:rsid w:val="6F906926"/>
    <w:rsid w:val="6F907CB4"/>
    <w:rsid w:val="6F913D09"/>
    <w:rsid w:val="6F91709A"/>
    <w:rsid w:val="6F922627"/>
    <w:rsid w:val="6F94399F"/>
    <w:rsid w:val="6F955419"/>
    <w:rsid w:val="6F95760D"/>
    <w:rsid w:val="6F971731"/>
    <w:rsid w:val="6F971CF8"/>
    <w:rsid w:val="6F9742E9"/>
    <w:rsid w:val="6F977E33"/>
    <w:rsid w:val="6F981994"/>
    <w:rsid w:val="6F982DC7"/>
    <w:rsid w:val="6F984159"/>
    <w:rsid w:val="6F9950EB"/>
    <w:rsid w:val="6F9A1B99"/>
    <w:rsid w:val="6F9A449D"/>
    <w:rsid w:val="6F9A6919"/>
    <w:rsid w:val="6F9B1039"/>
    <w:rsid w:val="6F9E71BC"/>
    <w:rsid w:val="6F9E7295"/>
    <w:rsid w:val="6FA233C3"/>
    <w:rsid w:val="6FA268BC"/>
    <w:rsid w:val="6FA50623"/>
    <w:rsid w:val="6FA759AE"/>
    <w:rsid w:val="6FA844C9"/>
    <w:rsid w:val="6FAA7DC7"/>
    <w:rsid w:val="6FAC1505"/>
    <w:rsid w:val="6FAC2C0B"/>
    <w:rsid w:val="6FAC3760"/>
    <w:rsid w:val="6FAD3431"/>
    <w:rsid w:val="6FAE0C15"/>
    <w:rsid w:val="6FAF361C"/>
    <w:rsid w:val="6FB07B8F"/>
    <w:rsid w:val="6FB11BBE"/>
    <w:rsid w:val="6FB22ED7"/>
    <w:rsid w:val="6FB41A53"/>
    <w:rsid w:val="6FB4705C"/>
    <w:rsid w:val="6FB64181"/>
    <w:rsid w:val="6FB7179E"/>
    <w:rsid w:val="6FBC3C24"/>
    <w:rsid w:val="6FBC6C74"/>
    <w:rsid w:val="6FBD5C57"/>
    <w:rsid w:val="6FBE3493"/>
    <w:rsid w:val="6FBE4457"/>
    <w:rsid w:val="6FC00FB9"/>
    <w:rsid w:val="6FC0216B"/>
    <w:rsid w:val="6FC063F5"/>
    <w:rsid w:val="6FC17588"/>
    <w:rsid w:val="6FC42292"/>
    <w:rsid w:val="6FC47F71"/>
    <w:rsid w:val="6FC569A5"/>
    <w:rsid w:val="6FC94811"/>
    <w:rsid w:val="6FCA2D8F"/>
    <w:rsid w:val="6FCB0D79"/>
    <w:rsid w:val="6FCB3E38"/>
    <w:rsid w:val="6FCB4823"/>
    <w:rsid w:val="6FCB674B"/>
    <w:rsid w:val="6FCC4427"/>
    <w:rsid w:val="6FCE77AA"/>
    <w:rsid w:val="6FD21BB1"/>
    <w:rsid w:val="6FD24A6F"/>
    <w:rsid w:val="6FD256EB"/>
    <w:rsid w:val="6FD26671"/>
    <w:rsid w:val="6FD33AC8"/>
    <w:rsid w:val="6FD351BE"/>
    <w:rsid w:val="6FD40F09"/>
    <w:rsid w:val="6FD60885"/>
    <w:rsid w:val="6FD670FE"/>
    <w:rsid w:val="6FD6766D"/>
    <w:rsid w:val="6FD71C4D"/>
    <w:rsid w:val="6FD75BAF"/>
    <w:rsid w:val="6FD76303"/>
    <w:rsid w:val="6FD94246"/>
    <w:rsid w:val="6FD9651F"/>
    <w:rsid w:val="6FDB12F7"/>
    <w:rsid w:val="6FDB228A"/>
    <w:rsid w:val="6FDB2AFF"/>
    <w:rsid w:val="6FDB4E2B"/>
    <w:rsid w:val="6FDB6D53"/>
    <w:rsid w:val="6FDD1A5D"/>
    <w:rsid w:val="6FDD2C47"/>
    <w:rsid w:val="6FDE559F"/>
    <w:rsid w:val="6FDE58E3"/>
    <w:rsid w:val="6FDE6524"/>
    <w:rsid w:val="6FDF70C2"/>
    <w:rsid w:val="6FE02411"/>
    <w:rsid w:val="6FE0514E"/>
    <w:rsid w:val="6FE06819"/>
    <w:rsid w:val="6FE160CC"/>
    <w:rsid w:val="6FE27FD7"/>
    <w:rsid w:val="6FE3114C"/>
    <w:rsid w:val="6FE344AA"/>
    <w:rsid w:val="6FE42431"/>
    <w:rsid w:val="6FE7172C"/>
    <w:rsid w:val="6FE80BB4"/>
    <w:rsid w:val="6FE96C10"/>
    <w:rsid w:val="6FEA019C"/>
    <w:rsid w:val="6FEA08BF"/>
    <w:rsid w:val="6FEC0000"/>
    <w:rsid w:val="6FED16AA"/>
    <w:rsid w:val="6FED6605"/>
    <w:rsid w:val="6FED7C8A"/>
    <w:rsid w:val="6FEE1E4E"/>
    <w:rsid w:val="6FEE2B5C"/>
    <w:rsid w:val="6FEE796D"/>
    <w:rsid w:val="6FEF7B87"/>
    <w:rsid w:val="6FF30DEA"/>
    <w:rsid w:val="6FF51704"/>
    <w:rsid w:val="6FF728FB"/>
    <w:rsid w:val="6FF869A5"/>
    <w:rsid w:val="6FF86BFE"/>
    <w:rsid w:val="6FFA315D"/>
    <w:rsid w:val="6FFE1AE2"/>
    <w:rsid w:val="6FFE29CE"/>
    <w:rsid w:val="700156B6"/>
    <w:rsid w:val="70030FCD"/>
    <w:rsid w:val="7004302B"/>
    <w:rsid w:val="70071840"/>
    <w:rsid w:val="700A0487"/>
    <w:rsid w:val="700B0293"/>
    <w:rsid w:val="700B6D53"/>
    <w:rsid w:val="700C6158"/>
    <w:rsid w:val="700D4E16"/>
    <w:rsid w:val="700D77B5"/>
    <w:rsid w:val="700D78EC"/>
    <w:rsid w:val="700E13B2"/>
    <w:rsid w:val="700F0193"/>
    <w:rsid w:val="700F1E05"/>
    <w:rsid w:val="70102FFB"/>
    <w:rsid w:val="70110177"/>
    <w:rsid w:val="70113264"/>
    <w:rsid w:val="70117EA8"/>
    <w:rsid w:val="70141305"/>
    <w:rsid w:val="7016507D"/>
    <w:rsid w:val="701700C3"/>
    <w:rsid w:val="701A2263"/>
    <w:rsid w:val="701C15D3"/>
    <w:rsid w:val="701D1B77"/>
    <w:rsid w:val="701D56E7"/>
    <w:rsid w:val="701E3F32"/>
    <w:rsid w:val="70206657"/>
    <w:rsid w:val="7021077D"/>
    <w:rsid w:val="70226E34"/>
    <w:rsid w:val="70227EC6"/>
    <w:rsid w:val="70231548"/>
    <w:rsid w:val="702332C5"/>
    <w:rsid w:val="702418DD"/>
    <w:rsid w:val="702451FC"/>
    <w:rsid w:val="70253512"/>
    <w:rsid w:val="70263260"/>
    <w:rsid w:val="70280811"/>
    <w:rsid w:val="70293003"/>
    <w:rsid w:val="702A2886"/>
    <w:rsid w:val="702A6BA6"/>
    <w:rsid w:val="702C4E41"/>
    <w:rsid w:val="702C6118"/>
    <w:rsid w:val="702C664F"/>
    <w:rsid w:val="702D0B8C"/>
    <w:rsid w:val="702E0619"/>
    <w:rsid w:val="702E1220"/>
    <w:rsid w:val="702F03DD"/>
    <w:rsid w:val="702F681A"/>
    <w:rsid w:val="70305D16"/>
    <w:rsid w:val="7031089A"/>
    <w:rsid w:val="70311913"/>
    <w:rsid w:val="70335D69"/>
    <w:rsid w:val="70344FED"/>
    <w:rsid w:val="70351623"/>
    <w:rsid w:val="70360878"/>
    <w:rsid w:val="70371CBF"/>
    <w:rsid w:val="703764DA"/>
    <w:rsid w:val="70377729"/>
    <w:rsid w:val="70384FF4"/>
    <w:rsid w:val="70393070"/>
    <w:rsid w:val="703B070A"/>
    <w:rsid w:val="703B2FA4"/>
    <w:rsid w:val="703C4CE6"/>
    <w:rsid w:val="703C6011"/>
    <w:rsid w:val="703D31C9"/>
    <w:rsid w:val="703D3A40"/>
    <w:rsid w:val="70403CFE"/>
    <w:rsid w:val="70412100"/>
    <w:rsid w:val="70420F80"/>
    <w:rsid w:val="704327AC"/>
    <w:rsid w:val="70433C62"/>
    <w:rsid w:val="70434C25"/>
    <w:rsid w:val="70436255"/>
    <w:rsid w:val="70455963"/>
    <w:rsid w:val="7046087A"/>
    <w:rsid w:val="704713C7"/>
    <w:rsid w:val="70472D86"/>
    <w:rsid w:val="7048378B"/>
    <w:rsid w:val="7048559D"/>
    <w:rsid w:val="70497201"/>
    <w:rsid w:val="704A0FC6"/>
    <w:rsid w:val="704B7B93"/>
    <w:rsid w:val="704C196B"/>
    <w:rsid w:val="704D3B06"/>
    <w:rsid w:val="704F0094"/>
    <w:rsid w:val="704F212B"/>
    <w:rsid w:val="70514D7D"/>
    <w:rsid w:val="705217F6"/>
    <w:rsid w:val="70524F5E"/>
    <w:rsid w:val="705362D1"/>
    <w:rsid w:val="70542669"/>
    <w:rsid w:val="705446AE"/>
    <w:rsid w:val="70545BA6"/>
    <w:rsid w:val="70550D0E"/>
    <w:rsid w:val="70567B70"/>
    <w:rsid w:val="70575E63"/>
    <w:rsid w:val="70577DED"/>
    <w:rsid w:val="705838E8"/>
    <w:rsid w:val="705A715C"/>
    <w:rsid w:val="705B5186"/>
    <w:rsid w:val="705C2F35"/>
    <w:rsid w:val="705E3AF7"/>
    <w:rsid w:val="705F0F55"/>
    <w:rsid w:val="70600938"/>
    <w:rsid w:val="70607345"/>
    <w:rsid w:val="7062033D"/>
    <w:rsid w:val="706212BB"/>
    <w:rsid w:val="70653990"/>
    <w:rsid w:val="7067443D"/>
    <w:rsid w:val="706814B3"/>
    <w:rsid w:val="70692DD7"/>
    <w:rsid w:val="706D3DFA"/>
    <w:rsid w:val="707149AA"/>
    <w:rsid w:val="707204FE"/>
    <w:rsid w:val="7072674B"/>
    <w:rsid w:val="70736099"/>
    <w:rsid w:val="70742A08"/>
    <w:rsid w:val="70750DFC"/>
    <w:rsid w:val="7075449A"/>
    <w:rsid w:val="70761FC0"/>
    <w:rsid w:val="7079358E"/>
    <w:rsid w:val="707A50E3"/>
    <w:rsid w:val="707B556F"/>
    <w:rsid w:val="707C5D0F"/>
    <w:rsid w:val="707D2EED"/>
    <w:rsid w:val="707E076A"/>
    <w:rsid w:val="7080032F"/>
    <w:rsid w:val="70812E3F"/>
    <w:rsid w:val="70832739"/>
    <w:rsid w:val="70847783"/>
    <w:rsid w:val="70857DED"/>
    <w:rsid w:val="70862203"/>
    <w:rsid w:val="70872684"/>
    <w:rsid w:val="7089502D"/>
    <w:rsid w:val="708B5A6B"/>
    <w:rsid w:val="708E1B55"/>
    <w:rsid w:val="708E2FC5"/>
    <w:rsid w:val="708E3C26"/>
    <w:rsid w:val="708F79AC"/>
    <w:rsid w:val="709014CD"/>
    <w:rsid w:val="709112CC"/>
    <w:rsid w:val="709140FD"/>
    <w:rsid w:val="709237F2"/>
    <w:rsid w:val="70931923"/>
    <w:rsid w:val="7094400F"/>
    <w:rsid w:val="70950698"/>
    <w:rsid w:val="709507D7"/>
    <w:rsid w:val="70957394"/>
    <w:rsid w:val="70960D04"/>
    <w:rsid w:val="70977BD3"/>
    <w:rsid w:val="709A5D03"/>
    <w:rsid w:val="709A64E9"/>
    <w:rsid w:val="709B4D1C"/>
    <w:rsid w:val="709C4BE4"/>
    <w:rsid w:val="709E7E23"/>
    <w:rsid w:val="709F32C5"/>
    <w:rsid w:val="709F401E"/>
    <w:rsid w:val="70A158FB"/>
    <w:rsid w:val="70A26911"/>
    <w:rsid w:val="70A4391B"/>
    <w:rsid w:val="70A51CC5"/>
    <w:rsid w:val="70A77CBB"/>
    <w:rsid w:val="70A91DF3"/>
    <w:rsid w:val="70A947E0"/>
    <w:rsid w:val="70AC207C"/>
    <w:rsid w:val="70AC23B7"/>
    <w:rsid w:val="70AC4107"/>
    <w:rsid w:val="70AD3C34"/>
    <w:rsid w:val="70AE0A60"/>
    <w:rsid w:val="70AE6124"/>
    <w:rsid w:val="70AE6490"/>
    <w:rsid w:val="70AF4324"/>
    <w:rsid w:val="70B008E6"/>
    <w:rsid w:val="70B2048D"/>
    <w:rsid w:val="70B22512"/>
    <w:rsid w:val="70B328CC"/>
    <w:rsid w:val="70B32945"/>
    <w:rsid w:val="70B32BC2"/>
    <w:rsid w:val="70B53ECF"/>
    <w:rsid w:val="70B54896"/>
    <w:rsid w:val="70B6035E"/>
    <w:rsid w:val="70B62CB8"/>
    <w:rsid w:val="70B8257F"/>
    <w:rsid w:val="70BA39D3"/>
    <w:rsid w:val="70BB1A19"/>
    <w:rsid w:val="70BB1BAF"/>
    <w:rsid w:val="70BD0B88"/>
    <w:rsid w:val="70C15C4F"/>
    <w:rsid w:val="70C16A5E"/>
    <w:rsid w:val="70C25205"/>
    <w:rsid w:val="70C25E65"/>
    <w:rsid w:val="70C33AD6"/>
    <w:rsid w:val="70C361CB"/>
    <w:rsid w:val="70C3772A"/>
    <w:rsid w:val="70C42ABD"/>
    <w:rsid w:val="70C536AB"/>
    <w:rsid w:val="70C60851"/>
    <w:rsid w:val="70C62A07"/>
    <w:rsid w:val="70C65071"/>
    <w:rsid w:val="70C72417"/>
    <w:rsid w:val="70C8530E"/>
    <w:rsid w:val="70C920F0"/>
    <w:rsid w:val="70C94A83"/>
    <w:rsid w:val="70CA459E"/>
    <w:rsid w:val="70CB112E"/>
    <w:rsid w:val="70CB6DCB"/>
    <w:rsid w:val="70CC1104"/>
    <w:rsid w:val="70CC1BE0"/>
    <w:rsid w:val="70CE0ED4"/>
    <w:rsid w:val="70CE3F8A"/>
    <w:rsid w:val="70CE5958"/>
    <w:rsid w:val="70D00CF3"/>
    <w:rsid w:val="70D02E41"/>
    <w:rsid w:val="70D1121A"/>
    <w:rsid w:val="70D13570"/>
    <w:rsid w:val="70D144B9"/>
    <w:rsid w:val="70D171F6"/>
    <w:rsid w:val="70D30931"/>
    <w:rsid w:val="70D45599"/>
    <w:rsid w:val="70D5493D"/>
    <w:rsid w:val="70D873C8"/>
    <w:rsid w:val="70DA3C5B"/>
    <w:rsid w:val="70DB3500"/>
    <w:rsid w:val="70DC2827"/>
    <w:rsid w:val="70DC62C7"/>
    <w:rsid w:val="70DD7D47"/>
    <w:rsid w:val="70DE60F4"/>
    <w:rsid w:val="70E13A7E"/>
    <w:rsid w:val="70E1568B"/>
    <w:rsid w:val="70E17439"/>
    <w:rsid w:val="70E24F2A"/>
    <w:rsid w:val="70E35E7A"/>
    <w:rsid w:val="70E37655"/>
    <w:rsid w:val="70E379D0"/>
    <w:rsid w:val="70E45CF5"/>
    <w:rsid w:val="70E64133"/>
    <w:rsid w:val="70E74D85"/>
    <w:rsid w:val="70E80021"/>
    <w:rsid w:val="70E84C6C"/>
    <w:rsid w:val="70E87136"/>
    <w:rsid w:val="70E96D15"/>
    <w:rsid w:val="70EB3C4B"/>
    <w:rsid w:val="70EC3FCA"/>
    <w:rsid w:val="70EC72BE"/>
    <w:rsid w:val="70EC7905"/>
    <w:rsid w:val="70ED455C"/>
    <w:rsid w:val="70EE7DA8"/>
    <w:rsid w:val="70EF0F9D"/>
    <w:rsid w:val="70EF671E"/>
    <w:rsid w:val="70F02009"/>
    <w:rsid w:val="70F15083"/>
    <w:rsid w:val="70F214CC"/>
    <w:rsid w:val="70F21646"/>
    <w:rsid w:val="70F25AEA"/>
    <w:rsid w:val="70F322CE"/>
    <w:rsid w:val="70F51C3E"/>
    <w:rsid w:val="70F53102"/>
    <w:rsid w:val="70F9549B"/>
    <w:rsid w:val="70F9772A"/>
    <w:rsid w:val="70FD1DD7"/>
    <w:rsid w:val="70FD61B6"/>
    <w:rsid w:val="70FE6F67"/>
    <w:rsid w:val="70FF1FB5"/>
    <w:rsid w:val="70FF2F8F"/>
    <w:rsid w:val="70FF5927"/>
    <w:rsid w:val="7101735B"/>
    <w:rsid w:val="71023FF6"/>
    <w:rsid w:val="71025639"/>
    <w:rsid w:val="7103507D"/>
    <w:rsid w:val="7104058D"/>
    <w:rsid w:val="71064795"/>
    <w:rsid w:val="71084391"/>
    <w:rsid w:val="71096990"/>
    <w:rsid w:val="710C3741"/>
    <w:rsid w:val="710D4C47"/>
    <w:rsid w:val="710E4B6B"/>
    <w:rsid w:val="710F044A"/>
    <w:rsid w:val="71127683"/>
    <w:rsid w:val="71127830"/>
    <w:rsid w:val="71143AA9"/>
    <w:rsid w:val="711517D9"/>
    <w:rsid w:val="71156939"/>
    <w:rsid w:val="71181CA1"/>
    <w:rsid w:val="71193077"/>
    <w:rsid w:val="711A2EE1"/>
    <w:rsid w:val="711A6F86"/>
    <w:rsid w:val="711B13B0"/>
    <w:rsid w:val="711B6831"/>
    <w:rsid w:val="711B6F7F"/>
    <w:rsid w:val="711B7CC6"/>
    <w:rsid w:val="711D62F3"/>
    <w:rsid w:val="711F256C"/>
    <w:rsid w:val="711F61B4"/>
    <w:rsid w:val="71206EA1"/>
    <w:rsid w:val="7121319C"/>
    <w:rsid w:val="71221416"/>
    <w:rsid w:val="7123505E"/>
    <w:rsid w:val="71236462"/>
    <w:rsid w:val="712505BB"/>
    <w:rsid w:val="71281147"/>
    <w:rsid w:val="71285068"/>
    <w:rsid w:val="71297032"/>
    <w:rsid w:val="712A5353"/>
    <w:rsid w:val="712B4E56"/>
    <w:rsid w:val="712E741F"/>
    <w:rsid w:val="712E7635"/>
    <w:rsid w:val="712F419D"/>
    <w:rsid w:val="71300B65"/>
    <w:rsid w:val="71300F9A"/>
    <w:rsid w:val="71302CE2"/>
    <w:rsid w:val="71332BBF"/>
    <w:rsid w:val="71333A0D"/>
    <w:rsid w:val="713459AF"/>
    <w:rsid w:val="71353C29"/>
    <w:rsid w:val="713567A7"/>
    <w:rsid w:val="7137453A"/>
    <w:rsid w:val="713A7D09"/>
    <w:rsid w:val="713C6D66"/>
    <w:rsid w:val="713E488C"/>
    <w:rsid w:val="713F0604"/>
    <w:rsid w:val="713F23B2"/>
    <w:rsid w:val="713F45B4"/>
    <w:rsid w:val="714125CE"/>
    <w:rsid w:val="7141437C"/>
    <w:rsid w:val="71414959"/>
    <w:rsid w:val="71427AE3"/>
    <w:rsid w:val="71427E5F"/>
    <w:rsid w:val="71462131"/>
    <w:rsid w:val="71470C38"/>
    <w:rsid w:val="71475656"/>
    <w:rsid w:val="7148570A"/>
    <w:rsid w:val="71494DE5"/>
    <w:rsid w:val="714964C2"/>
    <w:rsid w:val="714A1C1F"/>
    <w:rsid w:val="714B0D57"/>
    <w:rsid w:val="714B3BBA"/>
    <w:rsid w:val="714B4BF4"/>
    <w:rsid w:val="714B7E1F"/>
    <w:rsid w:val="714C3307"/>
    <w:rsid w:val="7151732F"/>
    <w:rsid w:val="71517BC1"/>
    <w:rsid w:val="71521EB1"/>
    <w:rsid w:val="71522661"/>
    <w:rsid w:val="7152348D"/>
    <w:rsid w:val="71535C53"/>
    <w:rsid w:val="71543CE6"/>
    <w:rsid w:val="715440AF"/>
    <w:rsid w:val="715513E4"/>
    <w:rsid w:val="71555B47"/>
    <w:rsid w:val="71556CA2"/>
    <w:rsid w:val="7156287F"/>
    <w:rsid w:val="71562A57"/>
    <w:rsid w:val="7156348A"/>
    <w:rsid w:val="71586CEB"/>
    <w:rsid w:val="71594D33"/>
    <w:rsid w:val="715A3F81"/>
    <w:rsid w:val="715A570D"/>
    <w:rsid w:val="715A58D2"/>
    <w:rsid w:val="715B1DCB"/>
    <w:rsid w:val="715B3540"/>
    <w:rsid w:val="715C2428"/>
    <w:rsid w:val="715D7E77"/>
    <w:rsid w:val="715E2DFE"/>
    <w:rsid w:val="716167CC"/>
    <w:rsid w:val="71655A4E"/>
    <w:rsid w:val="71661BC7"/>
    <w:rsid w:val="71671334"/>
    <w:rsid w:val="71682748"/>
    <w:rsid w:val="71687ABE"/>
    <w:rsid w:val="716A2C92"/>
    <w:rsid w:val="716A345E"/>
    <w:rsid w:val="716B1934"/>
    <w:rsid w:val="716B1BD6"/>
    <w:rsid w:val="716C5CAF"/>
    <w:rsid w:val="716D33C3"/>
    <w:rsid w:val="716D5171"/>
    <w:rsid w:val="716E19CC"/>
    <w:rsid w:val="716F0EE9"/>
    <w:rsid w:val="716F271A"/>
    <w:rsid w:val="7170412F"/>
    <w:rsid w:val="717128A4"/>
    <w:rsid w:val="71715101"/>
    <w:rsid w:val="71723392"/>
    <w:rsid w:val="717262CC"/>
    <w:rsid w:val="717274D3"/>
    <w:rsid w:val="717448F9"/>
    <w:rsid w:val="717464FF"/>
    <w:rsid w:val="71775AB0"/>
    <w:rsid w:val="717840FC"/>
    <w:rsid w:val="717850DD"/>
    <w:rsid w:val="71793333"/>
    <w:rsid w:val="71796EC1"/>
    <w:rsid w:val="71797406"/>
    <w:rsid w:val="717C7162"/>
    <w:rsid w:val="717F0411"/>
    <w:rsid w:val="717F52F0"/>
    <w:rsid w:val="7180046C"/>
    <w:rsid w:val="718166DC"/>
    <w:rsid w:val="71825154"/>
    <w:rsid w:val="718570A2"/>
    <w:rsid w:val="71864485"/>
    <w:rsid w:val="71864528"/>
    <w:rsid w:val="71867FE1"/>
    <w:rsid w:val="71881FAB"/>
    <w:rsid w:val="71882F15"/>
    <w:rsid w:val="718971D8"/>
    <w:rsid w:val="718978E9"/>
    <w:rsid w:val="718A3708"/>
    <w:rsid w:val="718D136F"/>
    <w:rsid w:val="718D5813"/>
    <w:rsid w:val="718E3519"/>
    <w:rsid w:val="718E3E69"/>
    <w:rsid w:val="71902C0D"/>
    <w:rsid w:val="71911745"/>
    <w:rsid w:val="71912452"/>
    <w:rsid w:val="71934453"/>
    <w:rsid w:val="71944BCE"/>
    <w:rsid w:val="71963B91"/>
    <w:rsid w:val="719678A7"/>
    <w:rsid w:val="71967E24"/>
    <w:rsid w:val="719801AC"/>
    <w:rsid w:val="71996AC6"/>
    <w:rsid w:val="719A2BB7"/>
    <w:rsid w:val="719A3A8C"/>
    <w:rsid w:val="719B1193"/>
    <w:rsid w:val="719B4024"/>
    <w:rsid w:val="719C1782"/>
    <w:rsid w:val="719C63DF"/>
    <w:rsid w:val="719D3E4C"/>
    <w:rsid w:val="719E17CE"/>
    <w:rsid w:val="71A01CD2"/>
    <w:rsid w:val="71A118AB"/>
    <w:rsid w:val="71A142CC"/>
    <w:rsid w:val="71A16BC9"/>
    <w:rsid w:val="71A214E0"/>
    <w:rsid w:val="71A22FE8"/>
    <w:rsid w:val="71A37ADC"/>
    <w:rsid w:val="71A529F3"/>
    <w:rsid w:val="71A77465"/>
    <w:rsid w:val="71AB4182"/>
    <w:rsid w:val="71AB5823"/>
    <w:rsid w:val="71AB5C99"/>
    <w:rsid w:val="71AC2FAF"/>
    <w:rsid w:val="71B0505E"/>
    <w:rsid w:val="71B10F8B"/>
    <w:rsid w:val="71B12103"/>
    <w:rsid w:val="71B37108"/>
    <w:rsid w:val="71B41FFA"/>
    <w:rsid w:val="71B44CF7"/>
    <w:rsid w:val="71B6097C"/>
    <w:rsid w:val="71B86786"/>
    <w:rsid w:val="71B90EA1"/>
    <w:rsid w:val="71B92164"/>
    <w:rsid w:val="71BB3875"/>
    <w:rsid w:val="71BB412E"/>
    <w:rsid w:val="71BD5A6E"/>
    <w:rsid w:val="71BD61D2"/>
    <w:rsid w:val="71BD73C1"/>
    <w:rsid w:val="71BE2ED7"/>
    <w:rsid w:val="71BE3C0E"/>
    <w:rsid w:val="71BE7968"/>
    <w:rsid w:val="71BF0919"/>
    <w:rsid w:val="71BF47BE"/>
    <w:rsid w:val="71C130F1"/>
    <w:rsid w:val="71C163A8"/>
    <w:rsid w:val="71C35A24"/>
    <w:rsid w:val="71C51B6C"/>
    <w:rsid w:val="71C72AD3"/>
    <w:rsid w:val="71C879D4"/>
    <w:rsid w:val="71C942C6"/>
    <w:rsid w:val="71CC2685"/>
    <w:rsid w:val="71CC3E28"/>
    <w:rsid w:val="71CC7F1B"/>
    <w:rsid w:val="71CE70DE"/>
    <w:rsid w:val="71CF6AA7"/>
    <w:rsid w:val="71D15516"/>
    <w:rsid w:val="71D276DF"/>
    <w:rsid w:val="71D317EC"/>
    <w:rsid w:val="71D543D4"/>
    <w:rsid w:val="71D56020"/>
    <w:rsid w:val="71D66CA0"/>
    <w:rsid w:val="71D84C2B"/>
    <w:rsid w:val="71D94661"/>
    <w:rsid w:val="71DB127E"/>
    <w:rsid w:val="71DB4DD5"/>
    <w:rsid w:val="71DB6875"/>
    <w:rsid w:val="71DC0E25"/>
    <w:rsid w:val="71DC57AF"/>
    <w:rsid w:val="71DC670C"/>
    <w:rsid w:val="71DE7EF6"/>
    <w:rsid w:val="71DF6C29"/>
    <w:rsid w:val="71E071A4"/>
    <w:rsid w:val="71E21319"/>
    <w:rsid w:val="71E2790D"/>
    <w:rsid w:val="71E34F47"/>
    <w:rsid w:val="71E357EB"/>
    <w:rsid w:val="71E5583D"/>
    <w:rsid w:val="71E61BF3"/>
    <w:rsid w:val="71E62FF1"/>
    <w:rsid w:val="71E73175"/>
    <w:rsid w:val="71E739BB"/>
    <w:rsid w:val="71EA4A14"/>
    <w:rsid w:val="71EB5441"/>
    <w:rsid w:val="71EC1451"/>
    <w:rsid w:val="71EC253A"/>
    <w:rsid w:val="71F13D46"/>
    <w:rsid w:val="71F1492E"/>
    <w:rsid w:val="71F1783D"/>
    <w:rsid w:val="71F238C8"/>
    <w:rsid w:val="71F2526B"/>
    <w:rsid w:val="71F320E9"/>
    <w:rsid w:val="71F42260"/>
    <w:rsid w:val="71F44730"/>
    <w:rsid w:val="71F50CEC"/>
    <w:rsid w:val="71F57FBF"/>
    <w:rsid w:val="71F726E6"/>
    <w:rsid w:val="71F747D5"/>
    <w:rsid w:val="71F8229B"/>
    <w:rsid w:val="71F96780"/>
    <w:rsid w:val="71F96DB9"/>
    <w:rsid w:val="71FD622F"/>
    <w:rsid w:val="71FE6253"/>
    <w:rsid w:val="71FE634A"/>
    <w:rsid w:val="71FE6896"/>
    <w:rsid w:val="71FF479B"/>
    <w:rsid w:val="71FF505B"/>
    <w:rsid w:val="72010FFF"/>
    <w:rsid w:val="72012219"/>
    <w:rsid w:val="72034D00"/>
    <w:rsid w:val="72056950"/>
    <w:rsid w:val="7208370E"/>
    <w:rsid w:val="720B597F"/>
    <w:rsid w:val="720D3377"/>
    <w:rsid w:val="720D4B64"/>
    <w:rsid w:val="720E1DF4"/>
    <w:rsid w:val="720E2FAB"/>
    <w:rsid w:val="720F06C5"/>
    <w:rsid w:val="720F27CE"/>
    <w:rsid w:val="72111F0E"/>
    <w:rsid w:val="721148E6"/>
    <w:rsid w:val="72140CC9"/>
    <w:rsid w:val="7216101F"/>
    <w:rsid w:val="72164FA8"/>
    <w:rsid w:val="721712B3"/>
    <w:rsid w:val="721715A3"/>
    <w:rsid w:val="72181794"/>
    <w:rsid w:val="721B37CB"/>
    <w:rsid w:val="721B4BCD"/>
    <w:rsid w:val="721B6404"/>
    <w:rsid w:val="721C436A"/>
    <w:rsid w:val="721D1540"/>
    <w:rsid w:val="721E62BD"/>
    <w:rsid w:val="721F2328"/>
    <w:rsid w:val="721F3278"/>
    <w:rsid w:val="72214077"/>
    <w:rsid w:val="722238A0"/>
    <w:rsid w:val="72233A82"/>
    <w:rsid w:val="722419D8"/>
    <w:rsid w:val="72246E21"/>
    <w:rsid w:val="7225308B"/>
    <w:rsid w:val="72270127"/>
    <w:rsid w:val="72287C47"/>
    <w:rsid w:val="72290EB1"/>
    <w:rsid w:val="72294F32"/>
    <w:rsid w:val="722B70F5"/>
    <w:rsid w:val="722C0B88"/>
    <w:rsid w:val="722D3F99"/>
    <w:rsid w:val="722F0596"/>
    <w:rsid w:val="72302649"/>
    <w:rsid w:val="723030F6"/>
    <w:rsid w:val="7231594B"/>
    <w:rsid w:val="723172D3"/>
    <w:rsid w:val="7233419F"/>
    <w:rsid w:val="72343E4D"/>
    <w:rsid w:val="72345C8F"/>
    <w:rsid w:val="72347976"/>
    <w:rsid w:val="72353144"/>
    <w:rsid w:val="72365481"/>
    <w:rsid w:val="72366C54"/>
    <w:rsid w:val="72370133"/>
    <w:rsid w:val="723726A3"/>
    <w:rsid w:val="7237492E"/>
    <w:rsid w:val="72380D86"/>
    <w:rsid w:val="723C3BB3"/>
    <w:rsid w:val="723D4EC0"/>
    <w:rsid w:val="723D65C1"/>
    <w:rsid w:val="723E4F1D"/>
    <w:rsid w:val="723F46FC"/>
    <w:rsid w:val="72411EB8"/>
    <w:rsid w:val="7241389E"/>
    <w:rsid w:val="72431602"/>
    <w:rsid w:val="72432A2F"/>
    <w:rsid w:val="72442376"/>
    <w:rsid w:val="724539F8"/>
    <w:rsid w:val="72463941"/>
    <w:rsid w:val="7246612F"/>
    <w:rsid w:val="72467253"/>
    <w:rsid w:val="72473C14"/>
    <w:rsid w:val="7249173A"/>
    <w:rsid w:val="72493B56"/>
    <w:rsid w:val="72495CF8"/>
    <w:rsid w:val="724B09B0"/>
    <w:rsid w:val="724C559F"/>
    <w:rsid w:val="724F377C"/>
    <w:rsid w:val="72505D04"/>
    <w:rsid w:val="725119FE"/>
    <w:rsid w:val="72520D6C"/>
    <w:rsid w:val="72523032"/>
    <w:rsid w:val="725369CA"/>
    <w:rsid w:val="72544A9C"/>
    <w:rsid w:val="725569B2"/>
    <w:rsid w:val="725974A3"/>
    <w:rsid w:val="725A5559"/>
    <w:rsid w:val="725A5838"/>
    <w:rsid w:val="725B33BD"/>
    <w:rsid w:val="725B553C"/>
    <w:rsid w:val="725B6D60"/>
    <w:rsid w:val="725C3593"/>
    <w:rsid w:val="725D34FF"/>
    <w:rsid w:val="725E4CB3"/>
    <w:rsid w:val="7260194B"/>
    <w:rsid w:val="726054CC"/>
    <w:rsid w:val="7260580F"/>
    <w:rsid w:val="72605D4C"/>
    <w:rsid w:val="72614F83"/>
    <w:rsid w:val="72616F8F"/>
    <w:rsid w:val="726245AA"/>
    <w:rsid w:val="7262796D"/>
    <w:rsid w:val="726369E8"/>
    <w:rsid w:val="72641BBB"/>
    <w:rsid w:val="72651AE9"/>
    <w:rsid w:val="7265261F"/>
    <w:rsid w:val="72660A64"/>
    <w:rsid w:val="72660C5F"/>
    <w:rsid w:val="72671BC0"/>
    <w:rsid w:val="7267709D"/>
    <w:rsid w:val="72691DDC"/>
    <w:rsid w:val="726A7F45"/>
    <w:rsid w:val="726B46FD"/>
    <w:rsid w:val="726B58D3"/>
    <w:rsid w:val="726C367A"/>
    <w:rsid w:val="726C637A"/>
    <w:rsid w:val="726E79E3"/>
    <w:rsid w:val="726F27D5"/>
    <w:rsid w:val="7270458F"/>
    <w:rsid w:val="72706649"/>
    <w:rsid w:val="727069B4"/>
    <w:rsid w:val="727109F1"/>
    <w:rsid w:val="72714D32"/>
    <w:rsid w:val="72716128"/>
    <w:rsid w:val="7271666B"/>
    <w:rsid w:val="72720E9A"/>
    <w:rsid w:val="72724415"/>
    <w:rsid w:val="72730565"/>
    <w:rsid w:val="727350C6"/>
    <w:rsid w:val="727367B7"/>
    <w:rsid w:val="72760055"/>
    <w:rsid w:val="7277099F"/>
    <w:rsid w:val="727774C2"/>
    <w:rsid w:val="72780840"/>
    <w:rsid w:val="72785888"/>
    <w:rsid w:val="7278653E"/>
    <w:rsid w:val="727A1620"/>
    <w:rsid w:val="727A36EA"/>
    <w:rsid w:val="727A3F70"/>
    <w:rsid w:val="727B14F6"/>
    <w:rsid w:val="727B1858"/>
    <w:rsid w:val="727B233D"/>
    <w:rsid w:val="727D252C"/>
    <w:rsid w:val="727E69BE"/>
    <w:rsid w:val="727E7765"/>
    <w:rsid w:val="727E7C64"/>
    <w:rsid w:val="727F074F"/>
    <w:rsid w:val="72800ED4"/>
    <w:rsid w:val="72801610"/>
    <w:rsid w:val="72807126"/>
    <w:rsid w:val="7284105E"/>
    <w:rsid w:val="72853560"/>
    <w:rsid w:val="7288417B"/>
    <w:rsid w:val="728A0F21"/>
    <w:rsid w:val="728C65E5"/>
    <w:rsid w:val="728D3298"/>
    <w:rsid w:val="728D7D7F"/>
    <w:rsid w:val="728E102C"/>
    <w:rsid w:val="72906BCB"/>
    <w:rsid w:val="72907369"/>
    <w:rsid w:val="7291658D"/>
    <w:rsid w:val="729247AC"/>
    <w:rsid w:val="7292644C"/>
    <w:rsid w:val="72930CA2"/>
    <w:rsid w:val="72933DE9"/>
    <w:rsid w:val="72937C36"/>
    <w:rsid w:val="72940395"/>
    <w:rsid w:val="72960223"/>
    <w:rsid w:val="729624A5"/>
    <w:rsid w:val="729676C2"/>
    <w:rsid w:val="729749A4"/>
    <w:rsid w:val="7298078A"/>
    <w:rsid w:val="72982ABB"/>
    <w:rsid w:val="729A00C3"/>
    <w:rsid w:val="729A01E8"/>
    <w:rsid w:val="729A468E"/>
    <w:rsid w:val="729A7FD3"/>
    <w:rsid w:val="729C2CCE"/>
    <w:rsid w:val="729C3F60"/>
    <w:rsid w:val="729C6DD4"/>
    <w:rsid w:val="729D00AF"/>
    <w:rsid w:val="72A004C1"/>
    <w:rsid w:val="72A03324"/>
    <w:rsid w:val="72A11576"/>
    <w:rsid w:val="72A20E4A"/>
    <w:rsid w:val="72A2598E"/>
    <w:rsid w:val="72A34726"/>
    <w:rsid w:val="72A4076F"/>
    <w:rsid w:val="72A50764"/>
    <w:rsid w:val="72A61AC9"/>
    <w:rsid w:val="72A65F10"/>
    <w:rsid w:val="72A87727"/>
    <w:rsid w:val="72A9136A"/>
    <w:rsid w:val="72A916D5"/>
    <w:rsid w:val="72A95E61"/>
    <w:rsid w:val="72A9656C"/>
    <w:rsid w:val="72AA06FF"/>
    <w:rsid w:val="72AA495B"/>
    <w:rsid w:val="72AA6492"/>
    <w:rsid w:val="72AE06B5"/>
    <w:rsid w:val="72AE09EE"/>
    <w:rsid w:val="72AF4284"/>
    <w:rsid w:val="72B01091"/>
    <w:rsid w:val="72B13B2A"/>
    <w:rsid w:val="72B15531"/>
    <w:rsid w:val="72B172DF"/>
    <w:rsid w:val="72B33515"/>
    <w:rsid w:val="72B360E6"/>
    <w:rsid w:val="72B6105F"/>
    <w:rsid w:val="72B62B48"/>
    <w:rsid w:val="72B776CF"/>
    <w:rsid w:val="72B801EC"/>
    <w:rsid w:val="72B80E7E"/>
    <w:rsid w:val="72BA1917"/>
    <w:rsid w:val="72BA4B01"/>
    <w:rsid w:val="72BC37E2"/>
    <w:rsid w:val="72BE6102"/>
    <w:rsid w:val="72BE6DBB"/>
    <w:rsid w:val="72BF37AA"/>
    <w:rsid w:val="72C0146A"/>
    <w:rsid w:val="72C15F6F"/>
    <w:rsid w:val="72C17658"/>
    <w:rsid w:val="72C214EC"/>
    <w:rsid w:val="72C25048"/>
    <w:rsid w:val="72C27EEE"/>
    <w:rsid w:val="72C30D78"/>
    <w:rsid w:val="72C54B39"/>
    <w:rsid w:val="72C63AF9"/>
    <w:rsid w:val="72C6427C"/>
    <w:rsid w:val="72C64D58"/>
    <w:rsid w:val="72C65005"/>
    <w:rsid w:val="72C86348"/>
    <w:rsid w:val="72C91F7E"/>
    <w:rsid w:val="72C93ABE"/>
    <w:rsid w:val="72C971FE"/>
    <w:rsid w:val="72CA4A20"/>
    <w:rsid w:val="72CA520C"/>
    <w:rsid w:val="72CA76E6"/>
    <w:rsid w:val="72CB03A1"/>
    <w:rsid w:val="72CC32D7"/>
    <w:rsid w:val="72CE4A5A"/>
    <w:rsid w:val="72CF3C88"/>
    <w:rsid w:val="72CF7EC2"/>
    <w:rsid w:val="72D440E1"/>
    <w:rsid w:val="72D471FB"/>
    <w:rsid w:val="72D64DE2"/>
    <w:rsid w:val="72D65ACA"/>
    <w:rsid w:val="72D66F5A"/>
    <w:rsid w:val="72D77E5A"/>
    <w:rsid w:val="72DC654D"/>
    <w:rsid w:val="72DD392C"/>
    <w:rsid w:val="72DF209E"/>
    <w:rsid w:val="72E02E91"/>
    <w:rsid w:val="72E32767"/>
    <w:rsid w:val="72E3698D"/>
    <w:rsid w:val="72E41463"/>
    <w:rsid w:val="72E43444"/>
    <w:rsid w:val="72E53F90"/>
    <w:rsid w:val="72E72D01"/>
    <w:rsid w:val="72E87C5F"/>
    <w:rsid w:val="72EA4B34"/>
    <w:rsid w:val="72EA5653"/>
    <w:rsid w:val="72EB1D41"/>
    <w:rsid w:val="72EB27F1"/>
    <w:rsid w:val="72EB6A51"/>
    <w:rsid w:val="72EB79B8"/>
    <w:rsid w:val="72EC6C36"/>
    <w:rsid w:val="72ED2C65"/>
    <w:rsid w:val="72EE6F78"/>
    <w:rsid w:val="72F31304"/>
    <w:rsid w:val="72F32A5D"/>
    <w:rsid w:val="72F33DAC"/>
    <w:rsid w:val="72F42FBE"/>
    <w:rsid w:val="72F50DA2"/>
    <w:rsid w:val="72F85D3B"/>
    <w:rsid w:val="72F85D44"/>
    <w:rsid w:val="72F86A04"/>
    <w:rsid w:val="72F93721"/>
    <w:rsid w:val="72FA2A34"/>
    <w:rsid w:val="72FA407A"/>
    <w:rsid w:val="72FC167C"/>
    <w:rsid w:val="72FC7489"/>
    <w:rsid w:val="72FD0161"/>
    <w:rsid w:val="72FF6166"/>
    <w:rsid w:val="73014FE1"/>
    <w:rsid w:val="73015784"/>
    <w:rsid w:val="730257DC"/>
    <w:rsid w:val="73061B13"/>
    <w:rsid w:val="730A17AB"/>
    <w:rsid w:val="730C2768"/>
    <w:rsid w:val="730E4732"/>
    <w:rsid w:val="730E64E0"/>
    <w:rsid w:val="730F4203"/>
    <w:rsid w:val="7311772D"/>
    <w:rsid w:val="73122E4E"/>
    <w:rsid w:val="73124253"/>
    <w:rsid w:val="73130931"/>
    <w:rsid w:val="731358A4"/>
    <w:rsid w:val="73154050"/>
    <w:rsid w:val="731655BF"/>
    <w:rsid w:val="73166BDD"/>
    <w:rsid w:val="73196FAE"/>
    <w:rsid w:val="731A1328"/>
    <w:rsid w:val="731C0C59"/>
    <w:rsid w:val="731D245E"/>
    <w:rsid w:val="731E21D2"/>
    <w:rsid w:val="731E2CB7"/>
    <w:rsid w:val="731F07DA"/>
    <w:rsid w:val="73284442"/>
    <w:rsid w:val="73295B67"/>
    <w:rsid w:val="73297A38"/>
    <w:rsid w:val="732A2D10"/>
    <w:rsid w:val="732A47D4"/>
    <w:rsid w:val="732A6CA2"/>
    <w:rsid w:val="732B0626"/>
    <w:rsid w:val="732E33A8"/>
    <w:rsid w:val="732F6536"/>
    <w:rsid w:val="733025E8"/>
    <w:rsid w:val="73310FF5"/>
    <w:rsid w:val="733210C6"/>
    <w:rsid w:val="733278B4"/>
    <w:rsid w:val="73331EF0"/>
    <w:rsid w:val="7333505A"/>
    <w:rsid w:val="73372B4D"/>
    <w:rsid w:val="733A063C"/>
    <w:rsid w:val="733A06B3"/>
    <w:rsid w:val="733B08CD"/>
    <w:rsid w:val="733B47D1"/>
    <w:rsid w:val="733D04C9"/>
    <w:rsid w:val="733D0B73"/>
    <w:rsid w:val="733D0EC9"/>
    <w:rsid w:val="733D7714"/>
    <w:rsid w:val="733E0A28"/>
    <w:rsid w:val="733F4528"/>
    <w:rsid w:val="733F6699"/>
    <w:rsid w:val="734008AD"/>
    <w:rsid w:val="734038C7"/>
    <w:rsid w:val="73422368"/>
    <w:rsid w:val="73426189"/>
    <w:rsid w:val="73432BD9"/>
    <w:rsid w:val="734630D0"/>
    <w:rsid w:val="734712AB"/>
    <w:rsid w:val="734829E0"/>
    <w:rsid w:val="73485B9D"/>
    <w:rsid w:val="73492B25"/>
    <w:rsid w:val="734A5B0A"/>
    <w:rsid w:val="734A7009"/>
    <w:rsid w:val="734E051D"/>
    <w:rsid w:val="73502181"/>
    <w:rsid w:val="73504555"/>
    <w:rsid w:val="7350457E"/>
    <w:rsid w:val="735126B5"/>
    <w:rsid w:val="7352461E"/>
    <w:rsid w:val="73526138"/>
    <w:rsid w:val="735306C8"/>
    <w:rsid w:val="7353133B"/>
    <w:rsid w:val="73536CCB"/>
    <w:rsid w:val="735438DE"/>
    <w:rsid w:val="7354691F"/>
    <w:rsid w:val="735475BB"/>
    <w:rsid w:val="7355581F"/>
    <w:rsid w:val="73557A18"/>
    <w:rsid w:val="7358775B"/>
    <w:rsid w:val="735955DB"/>
    <w:rsid w:val="735A004C"/>
    <w:rsid w:val="735B764F"/>
    <w:rsid w:val="735C11EB"/>
    <w:rsid w:val="735C16DB"/>
    <w:rsid w:val="735C4EB5"/>
    <w:rsid w:val="735C7775"/>
    <w:rsid w:val="735D0D8C"/>
    <w:rsid w:val="735D5637"/>
    <w:rsid w:val="735E2DA9"/>
    <w:rsid w:val="735E7EF0"/>
    <w:rsid w:val="735F14A2"/>
    <w:rsid w:val="735F4F8D"/>
    <w:rsid w:val="735F53A4"/>
    <w:rsid w:val="735F78FE"/>
    <w:rsid w:val="73613830"/>
    <w:rsid w:val="7361387E"/>
    <w:rsid w:val="73632122"/>
    <w:rsid w:val="736342C7"/>
    <w:rsid w:val="736435E9"/>
    <w:rsid w:val="73644352"/>
    <w:rsid w:val="73657957"/>
    <w:rsid w:val="73670AD3"/>
    <w:rsid w:val="73683E42"/>
    <w:rsid w:val="736906ED"/>
    <w:rsid w:val="73697BBA"/>
    <w:rsid w:val="736A5C9B"/>
    <w:rsid w:val="736B6528"/>
    <w:rsid w:val="736C3B18"/>
    <w:rsid w:val="736D6419"/>
    <w:rsid w:val="736E6642"/>
    <w:rsid w:val="736F5DF4"/>
    <w:rsid w:val="73702CF6"/>
    <w:rsid w:val="7371623E"/>
    <w:rsid w:val="73740A39"/>
    <w:rsid w:val="73752B22"/>
    <w:rsid w:val="7375317A"/>
    <w:rsid w:val="7376359C"/>
    <w:rsid w:val="7376421D"/>
    <w:rsid w:val="7377123D"/>
    <w:rsid w:val="73780BB9"/>
    <w:rsid w:val="737A7D2F"/>
    <w:rsid w:val="737B4193"/>
    <w:rsid w:val="737C5880"/>
    <w:rsid w:val="737C6086"/>
    <w:rsid w:val="737E18B7"/>
    <w:rsid w:val="737E1EE7"/>
    <w:rsid w:val="737E34AD"/>
    <w:rsid w:val="737E5A45"/>
    <w:rsid w:val="737F2F3A"/>
    <w:rsid w:val="738002E7"/>
    <w:rsid w:val="73801B43"/>
    <w:rsid w:val="73802F36"/>
    <w:rsid w:val="73813156"/>
    <w:rsid w:val="73822393"/>
    <w:rsid w:val="7383455C"/>
    <w:rsid w:val="7384322E"/>
    <w:rsid w:val="73850212"/>
    <w:rsid w:val="738531BD"/>
    <w:rsid w:val="73854AC4"/>
    <w:rsid w:val="738739E5"/>
    <w:rsid w:val="73877F93"/>
    <w:rsid w:val="738B0ABC"/>
    <w:rsid w:val="738D2FEC"/>
    <w:rsid w:val="738D3B5A"/>
    <w:rsid w:val="73927111"/>
    <w:rsid w:val="7394143C"/>
    <w:rsid w:val="73941822"/>
    <w:rsid w:val="73952FB8"/>
    <w:rsid w:val="73955FE3"/>
    <w:rsid w:val="739A5FDE"/>
    <w:rsid w:val="739C7F8F"/>
    <w:rsid w:val="739F4AC7"/>
    <w:rsid w:val="73A218FC"/>
    <w:rsid w:val="73A302A8"/>
    <w:rsid w:val="73A37658"/>
    <w:rsid w:val="73A44A37"/>
    <w:rsid w:val="73A566DE"/>
    <w:rsid w:val="73A66718"/>
    <w:rsid w:val="73A74A77"/>
    <w:rsid w:val="73A76EC0"/>
    <w:rsid w:val="73A83F42"/>
    <w:rsid w:val="73A8460C"/>
    <w:rsid w:val="73A8575A"/>
    <w:rsid w:val="73A90CB7"/>
    <w:rsid w:val="73A92E61"/>
    <w:rsid w:val="73A9530B"/>
    <w:rsid w:val="73A9607F"/>
    <w:rsid w:val="73AB0341"/>
    <w:rsid w:val="73AB0629"/>
    <w:rsid w:val="73AB72E8"/>
    <w:rsid w:val="73AC1DF5"/>
    <w:rsid w:val="73AD3BD2"/>
    <w:rsid w:val="73AD3F4B"/>
    <w:rsid w:val="73AD563C"/>
    <w:rsid w:val="73B10D49"/>
    <w:rsid w:val="73B115BF"/>
    <w:rsid w:val="73B42554"/>
    <w:rsid w:val="73B649F5"/>
    <w:rsid w:val="73B928EF"/>
    <w:rsid w:val="73B92CBF"/>
    <w:rsid w:val="73BA5622"/>
    <w:rsid w:val="73BB0A2E"/>
    <w:rsid w:val="73BC5F3C"/>
    <w:rsid w:val="73C054F7"/>
    <w:rsid w:val="73C110BE"/>
    <w:rsid w:val="73C117A4"/>
    <w:rsid w:val="73C36C22"/>
    <w:rsid w:val="73C42332"/>
    <w:rsid w:val="73C4681D"/>
    <w:rsid w:val="73C603B6"/>
    <w:rsid w:val="73C731C8"/>
    <w:rsid w:val="73C82B32"/>
    <w:rsid w:val="73CB43D1"/>
    <w:rsid w:val="73CB67D8"/>
    <w:rsid w:val="73CD6C4F"/>
    <w:rsid w:val="73CF2113"/>
    <w:rsid w:val="73D019E7"/>
    <w:rsid w:val="73D17C39"/>
    <w:rsid w:val="73D2750D"/>
    <w:rsid w:val="73D27F73"/>
    <w:rsid w:val="73D430B2"/>
    <w:rsid w:val="73D47E32"/>
    <w:rsid w:val="73D57A5F"/>
    <w:rsid w:val="73D64502"/>
    <w:rsid w:val="73D6524F"/>
    <w:rsid w:val="73D663BB"/>
    <w:rsid w:val="73D75CB5"/>
    <w:rsid w:val="73D82886"/>
    <w:rsid w:val="73D9089C"/>
    <w:rsid w:val="73D94061"/>
    <w:rsid w:val="73DB0137"/>
    <w:rsid w:val="73DB6DF2"/>
    <w:rsid w:val="73DC0680"/>
    <w:rsid w:val="73DD7FA9"/>
    <w:rsid w:val="73E031CA"/>
    <w:rsid w:val="73E23CF3"/>
    <w:rsid w:val="73E26FB6"/>
    <w:rsid w:val="73E32E08"/>
    <w:rsid w:val="73E35C60"/>
    <w:rsid w:val="73E4479B"/>
    <w:rsid w:val="73E55492"/>
    <w:rsid w:val="73E72559"/>
    <w:rsid w:val="73E96D83"/>
    <w:rsid w:val="73EB05CF"/>
    <w:rsid w:val="73EB7799"/>
    <w:rsid w:val="73ED4C8A"/>
    <w:rsid w:val="73F22F99"/>
    <w:rsid w:val="73F37D32"/>
    <w:rsid w:val="73F47732"/>
    <w:rsid w:val="73F47941"/>
    <w:rsid w:val="73F512A3"/>
    <w:rsid w:val="73F5471F"/>
    <w:rsid w:val="73F60282"/>
    <w:rsid w:val="73F71F01"/>
    <w:rsid w:val="73F779E9"/>
    <w:rsid w:val="73FB619A"/>
    <w:rsid w:val="73FC458A"/>
    <w:rsid w:val="73FD34C1"/>
    <w:rsid w:val="73FE47A6"/>
    <w:rsid w:val="73FE4F2A"/>
    <w:rsid w:val="73FE71DF"/>
    <w:rsid w:val="73FE754F"/>
    <w:rsid w:val="74002029"/>
    <w:rsid w:val="7400792B"/>
    <w:rsid w:val="74011B05"/>
    <w:rsid w:val="74014883"/>
    <w:rsid w:val="74033B6B"/>
    <w:rsid w:val="74054191"/>
    <w:rsid w:val="74056147"/>
    <w:rsid w:val="740659B9"/>
    <w:rsid w:val="74074216"/>
    <w:rsid w:val="74077C61"/>
    <w:rsid w:val="74086F26"/>
    <w:rsid w:val="740873D3"/>
    <w:rsid w:val="74091326"/>
    <w:rsid w:val="74096810"/>
    <w:rsid w:val="740A4EF9"/>
    <w:rsid w:val="740D126C"/>
    <w:rsid w:val="740D2766"/>
    <w:rsid w:val="740F3A7E"/>
    <w:rsid w:val="741048D5"/>
    <w:rsid w:val="74110F69"/>
    <w:rsid w:val="74122000"/>
    <w:rsid w:val="741403F2"/>
    <w:rsid w:val="7414289F"/>
    <w:rsid w:val="741471D2"/>
    <w:rsid w:val="74156357"/>
    <w:rsid w:val="74175DFB"/>
    <w:rsid w:val="74176A0B"/>
    <w:rsid w:val="7418102D"/>
    <w:rsid w:val="7418258A"/>
    <w:rsid w:val="74192C1B"/>
    <w:rsid w:val="741A3CF2"/>
    <w:rsid w:val="741A79D0"/>
    <w:rsid w:val="741B0EB4"/>
    <w:rsid w:val="741E21C6"/>
    <w:rsid w:val="74221482"/>
    <w:rsid w:val="74227A4F"/>
    <w:rsid w:val="74244C1C"/>
    <w:rsid w:val="74292E19"/>
    <w:rsid w:val="74294EDD"/>
    <w:rsid w:val="742A559B"/>
    <w:rsid w:val="742C0A78"/>
    <w:rsid w:val="742D27FD"/>
    <w:rsid w:val="742D4E30"/>
    <w:rsid w:val="742E2236"/>
    <w:rsid w:val="742E508B"/>
    <w:rsid w:val="743045CD"/>
    <w:rsid w:val="74321F08"/>
    <w:rsid w:val="74322674"/>
    <w:rsid w:val="74327F35"/>
    <w:rsid w:val="7434641A"/>
    <w:rsid w:val="743508AF"/>
    <w:rsid w:val="74353333"/>
    <w:rsid w:val="74355BD7"/>
    <w:rsid w:val="743B3304"/>
    <w:rsid w:val="743B4721"/>
    <w:rsid w:val="743B796D"/>
    <w:rsid w:val="743C5BB1"/>
    <w:rsid w:val="743F6012"/>
    <w:rsid w:val="74400593"/>
    <w:rsid w:val="74400F64"/>
    <w:rsid w:val="744020F7"/>
    <w:rsid w:val="74406229"/>
    <w:rsid w:val="74406B6D"/>
    <w:rsid w:val="74407763"/>
    <w:rsid w:val="74414439"/>
    <w:rsid w:val="7442059D"/>
    <w:rsid w:val="74422274"/>
    <w:rsid w:val="74426811"/>
    <w:rsid w:val="7443040B"/>
    <w:rsid w:val="744321B9"/>
    <w:rsid w:val="7444611E"/>
    <w:rsid w:val="744523D5"/>
    <w:rsid w:val="74477916"/>
    <w:rsid w:val="744901B5"/>
    <w:rsid w:val="74495F6B"/>
    <w:rsid w:val="74495FD9"/>
    <w:rsid w:val="744A79EB"/>
    <w:rsid w:val="744B529F"/>
    <w:rsid w:val="744C113E"/>
    <w:rsid w:val="744F1C1A"/>
    <w:rsid w:val="74502CC3"/>
    <w:rsid w:val="74512EAC"/>
    <w:rsid w:val="7452084D"/>
    <w:rsid w:val="74524843"/>
    <w:rsid w:val="745251BD"/>
    <w:rsid w:val="74526B16"/>
    <w:rsid w:val="74547A54"/>
    <w:rsid w:val="74553D3C"/>
    <w:rsid w:val="7456354D"/>
    <w:rsid w:val="74565543"/>
    <w:rsid w:val="745778C5"/>
    <w:rsid w:val="74583EB6"/>
    <w:rsid w:val="745A29C6"/>
    <w:rsid w:val="745A2B8A"/>
    <w:rsid w:val="745D680F"/>
    <w:rsid w:val="745D70CD"/>
    <w:rsid w:val="745E5245"/>
    <w:rsid w:val="745E6AA2"/>
    <w:rsid w:val="745F5557"/>
    <w:rsid w:val="74604CCB"/>
    <w:rsid w:val="7462022B"/>
    <w:rsid w:val="74627647"/>
    <w:rsid w:val="746335F8"/>
    <w:rsid w:val="74675CE4"/>
    <w:rsid w:val="74696594"/>
    <w:rsid w:val="746A3800"/>
    <w:rsid w:val="746A5998"/>
    <w:rsid w:val="746E16F0"/>
    <w:rsid w:val="746E3897"/>
    <w:rsid w:val="74703AE9"/>
    <w:rsid w:val="747219A6"/>
    <w:rsid w:val="7474112B"/>
    <w:rsid w:val="74783E10"/>
    <w:rsid w:val="74784559"/>
    <w:rsid w:val="7478623D"/>
    <w:rsid w:val="747A11FA"/>
    <w:rsid w:val="747A2167"/>
    <w:rsid w:val="747A4F7F"/>
    <w:rsid w:val="747C4521"/>
    <w:rsid w:val="747D1765"/>
    <w:rsid w:val="747F7695"/>
    <w:rsid w:val="7480299F"/>
    <w:rsid w:val="7481774B"/>
    <w:rsid w:val="74824D73"/>
    <w:rsid w:val="74841B5B"/>
    <w:rsid w:val="74842EFD"/>
    <w:rsid w:val="74882131"/>
    <w:rsid w:val="748850B7"/>
    <w:rsid w:val="7488629F"/>
    <w:rsid w:val="748B60E6"/>
    <w:rsid w:val="748F53FE"/>
    <w:rsid w:val="7490294A"/>
    <w:rsid w:val="74903623"/>
    <w:rsid w:val="74911538"/>
    <w:rsid w:val="74921F16"/>
    <w:rsid w:val="749239F6"/>
    <w:rsid w:val="7494275B"/>
    <w:rsid w:val="74942A15"/>
    <w:rsid w:val="7496164A"/>
    <w:rsid w:val="74964724"/>
    <w:rsid w:val="74965E13"/>
    <w:rsid w:val="74975C19"/>
    <w:rsid w:val="74977F33"/>
    <w:rsid w:val="749842DE"/>
    <w:rsid w:val="74987D58"/>
    <w:rsid w:val="7499002B"/>
    <w:rsid w:val="74996569"/>
    <w:rsid w:val="749C3808"/>
    <w:rsid w:val="749C3F9F"/>
    <w:rsid w:val="749D28C5"/>
    <w:rsid w:val="749D4F31"/>
    <w:rsid w:val="749E3DBE"/>
    <w:rsid w:val="74A30DC0"/>
    <w:rsid w:val="74A46EFD"/>
    <w:rsid w:val="74A607F9"/>
    <w:rsid w:val="74A737DC"/>
    <w:rsid w:val="74A73BDF"/>
    <w:rsid w:val="74A80670"/>
    <w:rsid w:val="74A81B9D"/>
    <w:rsid w:val="74AA04C3"/>
    <w:rsid w:val="74AB3C22"/>
    <w:rsid w:val="74AB44B4"/>
    <w:rsid w:val="74AD6FAA"/>
    <w:rsid w:val="74AF5462"/>
    <w:rsid w:val="74B12817"/>
    <w:rsid w:val="74B17A6A"/>
    <w:rsid w:val="74B44F23"/>
    <w:rsid w:val="74B47A16"/>
    <w:rsid w:val="74B55DA6"/>
    <w:rsid w:val="74B636D9"/>
    <w:rsid w:val="74B85EE0"/>
    <w:rsid w:val="74B9632B"/>
    <w:rsid w:val="74BD593D"/>
    <w:rsid w:val="74BD691C"/>
    <w:rsid w:val="74BE4029"/>
    <w:rsid w:val="74BE4085"/>
    <w:rsid w:val="74BE62FD"/>
    <w:rsid w:val="74C00D6D"/>
    <w:rsid w:val="74C344BB"/>
    <w:rsid w:val="74C34A5E"/>
    <w:rsid w:val="74C7238F"/>
    <w:rsid w:val="74C77E6F"/>
    <w:rsid w:val="74C8289C"/>
    <w:rsid w:val="74C85D66"/>
    <w:rsid w:val="74CA6191"/>
    <w:rsid w:val="74CA6683"/>
    <w:rsid w:val="74CB05FA"/>
    <w:rsid w:val="74CC2F88"/>
    <w:rsid w:val="74CC793F"/>
    <w:rsid w:val="74CD28EC"/>
    <w:rsid w:val="74CE39B0"/>
    <w:rsid w:val="74CE3E3B"/>
    <w:rsid w:val="74CF1DC9"/>
    <w:rsid w:val="74D07EF1"/>
    <w:rsid w:val="74D11287"/>
    <w:rsid w:val="74D15A17"/>
    <w:rsid w:val="74D21961"/>
    <w:rsid w:val="74D31514"/>
    <w:rsid w:val="74D32E9B"/>
    <w:rsid w:val="74D41734"/>
    <w:rsid w:val="74D448E6"/>
    <w:rsid w:val="74D514A1"/>
    <w:rsid w:val="74D51566"/>
    <w:rsid w:val="74D53759"/>
    <w:rsid w:val="74D55507"/>
    <w:rsid w:val="74D6127F"/>
    <w:rsid w:val="74D65729"/>
    <w:rsid w:val="74D81140"/>
    <w:rsid w:val="74D84FF7"/>
    <w:rsid w:val="74D8656F"/>
    <w:rsid w:val="74D93880"/>
    <w:rsid w:val="74DA2029"/>
    <w:rsid w:val="74DA28B2"/>
    <w:rsid w:val="74DA48CB"/>
    <w:rsid w:val="74DA65B7"/>
    <w:rsid w:val="74DA7E59"/>
    <w:rsid w:val="74DB6895"/>
    <w:rsid w:val="74DC264B"/>
    <w:rsid w:val="74DC6719"/>
    <w:rsid w:val="74DF156F"/>
    <w:rsid w:val="74E077D3"/>
    <w:rsid w:val="74E13391"/>
    <w:rsid w:val="74E249F9"/>
    <w:rsid w:val="74E36C10"/>
    <w:rsid w:val="74E433B9"/>
    <w:rsid w:val="74E43647"/>
    <w:rsid w:val="74E455AC"/>
    <w:rsid w:val="74E532A7"/>
    <w:rsid w:val="74E61367"/>
    <w:rsid w:val="74E67714"/>
    <w:rsid w:val="74E67E6E"/>
    <w:rsid w:val="74E724EC"/>
    <w:rsid w:val="74E7348C"/>
    <w:rsid w:val="74E77C8D"/>
    <w:rsid w:val="74E90FB2"/>
    <w:rsid w:val="74E97B1B"/>
    <w:rsid w:val="74EB0DC4"/>
    <w:rsid w:val="74EB4F26"/>
    <w:rsid w:val="74ED4B03"/>
    <w:rsid w:val="74EF6A1B"/>
    <w:rsid w:val="74F12217"/>
    <w:rsid w:val="74F50A40"/>
    <w:rsid w:val="74F577FD"/>
    <w:rsid w:val="74F630CA"/>
    <w:rsid w:val="74F6547D"/>
    <w:rsid w:val="74F87553"/>
    <w:rsid w:val="74F9029F"/>
    <w:rsid w:val="74FA32EF"/>
    <w:rsid w:val="74FA4F6E"/>
    <w:rsid w:val="74FA6D1C"/>
    <w:rsid w:val="74FB3A2C"/>
    <w:rsid w:val="74FD43A0"/>
    <w:rsid w:val="74FE2171"/>
    <w:rsid w:val="74FE366A"/>
    <w:rsid w:val="74FF1335"/>
    <w:rsid w:val="74FF707E"/>
    <w:rsid w:val="7501454E"/>
    <w:rsid w:val="75024EA8"/>
    <w:rsid w:val="75043D96"/>
    <w:rsid w:val="75053244"/>
    <w:rsid w:val="75055A94"/>
    <w:rsid w:val="750754C8"/>
    <w:rsid w:val="75093E1C"/>
    <w:rsid w:val="750A3374"/>
    <w:rsid w:val="750B717B"/>
    <w:rsid w:val="750C2037"/>
    <w:rsid w:val="750D049B"/>
    <w:rsid w:val="750D69D3"/>
    <w:rsid w:val="750E0114"/>
    <w:rsid w:val="750E09C7"/>
    <w:rsid w:val="750E0A19"/>
    <w:rsid w:val="750E12AE"/>
    <w:rsid w:val="751029E3"/>
    <w:rsid w:val="75102F42"/>
    <w:rsid w:val="75107E38"/>
    <w:rsid w:val="75125269"/>
    <w:rsid w:val="75137517"/>
    <w:rsid w:val="751410F4"/>
    <w:rsid w:val="75151DA7"/>
    <w:rsid w:val="75154854"/>
    <w:rsid w:val="751575D7"/>
    <w:rsid w:val="751866B6"/>
    <w:rsid w:val="75197346"/>
    <w:rsid w:val="75197FA4"/>
    <w:rsid w:val="751A116C"/>
    <w:rsid w:val="751D2D22"/>
    <w:rsid w:val="751E4096"/>
    <w:rsid w:val="75200FC0"/>
    <w:rsid w:val="75224C45"/>
    <w:rsid w:val="75227685"/>
    <w:rsid w:val="7523686B"/>
    <w:rsid w:val="7524023C"/>
    <w:rsid w:val="75241FEA"/>
    <w:rsid w:val="75251B40"/>
    <w:rsid w:val="75267B11"/>
    <w:rsid w:val="752A3892"/>
    <w:rsid w:val="752A55EB"/>
    <w:rsid w:val="752A67A0"/>
    <w:rsid w:val="752C1712"/>
    <w:rsid w:val="752D77E0"/>
    <w:rsid w:val="752E5936"/>
    <w:rsid w:val="752E6832"/>
    <w:rsid w:val="752E71DF"/>
    <w:rsid w:val="752F0F75"/>
    <w:rsid w:val="752F1A02"/>
    <w:rsid w:val="752F33C9"/>
    <w:rsid w:val="752F4542"/>
    <w:rsid w:val="752F7C03"/>
    <w:rsid w:val="75303406"/>
    <w:rsid w:val="75322452"/>
    <w:rsid w:val="753326F4"/>
    <w:rsid w:val="753410D5"/>
    <w:rsid w:val="75355411"/>
    <w:rsid w:val="75367885"/>
    <w:rsid w:val="75377A9A"/>
    <w:rsid w:val="75396AE8"/>
    <w:rsid w:val="753B77D4"/>
    <w:rsid w:val="753D190E"/>
    <w:rsid w:val="753D1AF7"/>
    <w:rsid w:val="753F0BD2"/>
    <w:rsid w:val="75401397"/>
    <w:rsid w:val="75407BAE"/>
    <w:rsid w:val="7543585D"/>
    <w:rsid w:val="75443E0D"/>
    <w:rsid w:val="75455513"/>
    <w:rsid w:val="754601B3"/>
    <w:rsid w:val="754602FA"/>
    <w:rsid w:val="75463703"/>
    <w:rsid w:val="75476CAA"/>
    <w:rsid w:val="754937FF"/>
    <w:rsid w:val="754A5259"/>
    <w:rsid w:val="754B00E5"/>
    <w:rsid w:val="754B04A9"/>
    <w:rsid w:val="754B7943"/>
    <w:rsid w:val="754C067C"/>
    <w:rsid w:val="754C6204"/>
    <w:rsid w:val="754C64E6"/>
    <w:rsid w:val="754D1816"/>
    <w:rsid w:val="754E52B9"/>
    <w:rsid w:val="754F2B63"/>
    <w:rsid w:val="75501031"/>
    <w:rsid w:val="7550156E"/>
    <w:rsid w:val="75502DDF"/>
    <w:rsid w:val="7551227F"/>
    <w:rsid w:val="75530B22"/>
    <w:rsid w:val="7554009A"/>
    <w:rsid w:val="755651FF"/>
    <w:rsid w:val="75574453"/>
    <w:rsid w:val="755A1884"/>
    <w:rsid w:val="755D6BFE"/>
    <w:rsid w:val="755E2DF2"/>
    <w:rsid w:val="755E341E"/>
    <w:rsid w:val="755E4E3F"/>
    <w:rsid w:val="755E78D7"/>
    <w:rsid w:val="755F1275"/>
    <w:rsid w:val="7560440F"/>
    <w:rsid w:val="756059AC"/>
    <w:rsid w:val="756061FD"/>
    <w:rsid w:val="75614591"/>
    <w:rsid w:val="75626173"/>
    <w:rsid w:val="7563732B"/>
    <w:rsid w:val="75644ADD"/>
    <w:rsid w:val="756613B3"/>
    <w:rsid w:val="75681D19"/>
    <w:rsid w:val="75695C4F"/>
    <w:rsid w:val="756A4739"/>
    <w:rsid w:val="756D5002"/>
    <w:rsid w:val="756F25AA"/>
    <w:rsid w:val="756F387C"/>
    <w:rsid w:val="756F5694"/>
    <w:rsid w:val="75705230"/>
    <w:rsid w:val="75731460"/>
    <w:rsid w:val="75740EEC"/>
    <w:rsid w:val="757545F4"/>
    <w:rsid w:val="75763F65"/>
    <w:rsid w:val="75774E55"/>
    <w:rsid w:val="757773F4"/>
    <w:rsid w:val="757A1C03"/>
    <w:rsid w:val="757C3BD5"/>
    <w:rsid w:val="757C43E3"/>
    <w:rsid w:val="757D1115"/>
    <w:rsid w:val="757E257A"/>
    <w:rsid w:val="757F51EA"/>
    <w:rsid w:val="758222D9"/>
    <w:rsid w:val="758229C0"/>
    <w:rsid w:val="75825A2F"/>
    <w:rsid w:val="75852A82"/>
    <w:rsid w:val="758658E8"/>
    <w:rsid w:val="7588333E"/>
    <w:rsid w:val="758841E1"/>
    <w:rsid w:val="75897CC2"/>
    <w:rsid w:val="758A1640"/>
    <w:rsid w:val="758A5382"/>
    <w:rsid w:val="758B68E5"/>
    <w:rsid w:val="758B6E7C"/>
    <w:rsid w:val="758C6643"/>
    <w:rsid w:val="7590179A"/>
    <w:rsid w:val="7593175D"/>
    <w:rsid w:val="759608B9"/>
    <w:rsid w:val="75965F9E"/>
    <w:rsid w:val="75976EEA"/>
    <w:rsid w:val="75986535"/>
    <w:rsid w:val="759929D8"/>
    <w:rsid w:val="75995F02"/>
    <w:rsid w:val="759B3BA2"/>
    <w:rsid w:val="759B75AD"/>
    <w:rsid w:val="759C6B9B"/>
    <w:rsid w:val="759D2548"/>
    <w:rsid w:val="759D73B2"/>
    <w:rsid w:val="759E1D9D"/>
    <w:rsid w:val="759F4A64"/>
    <w:rsid w:val="759F4E49"/>
    <w:rsid w:val="759F5AE6"/>
    <w:rsid w:val="759F61FA"/>
    <w:rsid w:val="75A1363B"/>
    <w:rsid w:val="75A30D55"/>
    <w:rsid w:val="75A4572F"/>
    <w:rsid w:val="75A53923"/>
    <w:rsid w:val="75A55E37"/>
    <w:rsid w:val="75A65578"/>
    <w:rsid w:val="75A73505"/>
    <w:rsid w:val="75A84894"/>
    <w:rsid w:val="75AA3311"/>
    <w:rsid w:val="75AA3A7C"/>
    <w:rsid w:val="75AB0B00"/>
    <w:rsid w:val="75AB309B"/>
    <w:rsid w:val="75AB3F56"/>
    <w:rsid w:val="75AB6268"/>
    <w:rsid w:val="75AD3A57"/>
    <w:rsid w:val="75AF7C49"/>
    <w:rsid w:val="75B04ED0"/>
    <w:rsid w:val="75B06567"/>
    <w:rsid w:val="75B23F7E"/>
    <w:rsid w:val="75B27E4D"/>
    <w:rsid w:val="75B333EB"/>
    <w:rsid w:val="75B33426"/>
    <w:rsid w:val="75B34176"/>
    <w:rsid w:val="75B408E2"/>
    <w:rsid w:val="75B551B1"/>
    <w:rsid w:val="75B55338"/>
    <w:rsid w:val="75B62796"/>
    <w:rsid w:val="75B650A4"/>
    <w:rsid w:val="75B74C0D"/>
    <w:rsid w:val="75BA45A0"/>
    <w:rsid w:val="75BA7893"/>
    <w:rsid w:val="75BB65A0"/>
    <w:rsid w:val="75BC3E39"/>
    <w:rsid w:val="75BF3AC1"/>
    <w:rsid w:val="75BF6E49"/>
    <w:rsid w:val="75C06DDC"/>
    <w:rsid w:val="75C151B4"/>
    <w:rsid w:val="75C23793"/>
    <w:rsid w:val="75C23E9A"/>
    <w:rsid w:val="75C31848"/>
    <w:rsid w:val="75C458AB"/>
    <w:rsid w:val="75C4732A"/>
    <w:rsid w:val="75C779C2"/>
    <w:rsid w:val="75C97D26"/>
    <w:rsid w:val="75CB4B5C"/>
    <w:rsid w:val="75CE53CF"/>
    <w:rsid w:val="75CE6EA2"/>
    <w:rsid w:val="75D00183"/>
    <w:rsid w:val="75D154CB"/>
    <w:rsid w:val="75D21A46"/>
    <w:rsid w:val="75D25EEA"/>
    <w:rsid w:val="75D27948"/>
    <w:rsid w:val="75D31135"/>
    <w:rsid w:val="75D34F81"/>
    <w:rsid w:val="75D354CF"/>
    <w:rsid w:val="75D35572"/>
    <w:rsid w:val="75D46C05"/>
    <w:rsid w:val="75D85CD4"/>
    <w:rsid w:val="75D90C0B"/>
    <w:rsid w:val="75D920D7"/>
    <w:rsid w:val="75D92721"/>
    <w:rsid w:val="75D947A4"/>
    <w:rsid w:val="75DA1174"/>
    <w:rsid w:val="75DA7588"/>
    <w:rsid w:val="75DC4D0C"/>
    <w:rsid w:val="75DC644B"/>
    <w:rsid w:val="75DD10A9"/>
    <w:rsid w:val="75DD755E"/>
    <w:rsid w:val="75DD76E0"/>
    <w:rsid w:val="75E041A6"/>
    <w:rsid w:val="75E05839"/>
    <w:rsid w:val="75E15FAD"/>
    <w:rsid w:val="75E218D9"/>
    <w:rsid w:val="75E226F2"/>
    <w:rsid w:val="75E25E85"/>
    <w:rsid w:val="75E45A18"/>
    <w:rsid w:val="75E54E82"/>
    <w:rsid w:val="75E63744"/>
    <w:rsid w:val="75E76EC5"/>
    <w:rsid w:val="75E84ED4"/>
    <w:rsid w:val="75EA3F71"/>
    <w:rsid w:val="75EA4FE2"/>
    <w:rsid w:val="75EC1B28"/>
    <w:rsid w:val="75EF08D3"/>
    <w:rsid w:val="75F20021"/>
    <w:rsid w:val="75F54575"/>
    <w:rsid w:val="75F71CA5"/>
    <w:rsid w:val="75F72804"/>
    <w:rsid w:val="75FA6B1C"/>
    <w:rsid w:val="75FC610F"/>
    <w:rsid w:val="75FC656A"/>
    <w:rsid w:val="75FD1C8A"/>
    <w:rsid w:val="75FE1442"/>
    <w:rsid w:val="75FE6341"/>
    <w:rsid w:val="760144D9"/>
    <w:rsid w:val="76022B63"/>
    <w:rsid w:val="76041EF5"/>
    <w:rsid w:val="76045978"/>
    <w:rsid w:val="76047738"/>
    <w:rsid w:val="76047BEA"/>
    <w:rsid w:val="76050235"/>
    <w:rsid w:val="76063E79"/>
    <w:rsid w:val="7606575C"/>
    <w:rsid w:val="7608190C"/>
    <w:rsid w:val="76086F57"/>
    <w:rsid w:val="760909E7"/>
    <w:rsid w:val="760C2E49"/>
    <w:rsid w:val="760D1388"/>
    <w:rsid w:val="760D34E9"/>
    <w:rsid w:val="760D67DB"/>
    <w:rsid w:val="760E4430"/>
    <w:rsid w:val="760E5962"/>
    <w:rsid w:val="76116A13"/>
    <w:rsid w:val="76120095"/>
    <w:rsid w:val="761337BF"/>
    <w:rsid w:val="76135777"/>
    <w:rsid w:val="761363E0"/>
    <w:rsid w:val="7615543B"/>
    <w:rsid w:val="76186BE7"/>
    <w:rsid w:val="7619471D"/>
    <w:rsid w:val="761A7523"/>
    <w:rsid w:val="761D220B"/>
    <w:rsid w:val="762070B4"/>
    <w:rsid w:val="76210C76"/>
    <w:rsid w:val="762436BA"/>
    <w:rsid w:val="762514A8"/>
    <w:rsid w:val="762539DE"/>
    <w:rsid w:val="7627010D"/>
    <w:rsid w:val="762B56FC"/>
    <w:rsid w:val="762E70EA"/>
    <w:rsid w:val="762F092F"/>
    <w:rsid w:val="762F1F3E"/>
    <w:rsid w:val="762F36DA"/>
    <w:rsid w:val="762F6697"/>
    <w:rsid w:val="762F681C"/>
    <w:rsid w:val="76300258"/>
    <w:rsid w:val="76300364"/>
    <w:rsid w:val="763028C2"/>
    <w:rsid w:val="763079CC"/>
    <w:rsid w:val="7632274C"/>
    <w:rsid w:val="76337804"/>
    <w:rsid w:val="763520B7"/>
    <w:rsid w:val="763612C0"/>
    <w:rsid w:val="76372923"/>
    <w:rsid w:val="76387CC2"/>
    <w:rsid w:val="76392857"/>
    <w:rsid w:val="763C0073"/>
    <w:rsid w:val="763C0A95"/>
    <w:rsid w:val="763C39DF"/>
    <w:rsid w:val="763D282D"/>
    <w:rsid w:val="763D58B3"/>
    <w:rsid w:val="763D720A"/>
    <w:rsid w:val="763E2880"/>
    <w:rsid w:val="763E310C"/>
    <w:rsid w:val="763E70DC"/>
    <w:rsid w:val="763F1CB0"/>
    <w:rsid w:val="763F2868"/>
    <w:rsid w:val="763F7D3F"/>
    <w:rsid w:val="764001A5"/>
    <w:rsid w:val="76403637"/>
    <w:rsid w:val="76404CE1"/>
    <w:rsid w:val="7641772F"/>
    <w:rsid w:val="76417BE2"/>
    <w:rsid w:val="764222BD"/>
    <w:rsid w:val="764535CC"/>
    <w:rsid w:val="76464DAE"/>
    <w:rsid w:val="76467288"/>
    <w:rsid w:val="76480798"/>
    <w:rsid w:val="764C17F9"/>
    <w:rsid w:val="764C2334"/>
    <w:rsid w:val="764D3566"/>
    <w:rsid w:val="764E5460"/>
    <w:rsid w:val="764F075C"/>
    <w:rsid w:val="764F3ACF"/>
    <w:rsid w:val="7651397D"/>
    <w:rsid w:val="76533A5A"/>
    <w:rsid w:val="765344D8"/>
    <w:rsid w:val="765406AD"/>
    <w:rsid w:val="76545347"/>
    <w:rsid w:val="765465A4"/>
    <w:rsid w:val="76553877"/>
    <w:rsid w:val="765576FB"/>
    <w:rsid w:val="7656239E"/>
    <w:rsid w:val="76570369"/>
    <w:rsid w:val="76590A64"/>
    <w:rsid w:val="76592141"/>
    <w:rsid w:val="76595CC4"/>
    <w:rsid w:val="765B3F2D"/>
    <w:rsid w:val="765C19E6"/>
    <w:rsid w:val="765C566B"/>
    <w:rsid w:val="765C588D"/>
    <w:rsid w:val="765C7ADA"/>
    <w:rsid w:val="765D0E00"/>
    <w:rsid w:val="765E409F"/>
    <w:rsid w:val="76601656"/>
    <w:rsid w:val="76612211"/>
    <w:rsid w:val="76626CD9"/>
    <w:rsid w:val="766318AD"/>
    <w:rsid w:val="76632DBF"/>
    <w:rsid w:val="76633E4A"/>
    <w:rsid w:val="76636B42"/>
    <w:rsid w:val="76647C2E"/>
    <w:rsid w:val="76661A92"/>
    <w:rsid w:val="7666529B"/>
    <w:rsid w:val="766703E1"/>
    <w:rsid w:val="766739CD"/>
    <w:rsid w:val="76681311"/>
    <w:rsid w:val="766814EC"/>
    <w:rsid w:val="76684865"/>
    <w:rsid w:val="766A1CAC"/>
    <w:rsid w:val="766A524E"/>
    <w:rsid w:val="766B0673"/>
    <w:rsid w:val="766C1E28"/>
    <w:rsid w:val="766C4B3F"/>
    <w:rsid w:val="766C541A"/>
    <w:rsid w:val="76702D1D"/>
    <w:rsid w:val="7672100D"/>
    <w:rsid w:val="76740B28"/>
    <w:rsid w:val="76742AFE"/>
    <w:rsid w:val="76745CF0"/>
    <w:rsid w:val="7675718E"/>
    <w:rsid w:val="76763B75"/>
    <w:rsid w:val="76776690"/>
    <w:rsid w:val="7678122F"/>
    <w:rsid w:val="76790114"/>
    <w:rsid w:val="767A154B"/>
    <w:rsid w:val="767C2FFE"/>
    <w:rsid w:val="767D4C6F"/>
    <w:rsid w:val="767D57E3"/>
    <w:rsid w:val="76801439"/>
    <w:rsid w:val="76803089"/>
    <w:rsid w:val="76812417"/>
    <w:rsid w:val="76843A70"/>
    <w:rsid w:val="76852C06"/>
    <w:rsid w:val="768537A4"/>
    <w:rsid w:val="76875EB1"/>
    <w:rsid w:val="76876CD5"/>
    <w:rsid w:val="768865A9"/>
    <w:rsid w:val="76895FB5"/>
    <w:rsid w:val="768C2472"/>
    <w:rsid w:val="768F489D"/>
    <w:rsid w:val="768F7938"/>
    <w:rsid w:val="76904686"/>
    <w:rsid w:val="7690687D"/>
    <w:rsid w:val="76914FD7"/>
    <w:rsid w:val="76940E00"/>
    <w:rsid w:val="76941CCF"/>
    <w:rsid w:val="76947896"/>
    <w:rsid w:val="76951AE7"/>
    <w:rsid w:val="76954AA4"/>
    <w:rsid w:val="76956FDE"/>
    <w:rsid w:val="76967E32"/>
    <w:rsid w:val="76970FFD"/>
    <w:rsid w:val="769A2A87"/>
    <w:rsid w:val="769A2AE8"/>
    <w:rsid w:val="769A7158"/>
    <w:rsid w:val="769B452E"/>
    <w:rsid w:val="769C185B"/>
    <w:rsid w:val="769D1FCC"/>
    <w:rsid w:val="769E1342"/>
    <w:rsid w:val="769E55DA"/>
    <w:rsid w:val="769E7B7B"/>
    <w:rsid w:val="76A022DC"/>
    <w:rsid w:val="76A115B9"/>
    <w:rsid w:val="76A2164F"/>
    <w:rsid w:val="76A25E8A"/>
    <w:rsid w:val="76A54EC9"/>
    <w:rsid w:val="76A54FA8"/>
    <w:rsid w:val="76A70733"/>
    <w:rsid w:val="76A72ED3"/>
    <w:rsid w:val="76A90156"/>
    <w:rsid w:val="76A95A38"/>
    <w:rsid w:val="76AA5525"/>
    <w:rsid w:val="76AD76ED"/>
    <w:rsid w:val="76AE5A0C"/>
    <w:rsid w:val="76AF4811"/>
    <w:rsid w:val="76B20CDC"/>
    <w:rsid w:val="76B32AB2"/>
    <w:rsid w:val="76B37C4D"/>
    <w:rsid w:val="76B455F0"/>
    <w:rsid w:val="76B61368"/>
    <w:rsid w:val="76B63F2A"/>
    <w:rsid w:val="76B6461C"/>
    <w:rsid w:val="76B8141B"/>
    <w:rsid w:val="76B96ECA"/>
    <w:rsid w:val="76BA3975"/>
    <w:rsid w:val="76C06B0A"/>
    <w:rsid w:val="76C06B84"/>
    <w:rsid w:val="76C17AC3"/>
    <w:rsid w:val="76C21ABB"/>
    <w:rsid w:val="76C23C20"/>
    <w:rsid w:val="76C3558F"/>
    <w:rsid w:val="76C45833"/>
    <w:rsid w:val="76C50CB5"/>
    <w:rsid w:val="76C513E9"/>
    <w:rsid w:val="76C5258F"/>
    <w:rsid w:val="76C73713"/>
    <w:rsid w:val="76C82A13"/>
    <w:rsid w:val="76C9109B"/>
    <w:rsid w:val="76CB2DAE"/>
    <w:rsid w:val="76CC293A"/>
    <w:rsid w:val="76CD32A7"/>
    <w:rsid w:val="76CE66B2"/>
    <w:rsid w:val="76CF41D8"/>
    <w:rsid w:val="76D05F52"/>
    <w:rsid w:val="76D07C0C"/>
    <w:rsid w:val="76D31FD5"/>
    <w:rsid w:val="76D471FA"/>
    <w:rsid w:val="76D61837"/>
    <w:rsid w:val="76D72DA5"/>
    <w:rsid w:val="76D812DE"/>
    <w:rsid w:val="76DA096B"/>
    <w:rsid w:val="76DA52BB"/>
    <w:rsid w:val="76DA59FC"/>
    <w:rsid w:val="76DB1D46"/>
    <w:rsid w:val="76DB42D9"/>
    <w:rsid w:val="76DB7275"/>
    <w:rsid w:val="76DC2F1F"/>
    <w:rsid w:val="76DC48A8"/>
    <w:rsid w:val="76DD3857"/>
    <w:rsid w:val="76DD62DB"/>
    <w:rsid w:val="76DE0594"/>
    <w:rsid w:val="76DE4877"/>
    <w:rsid w:val="76E00193"/>
    <w:rsid w:val="76E00FFC"/>
    <w:rsid w:val="76E06E8B"/>
    <w:rsid w:val="76E175FF"/>
    <w:rsid w:val="76E445E1"/>
    <w:rsid w:val="76E47C83"/>
    <w:rsid w:val="76E51514"/>
    <w:rsid w:val="76E54E7F"/>
    <w:rsid w:val="76E71B10"/>
    <w:rsid w:val="76E8514C"/>
    <w:rsid w:val="76E86E45"/>
    <w:rsid w:val="76E9087B"/>
    <w:rsid w:val="76E9198A"/>
    <w:rsid w:val="76E91D4B"/>
    <w:rsid w:val="76EA1012"/>
    <w:rsid w:val="76EA11A0"/>
    <w:rsid w:val="76EA71A2"/>
    <w:rsid w:val="76EA7A0B"/>
    <w:rsid w:val="76EC0AA9"/>
    <w:rsid w:val="76ED78FA"/>
    <w:rsid w:val="76EE48AF"/>
    <w:rsid w:val="76EE66F5"/>
    <w:rsid w:val="76EF27A5"/>
    <w:rsid w:val="76EF6628"/>
    <w:rsid w:val="76F01BD6"/>
    <w:rsid w:val="76F05572"/>
    <w:rsid w:val="76F209B7"/>
    <w:rsid w:val="76F40C6F"/>
    <w:rsid w:val="76F45266"/>
    <w:rsid w:val="76F46CAE"/>
    <w:rsid w:val="76F477A3"/>
    <w:rsid w:val="76F53C3E"/>
    <w:rsid w:val="76F605C0"/>
    <w:rsid w:val="76F64F02"/>
    <w:rsid w:val="76F678A4"/>
    <w:rsid w:val="76F70396"/>
    <w:rsid w:val="76F87F1C"/>
    <w:rsid w:val="76FA655C"/>
    <w:rsid w:val="76FB4FCD"/>
    <w:rsid w:val="76FC482F"/>
    <w:rsid w:val="76FD1851"/>
    <w:rsid w:val="76FE06CC"/>
    <w:rsid w:val="76FE2DB8"/>
    <w:rsid w:val="76FF7D16"/>
    <w:rsid w:val="77022DD9"/>
    <w:rsid w:val="7702396F"/>
    <w:rsid w:val="77036EC9"/>
    <w:rsid w:val="7705270B"/>
    <w:rsid w:val="77055B4F"/>
    <w:rsid w:val="77055CC1"/>
    <w:rsid w:val="77057BFA"/>
    <w:rsid w:val="77060D1D"/>
    <w:rsid w:val="77070035"/>
    <w:rsid w:val="770801B0"/>
    <w:rsid w:val="770A3500"/>
    <w:rsid w:val="770A52F2"/>
    <w:rsid w:val="770A59BD"/>
    <w:rsid w:val="770B6281"/>
    <w:rsid w:val="77104126"/>
    <w:rsid w:val="77105CBD"/>
    <w:rsid w:val="77112567"/>
    <w:rsid w:val="7711464C"/>
    <w:rsid w:val="77115B46"/>
    <w:rsid w:val="77137856"/>
    <w:rsid w:val="77143A5D"/>
    <w:rsid w:val="77144843"/>
    <w:rsid w:val="77146B3C"/>
    <w:rsid w:val="77147C05"/>
    <w:rsid w:val="77161B70"/>
    <w:rsid w:val="771655A2"/>
    <w:rsid w:val="771709C0"/>
    <w:rsid w:val="77191A61"/>
    <w:rsid w:val="77193BD0"/>
    <w:rsid w:val="77195E09"/>
    <w:rsid w:val="7719675C"/>
    <w:rsid w:val="771A36A5"/>
    <w:rsid w:val="771A42A0"/>
    <w:rsid w:val="771B0CBB"/>
    <w:rsid w:val="771B741D"/>
    <w:rsid w:val="771D2248"/>
    <w:rsid w:val="771D46CF"/>
    <w:rsid w:val="771E4054"/>
    <w:rsid w:val="771F0CBB"/>
    <w:rsid w:val="771F2FA1"/>
    <w:rsid w:val="77200320"/>
    <w:rsid w:val="772247B6"/>
    <w:rsid w:val="772267CF"/>
    <w:rsid w:val="77240332"/>
    <w:rsid w:val="77243FAA"/>
    <w:rsid w:val="77247665"/>
    <w:rsid w:val="77247B8D"/>
    <w:rsid w:val="772508D9"/>
    <w:rsid w:val="7725204A"/>
    <w:rsid w:val="77256C88"/>
    <w:rsid w:val="77281F25"/>
    <w:rsid w:val="772A1342"/>
    <w:rsid w:val="772D3A42"/>
    <w:rsid w:val="772D67BB"/>
    <w:rsid w:val="772D7F4A"/>
    <w:rsid w:val="772E7432"/>
    <w:rsid w:val="772E7A2D"/>
    <w:rsid w:val="77301DE1"/>
    <w:rsid w:val="773055AF"/>
    <w:rsid w:val="77316C41"/>
    <w:rsid w:val="7731771C"/>
    <w:rsid w:val="773177A6"/>
    <w:rsid w:val="773272BD"/>
    <w:rsid w:val="7732743B"/>
    <w:rsid w:val="77335AD5"/>
    <w:rsid w:val="7734127F"/>
    <w:rsid w:val="773419D0"/>
    <w:rsid w:val="77361B13"/>
    <w:rsid w:val="77361F6B"/>
    <w:rsid w:val="773721C1"/>
    <w:rsid w:val="77376AD2"/>
    <w:rsid w:val="77381D7D"/>
    <w:rsid w:val="7738597A"/>
    <w:rsid w:val="77387FA1"/>
    <w:rsid w:val="773921DD"/>
    <w:rsid w:val="773C0961"/>
    <w:rsid w:val="773C15B8"/>
    <w:rsid w:val="773C1DDE"/>
    <w:rsid w:val="773C1FA3"/>
    <w:rsid w:val="773D3837"/>
    <w:rsid w:val="773D55E5"/>
    <w:rsid w:val="773D7394"/>
    <w:rsid w:val="773E522B"/>
    <w:rsid w:val="774225B5"/>
    <w:rsid w:val="77422BFC"/>
    <w:rsid w:val="774261D2"/>
    <w:rsid w:val="7743318D"/>
    <w:rsid w:val="77441C76"/>
    <w:rsid w:val="77443401"/>
    <w:rsid w:val="77447586"/>
    <w:rsid w:val="77452DDC"/>
    <w:rsid w:val="77456AE1"/>
    <w:rsid w:val="774626EC"/>
    <w:rsid w:val="77471D83"/>
    <w:rsid w:val="77484929"/>
    <w:rsid w:val="77485E1F"/>
    <w:rsid w:val="77493648"/>
    <w:rsid w:val="774A06C7"/>
    <w:rsid w:val="774A444E"/>
    <w:rsid w:val="774B103F"/>
    <w:rsid w:val="774D2AFE"/>
    <w:rsid w:val="774D3A7A"/>
    <w:rsid w:val="774D6358"/>
    <w:rsid w:val="774F1074"/>
    <w:rsid w:val="775036B2"/>
    <w:rsid w:val="775070C7"/>
    <w:rsid w:val="77515B8D"/>
    <w:rsid w:val="775235D5"/>
    <w:rsid w:val="77543691"/>
    <w:rsid w:val="77556CEB"/>
    <w:rsid w:val="77587B51"/>
    <w:rsid w:val="775922B7"/>
    <w:rsid w:val="775A63BC"/>
    <w:rsid w:val="775B4610"/>
    <w:rsid w:val="775B663C"/>
    <w:rsid w:val="775B73CD"/>
    <w:rsid w:val="775B77D9"/>
    <w:rsid w:val="775C3CBE"/>
    <w:rsid w:val="775E5AB1"/>
    <w:rsid w:val="775E5EF3"/>
    <w:rsid w:val="775F4F20"/>
    <w:rsid w:val="775F5B79"/>
    <w:rsid w:val="77601AD0"/>
    <w:rsid w:val="77601CBF"/>
    <w:rsid w:val="77602396"/>
    <w:rsid w:val="77602D9A"/>
    <w:rsid w:val="77604B55"/>
    <w:rsid w:val="77614D91"/>
    <w:rsid w:val="776209F2"/>
    <w:rsid w:val="77621D88"/>
    <w:rsid w:val="77623370"/>
    <w:rsid w:val="77627E17"/>
    <w:rsid w:val="7763050B"/>
    <w:rsid w:val="776353B0"/>
    <w:rsid w:val="7768768E"/>
    <w:rsid w:val="776971A8"/>
    <w:rsid w:val="776975E2"/>
    <w:rsid w:val="776A56EB"/>
    <w:rsid w:val="776C1D72"/>
    <w:rsid w:val="776C4324"/>
    <w:rsid w:val="776D3759"/>
    <w:rsid w:val="776E36CD"/>
    <w:rsid w:val="776E49BD"/>
    <w:rsid w:val="776E4DD9"/>
    <w:rsid w:val="776E7CDC"/>
    <w:rsid w:val="776F2E1F"/>
    <w:rsid w:val="777022BA"/>
    <w:rsid w:val="77711E05"/>
    <w:rsid w:val="77720574"/>
    <w:rsid w:val="77721805"/>
    <w:rsid w:val="77724D3C"/>
    <w:rsid w:val="777260D2"/>
    <w:rsid w:val="7772678A"/>
    <w:rsid w:val="77727597"/>
    <w:rsid w:val="77737259"/>
    <w:rsid w:val="7775520A"/>
    <w:rsid w:val="77763350"/>
    <w:rsid w:val="7776476A"/>
    <w:rsid w:val="77782AAE"/>
    <w:rsid w:val="77787B6F"/>
    <w:rsid w:val="77791C41"/>
    <w:rsid w:val="777A3AF4"/>
    <w:rsid w:val="777A4144"/>
    <w:rsid w:val="777A4EF3"/>
    <w:rsid w:val="777B67A7"/>
    <w:rsid w:val="777C4CBA"/>
    <w:rsid w:val="777D5662"/>
    <w:rsid w:val="777F5BFE"/>
    <w:rsid w:val="777F5FFA"/>
    <w:rsid w:val="777F7CC7"/>
    <w:rsid w:val="7780362D"/>
    <w:rsid w:val="77807964"/>
    <w:rsid w:val="77824BB6"/>
    <w:rsid w:val="77851104"/>
    <w:rsid w:val="77862B68"/>
    <w:rsid w:val="77863E53"/>
    <w:rsid w:val="77872F14"/>
    <w:rsid w:val="77883B6F"/>
    <w:rsid w:val="77890B97"/>
    <w:rsid w:val="778939A2"/>
    <w:rsid w:val="77893BE8"/>
    <w:rsid w:val="778A542A"/>
    <w:rsid w:val="778C4D6B"/>
    <w:rsid w:val="778D031B"/>
    <w:rsid w:val="778F3E8E"/>
    <w:rsid w:val="778F7FD4"/>
    <w:rsid w:val="779030AA"/>
    <w:rsid w:val="77925931"/>
    <w:rsid w:val="779276DF"/>
    <w:rsid w:val="77933457"/>
    <w:rsid w:val="77936D8F"/>
    <w:rsid w:val="77955421"/>
    <w:rsid w:val="77973EB5"/>
    <w:rsid w:val="77977C04"/>
    <w:rsid w:val="77983B77"/>
    <w:rsid w:val="779905B2"/>
    <w:rsid w:val="77991AFF"/>
    <w:rsid w:val="779A7B04"/>
    <w:rsid w:val="779C14E3"/>
    <w:rsid w:val="779C4C4E"/>
    <w:rsid w:val="779C6545"/>
    <w:rsid w:val="779E2F73"/>
    <w:rsid w:val="779E507B"/>
    <w:rsid w:val="779E6D1D"/>
    <w:rsid w:val="77A15183"/>
    <w:rsid w:val="77A41DCA"/>
    <w:rsid w:val="77A46D61"/>
    <w:rsid w:val="77A47413"/>
    <w:rsid w:val="77A56AF8"/>
    <w:rsid w:val="77A56C97"/>
    <w:rsid w:val="77A57835"/>
    <w:rsid w:val="77A629FB"/>
    <w:rsid w:val="77A96605"/>
    <w:rsid w:val="77AB41E7"/>
    <w:rsid w:val="77AB565B"/>
    <w:rsid w:val="77AB7369"/>
    <w:rsid w:val="77AC205D"/>
    <w:rsid w:val="77AD430C"/>
    <w:rsid w:val="77AD4E19"/>
    <w:rsid w:val="77AF29A1"/>
    <w:rsid w:val="77B13EF3"/>
    <w:rsid w:val="77B1435D"/>
    <w:rsid w:val="77B31F93"/>
    <w:rsid w:val="77B32847"/>
    <w:rsid w:val="77B562D6"/>
    <w:rsid w:val="77B61D38"/>
    <w:rsid w:val="77B6219B"/>
    <w:rsid w:val="77B64B93"/>
    <w:rsid w:val="77B70517"/>
    <w:rsid w:val="77B86667"/>
    <w:rsid w:val="77BA09E4"/>
    <w:rsid w:val="77BD0ACC"/>
    <w:rsid w:val="77BD192A"/>
    <w:rsid w:val="77BD61E6"/>
    <w:rsid w:val="77BF0716"/>
    <w:rsid w:val="77C01A89"/>
    <w:rsid w:val="77C261AB"/>
    <w:rsid w:val="77C33D3D"/>
    <w:rsid w:val="77C43611"/>
    <w:rsid w:val="77C45195"/>
    <w:rsid w:val="77C460AF"/>
    <w:rsid w:val="77C52A74"/>
    <w:rsid w:val="77C57F16"/>
    <w:rsid w:val="77C62469"/>
    <w:rsid w:val="77C6382D"/>
    <w:rsid w:val="77C70706"/>
    <w:rsid w:val="77C716BC"/>
    <w:rsid w:val="77C80C91"/>
    <w:rsid w:val="77C81353"/>
    <w:rsid w:val="77C8358B"/>
    <w:rsid w:val="77C952D0"/>
    <w:rsid w:val="77C96E79"/>
    <w:rsid w:val="77CA7832"/>
    <w:rsid w:val="77CB0E43"/>
    <w:rsid w:val="77CB2E7D"/>
    <w:rsid w:val="77CB499F"/>
    <w:rsid w:val="77CC00BE"/>
    <w:rsid w:val="77CC7F28"/>
    <w:rsid w:val="77CD2BCD"/>
    <w:rsid w:val="77CD482C"/>
    <w:rsid w:val="77D00302"/>
    <w:rsid w:val="77D0532A"/>
    <w:rsid w:val="77D05D13"/>
    <w:rsid w:val="77D16D5B"/>
    <w:rsid w:val="77D17119"/>
    <w:rsid w:val="77D221D2"/>
    <w:rsid w:val="77D23F80"/>
    <w:rsid w:val="77D31B6A"/>
    <w:rsid w:val="77D43211"/>
    <w:rsid w:val="77D574AF"/>
    <w:rsid w:val="77D71596"/>
    <w:rsid w:val="77D93560"/>
    <w:rsid w:val="77DA5DCD"/>
    <w:rsid w:val="77DB67A7"/>
    <w:rsid w:val="77DD37F3"/>
    <w:rsid w:val="77DE539F"/>
    <w:rsid w:val="77DE5CE0"/>
    <w:rsid w:val="77DF70D2"/>
    <w:rsid w:val="77E20193"/>
    <w:rsid w:val="77E21A2A"/>
    <w:rsid w:val="77E4568D"/>
    <w:rsid w:val="77E559BF"/>
    <w:rsid w:val="77E55F64"/>
    <w:rsid w:val="77E617D9"/>
    <w:rsid w:val="77E82CA1"/>
    <w:rsid w:val="77E84F9F"/>
    <w:rsid w:val="77E93939"/>
    <w:rsid w:val="77E96565"/>
    <w:rsid w:val="77EA22D1"/>
    <w:rsid w:val="77EA4C2D"/>
    <w:rsid w:val="77EB0FB4"/>
    <w:rsid w:val="77EC1496"/>
    <w:rsid w:val="77EC2986"/>
    <w:rsid w:val="77ED2B68"/>
    <w:rsid w:val="77EE0C7A"/>
    <w:rsid w:val="77EE4F4C"/>
    <w:rsid w:val="77EE6736"/>
    <w:rsid w:val="77F02638"/>
    <w:rsid w:val="77F15CDA"/>
    <w:rsid w:val="77F16C6F"/>
    <w:rsid w:val="77F17B87"/>
    <w:rsid w:val="77F205C7"/>
    <w:rsid w:val="77F307A1"/>
    <w:rsid w:val="77F32248"/>
    <w:rsid w:val="77F4039A"/>
    <w:rsid w:val="77F43EF6"/>
    <w:rsid w:val="77F52527"/>
    <w:rsid w:val="77F538BD"/>
    <w:rsid w:val="77F710EB"/>
    <w:rsid w:val="77F71288"/>
    <w:rsid w:val="77F74411"/>
    <w:rsid w:val="77FC0FFD"/>
    <w:rsid w:val="77FC264B"/>
    <w:rsid w:val="77FD3E78"/>
    <w:rsid w:val="77FD47D8"/>
    <w:rsid w:val="77FD6782"/>
    <w:rsid w:val="77FD69B4"/>
    <w:rsid w:val="77FF76BB"/>
    <w:rsid w:val="7800347A"/>
    <w:rsid w:val="7800397B"/>
    <w:rsid w:val="78012F5F"/>
    <w:rsid w:val="78021C8C"/>
    <w:rsid w:val="78056103"/>
    <w:rsid w:val="78064B66"/>
    <w:rsid w:val="78086293"/>
    <w:rsid w:val="780879A1"/>
    <w:rsid w:val="780B56E4"/>
    <w:rsid w:val="780C2EA6"/>
    <w:rsid w:val="780D4FB8"/>
    <w:rsid w:val="780E2456"/>
    <w:rsid w:val="780F50C8"/>
    <w:rsid w:val="78106856"/>
    <w:rsid w:val="78115159"/>
    <w:rsid w:val="781157AB"/>
    <w:rsid w:val="78136793"/>
    <w:rsid w:val="781421C4"/>
    <w:rsid w:val="78151B36"/>
    <w:rsid w:val="78165BF2"/>
    <w:rsid w:val="78172A31"/>
    <w:rsid w:val="78183175"/>
    <w:rsid w:val="78191BAF"/>
    <w:rsid w:val="78192E32"/>
    <w:rsid w:val="781939B5"/>
    <w:rsid w:val="781A3921"/>
    <w:rsid w:val="781A76D5"/>
    <w:rsid w:val="781B5927"/>
    <w:rsid w:val="781B5D3C"/>
    <w:rsid w:val="781C3A7C"/>
    <w:rsid w:val="781C7BA8"/>
    <w:rsid w:val="781D2065"/>
    <w:rsid w:val="781E0404"/>
    <w:rsid w:val="7820319C"/>
    <w:rsid w:val="78212190"/>
    <w:rsid w:val="7822262D"/>
    <w:rsid w:val="78223D58"/>
    <w:rsid w:val="78236589"/>
    <w:rsid w:val="7825474A"/>
    <w:rsid w:val="78270007"/>
    <w:rsid w:val="782907DF"/>
    <w:rsid w:val="78294E44"/>
    <w:rsid w:val="7829791D"/>
    <w:rsid w:val="782A4D50"/>
    <w:rsid w:val="782D0D82"/>
    <w:rsid w:val="782D0F03"/>
    <w:rsid w:val="782D10B8"/>
    <w:rsid w:val="782D54D4"/>
    <w:rsid w:val="782E006B"/>
    <w:rsid w:val="782F3180"/>
    <w:rsid w:val="782F44E1"/>
    <w:rsid w:val="783141EE"/>
    <w:rsid w:val="78315E04"/>
    <w:rsid w:val="7832197B"/>
    <w:rsid w:val="78357D74"/>
    <w:rsid w:val="783764D9"/>
    <w:rsid w:val="78387D35"/>
    <w:rsid w:val="78396433"/>
    <w:rsid w:val="7839784B"/>
    <w:rsid w:val="78397B5B"/>
    <w:rsid w:val="783A477B"/>
    <w:rsid w:val="783A6F81"/>
    <w:rsid w:val="783B17C9"/>
    <w:rsid w:val="783B5DE1"/>
    <w:rsid w:val="783D5083"/>
    <w:rsid w:val="78407F62"/>
    <w:rsid w:val="78412EB3"/>
    <w:rsid w:val="784137BE"/>
    <w:rsid w:val="7841419D"/>
    <w:rsid w:val="78416DEE"/>
    <w:rsid w:val="78440AE7"/>
    <w:rsid w:val="78444D64"/>
    <w:rsid w:val="784534AF"/>
    <w:rsid w:val="784552C1"/>
    <w:rsid w:val="78465F4C"/>
    <w:rsid w:val="78470272"/>
    <w:rsid w:val="784711E0"/>
    <w:rsid w:val="78482494"/>
    <w:rsid w:val="784831E4"/>
    <w:rsid w:val="78496134"/>
    <w:rsid w:val="784A5B37"/>
    <w:rsid w:val="784A65DA"/>
    <w:rsid w:val="784A7FBA"/>
    <w:rsid w:val="784C2E74"/>
    <w:rsid w:val="784D3606"/>
    <w:rsid w:val="784D6E71"/>
    <w:rsid w:val="785030F6"/>
    <w:rsid w:val="78511348"/>
    <w:rsid w:val="78515BD6"/>
    <w:rsid w:val="785346D1"/>
    <w:rsid w:val="78540141"/>
    <w:rsid w:val="78546429"/>
    <w:rsid w:val="78571967"/>
    <w:rsid w:val="78572214"/>
    <w:rsid w:val="78583490"/>
    <w:rsid w:val="78594C20"/>
    <w:rsid w:val="785B20F2"/>
    <w:rsid w:val="785C7CED"/>
    <w:rsid w:val="785D5469"/>
    <w:rsid w:val="785E2919"/>
    <w:rsid w:val="7860486D"/>
    <w:rsid w:val="78613562"/>
    <w:rsid w:val="786211B9"/>
    <w:rsid w:val="786230A1"/>
    <w:rsid w:val="786348A8"/>
    <w:rsid w:val="78637A2F"/>
    <w:rsid w:val="78643027"/>
    <w:rsid w:val="78646B19"/>
    <w:rsid w:val="78651049"/>
    <w:rsid w:val="78654665"/>
    <w:rsid w:val="786638B8"/>
    <w:rsid w:val="78672FC7"/>
    <w:rsid w:val="78683BF8"/>
    <w:rsid w:val="786A1A14"/>
    <w:rsid w:val="786B0E94"/>
    <w:rsid w:val="786B1CDE"/>
    <w:rsid w:val="786B3E1B"/>
    <w:rsid w:val="786C6417"/>
    <w:rsid w:val="786E2ED7"/>
    <w:rsid w:val="786F38B1"/>
    <w:rsid w:val="786F609A"/>
    <w:rsid w:val="786F7304"/>
    <w:rsid w:val="78700DAC"/>
    <w:rsid w:val="78716791"/>
    <w:rsid w:val="78735955"/>
    <w:rsid w:val="78774EFB"/>
    <w:rsid w:val="7878597A"/>
    <w:rsid w:val="787943FB"/>
    <w:rsid w:val="78794CDE"/>
    <w:rsid w:val="787B4617"/>
    <w:rsid w:val="787D6F6C"/>
    <w:rsid w:val="787E1020"/>
    <w:rsid w:val="787E1A12"/>
    <w:rsid w:val="787E7C64"/>
    <w:rsid w:val="78814CA5"/>
    <w:rsid w:val="78825CEC"/>
    <w:rsid w:val="788429B4"/>
    <w:rsid w:val="78850BF0"/>
    <w:rsid w:val="78851C84"/>
    <w:rsid w:val="78855328"/>
    <w:rsid w:val="788567C8"/>
    <w:rsid w:val="78882890"/>
    <w:rsid w:val="78890351"/>
    <w:rsid w:val="78891676"/>
    <w:rsid w:val="78896C5F"/>
    <w:rsid w:val="788A03B6"/>
    <w:rsid w:val="788B33FB"/>
    <w:rsid w:val="788B412F"/>
    <w:rsid w:val="788C64C4"/>
    <w:rsid w:val="788E0646"/>
    <w:rsid w:val="788E19E8"/>
    <w:rsid w:val="789073AD"/>
    <w:rsid w:val="78913205"/>
    <w:rsid w:val="789144A4"/>
    <w:rsid w:val="7892069D"/>
    <w:rsid w:val="78922CA1"/>
    <w:rsid w:val="789254BD"/>
    <w:rsid w:val="78963A20"/>
    <w:rsid w:val="78966C95"/>
    <w:rsid w:val="789711D5"/>
    <w:rsid w:val="78986F77"/>
    <w:rsid w:val="78993BD8"/>
    <w:rsid w:val="789D458E"/>
    <w:rsid w:val="789E20B4"/>
    <w:rsid w:val="789E4C4A"/>
    <w:rsid w:val="789F0530"/>
    <w:rsid w:val="78A000BA"/>
    <w:rsid w:val="78A03884"/>
    <w:rsid w:val="78A101B6"/>
    <w:rsid w:val="78A167F5"/>
    <w:rsid w:val="78A22303"/>
    <w:rsid w:val="78A26ABB"/>
    <w:rsid w:val="78A4040A"/>
    <w:rsid w:val="78A51694"/>
    <w:rsid w:val="78A60460"/>
    <w:rsid w:val="78A627CF"/>
    <w:rsid w:val="78A74F94"/>
    <w:rsid w:val="78A81D86"/>
    <w:rsid w:val="78A87D83"/>
    <w:rsid w:val="78A930D9"/>
    <w:rsid w:val="78AA6323"/>
    <w:rsid w:val="78AB57AA"/>
    <w:rsid w:val="78AE505E"/>
    <w:rsid w:val="78AF7413"/>
    <w:rsid w:val="78B0681C"/>
    <w:rsid w:val="78B1191A"/>
    <w:rsid w:val="78B14583"/>
    <w:rsid w:val="78B17039"/>
    <w:rsid w:val="78B22357"/>
    <w:rsid w:val="78B2379B"/>
    <w:rsid w:val="78B23BBC"/>
    <w:rsid w:val="78B402A3"/>
    <w:rsid w:val="78B43685"/>
    <w:rsid w:val="78B50C2B"/>
    <w:rsid w:val="78B57239"/>
    <w:rsid w:val="78B611AB"/>
    <w:rsid w:val="78B64C80"/>
    <w:rsid w:val="78B673FD"/>
    <w:rsid w:val="78B67C13"/>
    <w:rsid w:val="78B83176"/>
    <w:rsid w:val="78B93FE1"/>
    <w:rsid w:val="78BA12BC"/>
    <w:rsid w:val="78BC396D"/>
    <w:rsid w:val="78BD2111"/>
    <w:rsid w:val="78BD53BB"/>
    <w:rsid w:val="78BD69DE"/>
    <w:rsid w:val="78BE4504"/>
    <w:rsid w:val="78BE5F5A"/>
    <w:rsid w:val="78C14214"/>
    <w:rsid w:val="78C32E35"/>
    <w:rsid w:val="78C37D6C"/>
    <w:rsid w:val="78C46964"/>
    <w:rsid w:val="78C603B3"/>
    <w:rsid w:val="78C7160B"/>
    <w:rsid w:val="78C771E3"/>
    <w:rsid w:val="78C868D6"/>
    <w:rsid w:val="78CA519F"/>
    <w:rsid w:val="78CA74A9"/>
    <w:rsid w:val="78CC3620"/>
    <w:rsid w:val="78CC3920"/>
    <w:rsid w:val="78CC4062"/>
    <w:rsid w:val="78CC6BCA"/>
    <w:rsid w:val="78CD0CE6"/>
    <w:rsid w:val="78CD5127"/>
    <w:rsid w:val="78CE3B62"/>
    <w:rsid w:val="78CE3BDC"/>
    <w:rsid w:val="78CF4E7A"/>
    <w:rsid w:val="78D2231F"/>
    <w:rsid w:val="78D2476A"/>
    <w:rsid w:val="78D46652"/>
    <w:rsid w:val="78D624F4"/>
    <w:rsid w:val="78D7580B"/>
    <w:rsid w:val="78D9133E"/>
    <w:rsid w:val="78DC449E"/>
    <w:rsid w:val="78DD26E8"/>
    <w:rsid w:val="78DD3D31"/>
    <w:rsid w:val="78DE1A3E"/>
    <w:rsid w:val="78DF3B1C"/>
    <w:rsid w:val="78E0091E"/>
    <w:rsid w:val="78E1748A"/>
    <w:rsid w:val="78E33C9D"/>
    <w:rsid w:val="78E421BD"/>
    <w:rsid w:val="78E57CE3"/>
    <w:rsid w:val="78E60749"/>
    <w:rsid w:val="78E6347B"/>
    <w:rsid w:val="78EA198E"/>
    <w:rsid w:val="78EB4CF4"/>
    <w:rsid w:val="78EB4DDA"/>
    <w:rsid w:val="78ED1585"/>
    <w:rsid w:val="78ED4839"/>
    <w:rsid w:val="78EE1057"/>
    <w:rsid w:val="78EE48AF"/>
    <w:rsid w:val="78EF0429"/>
    <w:rsid w:val="78EF1A00"/>
    <w:rsid w:val="78EF46BD"/>
    <w:rsid w:val="78EF5F9F"/>
    <w:rsid w:val="78F2418B"/>
    <w:rsid w:val="78F44A71"/>
    <w:rsid w:val="78F7198C"/>
    <w:rsid w:val="78F85743"/>
    <w:rsid w:val="78F90C80"/>
    <w:rsid w:val="78F9243B"/>
    <w:rsid w:val="78F9584B"/>
    <w:rsid w:val="78FA619E"/>
    <w:rsid w:val="78FA69CB"/>
    <w:rsid w:val="78FB45F7"/>
    <w:rsid w:val="78FB70C9"/>
    <w:rsid w:val="78FC360C"/>
    <w:rsid w:val="78FD0C90"/>
    <w:rsid w:val="78FD3C75"/>
    <w:rsid w:val="78FD797A"/>
    <w:rsid w:val="78FE46F6"/>
    <w:rsid w:val="78FF56DF"/>
    <w:rsid w:val="78FF6FF6"/>
    <w:rsid w:val="79004CDE"/>
    <w:rsid w:val="79005E33"/>
    <w:rsid w:val="790073DA"/>
    <w:rsid w:val="79027B61"/>
    <w:rsid w:val="790541E5"/>
    <w:rsid w:val="79061475"/>
    <w:rsid w:val="79074111"/>
    <w:rsid w:val="79077C59"/>
    <w:rsid w:val="79086F68"/>
    <w:rsid w:val="79093C83"/>
    <w:rsid w:val="790B6C1A"/>
    <w:rsid w:val="790D04F1"/>
    <w:rsid w:val="79107AB7"/>
    <w:rsid w:val="791352EF"/>
    <w:rsid w:val="79162CD5"/>
    <w:rsid w:val="791717F8"/>
    <w:rsid w:val="79172977"/>
    <w:rsid w:val="79177EF6"/>
    <w:rsid w:val="791850AA"/>
    <w:rsid w:val="7918575E"/>
    <w:rsid w:val="791A1E16"/>
    <w:rsid w:val="791A372E"/>
    <w:rsid w:val="791B5B69"/>
    <w:rsid w:val="791D0EE8"/>
    <w:rsid w:val="791D122B"/>
    <w:rsid w:val="791D75EE"/>
    <w:rsid w:val="79213C3F"/>
    <w:rsid w:val="79215BA1"/>
    <w:rsid w:val="79235E67"/>
    <w:rsid w:val="79236107"/>
    <w:rsid w:val="7924080B"/>
    <w:rsid w:val="79250F94"/>
    <w:rsid w:val="79265C73"/>
    <w:rsid w:val="792902B8"/>
    <w:rsid w:val="792A46B7"/>
    <w:rsid w:val="792B7DEB"/>
    <w:rsid w:val="792C3B64"/>
    <w:rsid w:val="792F72FA"/>
    <w:rsid w:val="79314D2C"/>
    <w:rsid w:val="79321132"/>
    <w:rsid w:val="79322FD6"/>
    <w:rsid w:val="793424DB"/>
    <w:rsid w:val="79346574"/>
    <w:rsid w:val="79393CCE"/>
    <w:rsid w:val="793B751F"/>
    <w:rsid w:val="793E241F"/>
    <w:rsid w:val="79403229"/>
    <w:rsid w:val="79415E38"/>
    <w:rsid w:val="79416B9B"/>
    <w:rsid w:val="79424F6E"/>
    <w:rsid w:val="79441BAA"/>
    <w:rsid w:val="79487B60"/>
    <w:rsid w:val="79492B06"/>
    <w:rsid w:val="794979A7"/>
    <w:rsid w:val="794A627E"/>
    <w:rsid w:val="794B34FE"/>
    <w:rsid w:val="794D082F"/>
    <w:rsid w:val="794E01DC"/>
    <w:rsid w:val="794E3974"/>
    <w:rsid w:val="794F33AE"/>
    <w:rsid w:val="794F6CB5"/>
    <w:rsid w:val="79507C6C"/>
    <w:rsid w:val="795107CC"/>
    <w:rsid w:val="79522008"/>
    <w:rsid w:val="795310F0"/>
    <w:rsid w:val="79556A2D"/>
    <w:rsid w:val="795661EE"/>
    <w:rsid w:val="7957544F"/>
    <w:rsid w:val="795A788C"/>
    <w:rsid w:val="795B458B"/>
    <w:rsid w:val="795D275F"/>
    <w:rsid w:val="795D34C2"/>
    <w:rsid w:val="795D6A9B"/>
    <w:rsid w:val="795E0AF1"/>
    <w:rsid w:val="795E3E9C"/>
    <w:rsid w:val="795F117B"/>
    <w:rsid w:val="795F4CA5"/>
    <w:rsid w:val="795F5CE7"/>
    <w:rsid w:val="795F623D"/>
    <w:rsid w:val="79622CA6"/>
    <w:rsid w:val="79626B52"/>
    <w:rsid w:val="796278E5"/>
    <w:rsid w:val="79650AA5"/>
    <w:rsid w:val="79667075"/>
    <w:rsid w:val="7967201E"/>
    <w:rsid w:val="7967793B"/>
    <w:rsid w:val="79684549"/>
    <w:rsid w:val="796A0901"/>
    <w:rsid w:val="796A0B4A"/>
    <w:rsid w:val="796A42B2"/>
    <w:rsid w:val="796B3C55"/>
    <w:rsid w:val="796D439A"/>
    <w:rsid w:val="796E08DD"/>
    <w:rsid w:val="796F0365"/>
    <w:rsid w:val="796F6FE6"/>
    <w:rsid w:val="797321FD"/>
    <w:rsid w:val="7973228F"/>
    <w:rsid w:val="797353F2"/>
    <w:rsid w:val="79754F55"/>
    <w:rsid w:val="79755F93"/>
    <w:rsid w:val="79756248"/>
    <w:rsid w:val="797572B9"/>
    <w:rsid w:val="79760B52"/>
    <w:rsid w:val="79762852"/>
    <w:rsid w:val="79765024"/>
    <w:rsid w:val="797703B9"/>
    <w:rsid w:val="797777F3"/>
    <w:rsid w:val="797A042B"/>
    <w:rsid w:val="797A05F9"/>
    <w:rsid w:val="797A15C6"/>
    <w:rsid w:val="797C190D"/>
    <w:rsid w:val="797D43BF"/>
    <w:rsid w:val="797E490C"/>
    <w:rsid w:val="797F457E"/>
    <w:rsid w:val="797F483C"/>
    <w:rsid w:val="798017B9"/>
    <w:rsid w:val="798021F2"/>
    <w:rsid w:val="7981156C"/>
    <w:rsid w:val="79814453"/>
    <w:rsid w:val="7982171C"/>
    <w:rsid w:val="798507C9"/>
    <w:rsid w:val="79881FD6"/>
    <w:rsid w:val="79883EBD"/>
    <w:rsid w:val="798A1F53"/>
    <w:rsid w:val="798A2D59"/>
    <w:rsid w:val="798C251F"/>
    <w:rsid w:val="798C617F"/>
    <w:rsid w:val="798C7707"/>
    <w:rsid w:val="798E037A"/>
    <w:rsid w:val="798E2A3B"/>
    <w:rsid w:val="799040F2"/>
    <w:rsid w:val="79921C19"/>
    <w:rsid w:val="79924BB8"/>
    <w:rsid w:val="79935991"/>
    <w:rsid w:val="79955265"/>
    <w:rsid w:val="79964022"/>
    <w:rsid w:val="79975481"/>
    <w:rsid w:val="79977184"/>
    <w:rsid w:val="79986827"/>
    <w:rsid w:val="799905C1"/>
    <w:rsid w:val="799D1324"/>
    <w:rsid w:val="799F19EF"/>
    <w:rsid w:val="79A0166A"/>
    <w:rsid w:val="79A04D02"/>
    <w:rsid w:val="79A100AE"/>
    <w:rsid w:val="79A156B7"/>
    <w:rsid w:val="79A55B8C"/>
    <w:rsid w:val="79A57835"/>
    <w:rsid w:val="79A6126A"/>
    <w:rsid w:val="79A625AE"/>
    <w:rsid w:val="79A70026"/>
    <w:rsid w:val="79A764C4"/>
    <w:rsid w:val="79A77810"/>
    <w:rsid w:val="79A77C1E"/>
    <w:rsid w:val="79A951B4"/>
    <w:rsid w:val="79AA009F"/>
    <w:rsid w:val="79AA1930"/>
    <w:rsid w:val="79AA2638"/>
    <w:rsid w:val="79AA6648"/>
    <w:rsid w:val="79AC76E8"/>
    <w:rsid w:val="79AF2489"/>
    <w:rsid w:val="79B0209F"/>
    <w:rsid w:val="79B24069"/>
    <w:rsid w:val="79B44354"/>
    <w:rsid w:val="79B4666D"/>
    <w:rsid w:val="79B61D4D"/>
    <w:rsid w:val="79B632BB"/>
    <w:rsid w:val="79BA2F1D"/>
    <w:rsid w:val="79BA5DC8"/>
    <w:rsid w:val="79BA6FFF"/>
    <w:rsid w:val="79BC0A44"/>
    <w:rsid w:val="79BC2544"/>
    <w:rsid w:val="79BD1032"/>
    <w:rsid w:val="79BE1CAB"/>
    <w:rsid w:val="79BE2434"/>
    <w:rsid w:val="79BF0534"/>
    <w:rsid w:val="79C00DCD"/>
    <w:rsid w:val="79C22D6B"/>
    <w:rsid w:val="79C2341B"/>
    <w:rsid w:val="79C426D1"/>
    <w:rsid w:val="79C50BF6"/>
    <w:rsid w:val="79C532E6"/>
    <w:rsid w:val="79C5354D"/>
    <w:rsid w:val="79C574B4"/>
    <w:rsid w:val="79C73A2D"/>
    <w:rsid w:val="79C77364"/>
    <w:rsid w:val="79C93D1C"/>
    <w:rsid w:val="79CA5238"/>
    <w:rsid w:val="79CA6C00"/>
    <w:rsid w:val="79CC4DBF"/>
    <w:rsid w:val="79CE4C1B"/>
    <w:rsid w:val="79CF5511"/>
    <w:rsid w:val="79D044EF"/>
    <w:rsid w:val="79D0629D"/>
    <w:rsid w:val="79D06E6C"/>
    <w:rsid w:val="79D11C7B"/>
    <w:rsid w:val="79D1617C"/>
    <w:rsid w:val="79D245C5"/>
    <w:rsid w:val="79D27F63"/>
    <w:rsid w:val="79D404C9"/>
    <w:rsid w:val="79D410D7"/>
    <w:rsid w:val="79D4114D"/>
    <w:rsid w:val="79D53106"/>
    <w:rsid w:val="79D73ACF"/>
    <w:rsid w:val="79D7587D"/>
    <w:rsid w:val="79D77D63"/>
    <w:rsid w:val="79D77D74"/>
    <w:rsid w:val="79D85059"/>
    <w:rsid w:val="79D867AF"/>
    <w:rsid w:val="79DA35C0"/>
    <w:rsid w:val="79DB7F00"/>
    <w:rsid w:val="79DE4E5E"/>
    <w:rsid w:val="79DE5AE8"/>
    <w:rsid w:val="79DF2984"/>
    <w:rsid w:val="79E21D3B"/>
    <w:rsid w:val="79E24E87"/>
    <w:rsid w:val="79E32474"/>
    <w:rsid w:val="79E50F9E"/>
    <w:rsid w:val="79E65AC0"/>
    <w:rsid w:val="79E77807"/>
    <w:rsid w:val="79E86F17"/>
    <w:rsid w:val="79E872FC"/>
    <w:rsid w:val="79E903BE"/>
    <w:rsid w:val="79E918C6"/>
    <w:rsid w:val="79E957E5"/>
    <w:rsid w:val="79E9735F"/>
    <w:rsid w:val="79E97445"/>
    <w:rsid w:val="79EA0DBB"/>
    <w:rsid w:val="79EA6A13"/>
    <w:rsid w:val="79EB37FE"/>
    <w:rsid w:val="79F04B91"/>
    <w:rsid w:val="79F06E8E"/>
    <w:rsid w:val="79F07C8D"/>
    <w:rsid w:val="79F1067A"/>
    <w:rsid w:val="79F10EE3"/>
    <w:rsid w:val="79F15642"/>
    <w:rsid w:val="79F15CD1"/>
    <w:rsid w:val="79F1600A"/>
    <w:rsid w:val="79F269A8"/>
    <w:rsid w:val="79F27B08"/>
    <w:rsid w:val="79F44B96"/>
    <w:rsid w:val="79F532FD"/>
    <w:rsid w:val="79F74F7E"/>
    <w:rsid w:val="79F75F20"/>
    <w:rsid w:val="79F91F7E"/>
    <w:rsid w:val="79F93DD8"/>
    <w:rsid w:val="79F95BAF"/>
    <w:rsid w:val="79F96891"/>
    <w:rsid w:val="79FA0CEA"/>
    <w:rsid w:val="79FA4FE6"/>
    <w:rsid w:val="79FB073A"/>
    <w:rsid w:val="79FB5610"/>
    <w:rsid w:val="79FC6A9D"/>
    <w:rsid w:val="79FC785E"/>
    <w:rsid w:val="79FD493F"/>
    <w:rsid w:val="79FE1404"/>
    <w:rsid w:val="79FE2BC3"/>
    <w:rsid w:val="79FE3DB9"/>
    <w:rsid w:val="79FE4645"/>
    <w:rsid w:val="79FF0DC3"/>
    <w:rsid w:val="7A0441EA"/>
    <w:rsid w:val="7A072A20"/>
    <w:rsid w:val="7A074E08"/>
    <w:rsid w:val="7A076D65"/>
    <w:rsid w:val="7A081C6F"/>
    <w:rsid w:val="7A0927D1"/>
    <w:rsid w:val="7A0A65D9"/>
    <w:rsid w:val="7A0B02D8"/>
    <w:rsid w:val="7A0B57CB"/>
    <w:rsid w:val="7A0D5743"/>
    <w:rsid w:val="7A0D74F1"/>
    <w:rsid w:val="7A0E5ABE"/>
    <w:rsid w:val="7A1129C2"/>
    <w:rsid w:val="7A1239D6"/>
    <w:rsid w:val="7A151099"/>
    <w:rsid w:val="7A1528B5"/>
    <w:rsid w:val="7A173C13"/>
    <w:rsid w:val="7A1924AB"/>
    <w:rsid w:val="7A1A1C0E"/>
    <w:rsid w:val="7A1A5B66"/>
    <w:rsid w:val="7A1B6759"/>
    <w:rsid w:val="7A1E4736"/>
    <w:rsid w:val="7A1F1F5A"/>
    <w:rsid w:val="7A202ED1"/>
    <w:rsid w:val="7A205476"/>
    <w:rsid w:val="7A20755F"/>
    <w:rsid w:val="7A207582"/>
    <w:rsid w:val="7A210E8A"/>
    <w:rsid w:val="7A212986"/>
    <w:rsid w:val="7A212F9C"/>
    <w:rsid w:val="7A22423F"/>
    <w:rsid w:val="7A230AC3"/>
    <w:rsid w:val="7A245426"/>
    <w:rsid w:val="7A25270E"/>
    <w:rsid w:val="7A253ECC"/>
    <w:rsid w:val="7A256CEA"/>
    <w:rsid w:val="7A2618F6"/>
    <w:rsid w:val="7A262C38"/>
    <w:rsid w:val="7A266F03"/>
    <w:rsid w:val="7A2800DC"/>
    <w:rsid w:val="7A284EA6"/>
    <w:rsid w:val="7A291E51"/>
    <w:rsid w:val="7A292592"/>
    <w:rsid w:val="7A2B26BA"/>
    <w:rsid w:val="7A2C4961"/>
    <w:rsid w:val="7A2D0C57"/>
    <w:rsid w:val="7A2D238B"/>
    <w:rsid w:val="7A2D5444"/>
    <w:rsid w:val="7A2D67DE"/>
    <w:rsid w:val="7A2F0069"/>
    <w:rsid w:val="7A2F491E"/>
    <w:rsid w:val="7A2F5884"/>
    <w:rsid w:val="7A3031E0"/>
    <w:rsid w:val="7A311427"/>
    <w:rsid w:val="7A31156B"/>
    <w:rsid w:val="7A313550"/>
    <w:rsid w:val="7A33700E"/>
    <w:rsid w:val="7A340F22"/>
    <w:rsid w:val="7A34556D"/>
    <w:rsid w:val="7A3565EA"/>
    <w:rsid w:val="7A36140D"/>
    <w:rsid w:val="7A385F71"/>
    <w:rsid w:val="7A390541"/>
    <w:rsid w:val="7A3905A1"/>
    <w:rsid w:val="7A391008"/>
    <w:rsid w:val="7A3B4616"/>
    <w:rsid w:val="7A3C3932"/>
    <w:rsid w:val="7A3E0432"/>
    <w:rsid w:val="7A3E58FC"/>
    <w:rsid w:val="7A3F73E6"/>
    <w:rsid w:val="7A3F78F4"/>
    <w:rsid w:val="7A4078C7"/>
    <w:rsid w:val="7A410C28"/>
    <w:rsid w:val="7A413095"/>
    <w:rsid w:val="7A41719B"/>
    <w:rsid w:val="7A4322BE"/>
    <w:rsid w:val="7A4402EC"/>
    <w:rsid w:val="7A443BB4"/>
    <w:rsid w:val="7A450D64"/>
    <w:rsid w:val="7A454EDD"/>
    <w:rsid w:val="7A483ABB"/>
    <w:rsid w:val="7A4F18B8"/>
    <w:rsid w:val="7A510293"/>
    <w:rsid w:val="7A520F79"/>
    <w:rsid w:val="7A521B6E"/>
    <w:rsid w:val="7A521B98"/>
    <w:rsid w:val="7A5275FA"/>
    <w:rsid w:val="7A53530E"/>
    <w:rsid w:val="7A536AC8"/>
    <w:rsid w:val="7A543372"/>
    <w:rsid w:val="7A5600FC"/>
    <w:rsid w:val="7A58521A"/>
    <w:rsid w:val="7A5938F5"/>
    <w:rsid w:val="7A5D0673"/>
    <w:rsid w:val="7A5F5873"/>
    <w:rsid w:val="7A600998"/>
    <w:rsid w:val="7A6009EA"/>
    <w:rsid w:val="7A60118D"/>
    <w:rsid w:val="7A60672F"/>
    <w:rsid w:val="7A6115EB"/>
    <w:rsid w:val="7A6121B5"/>
    <w:rsid w:val="7A62171C"/>
    <w:rsid w:val="7A644563"/>
    <w:rsid w:val="7A6449BB"/>
    <w:rsid w:val="7A653600"/>
    <w:rsid w:val="7A656CAF"/>
    <w:rsid w:val="7A66770D"/>
    <w:rsid w:val="7A6729FA"/>
    <w:rsid w:val="7A683DA9"/>
    <w:rsid w:val="7A6B15E6"/>
    <w:rsid w:val="7A6B2829"/>
    <w:rsid w:val="7A6F5AB6"/>
    <w:rsid w:val="7A700F56"/>
    <w:rsid w:val="7A715CD2"/>
    <w:rsid w:val="7A7272A2"/>
    <w:rsid w:val="7A73136B"/>
    <w:rsid w:val="7A736669"/>
    <w:rsid w:val="7A776C86"/>
    <w:rsid w:val="7A792B1B"/>
    <w:rsid w:val="7A796115"/>
    <w:rsid w:val="7A7D3154"/>
    <w:rsid w:val="7A7E33A0"/>
    <w:rsid w:val="7A8014A6"/>
    <w:rsid w:val="7A80185D"/>
    <w:rsid w:val="7A801A03"/>
    <w:rsid w:val="7A810770"/>
    <w:rsid w:val="7A810926"/>
    <w:rsid w:val="7A81764C"/>
    <w:rsid w:val="7A835199"/>
    <w:rsid w:val="7A87385E"/>
    <w:rsid w:val="7A88113C"/>
    <w:rsid w:val="7A893136"/>
    <w:rsid w:val="7A893DEA"/>
    <w:rsid w:val="7A8D0632"/>
    <w:rsid w:val="7A8D69F9"/>
    <w:rsid w:val="7A8F4231"/>
    <w:rsid w:val="7A98424C"/>
    <w:rsid w:val="7A990D85"/>
    <w:rsid w:val="7A993117"/>
    <w:rsid w:val="7A993F02"/>
    <w:rsid w:val="7A996102"/>
    <w:rsid w:val="7A9A3AF1"/>
    <w:rsid w:val="7A9B4AFD"/>
    <w:rsid w:val="7A9B506A"/>
    <w:rsid w:val="7A9D7D73"/>
    <w:rsid w:val="7A9E1237"/>
    <w:rsid w:val="7A9F47C8"/>
    <w:rsid w:val="7AA05017"/>
    <w:rsid w:val="7AA31C03"/>
    <w:rsid w:val="7AA360D0"/>
    <w:rsid w:val="7AA72F58"/>
    <w:rsid w:val="7AA75CF9"/>
    <w:rsid w:val="7AA76C4E"/>
    <w:rsid w:val="7AA8546C"/>
    <w:rsid w:val="7AAC2A6C"/>
    <w:rsid w:val="7AAE78F4"/>
    <w:rsid w:val="7AAF1D4F"/>
    <w:rsid w:val="7AB03FD0"/>
    <w:rsid w:val="7AB05174"/>
    <w:rsid w:val="7AB12572"/>
    <w:rsid w:val="7AB132C5"/>
    <w:rsid w:val="7AB210C4"/>
    <w:rsid w:val="7AB27ED2"/>
    <w:rsid w:val="7AB355A9"/>
    <w:rsid w:val="7AB45973"/>
    <w:rsid w:val="7AB46B59"/>
    <w:rsid w:val="7AB760C8"/>
    <w:rsid w:val="7AB86A24"/>
    <w:rsid w:val="7AB931D5"/>
    <w:rsid w:val="7ABA37FC"/>
    <w:rsid w:val="7ABA39B2"/>
    <w:rsid w:val="7ABA7F61"/>
    <w:rsid w:val="7ABC1938"/>
    <w:rsid w:val="7ABC6B34"/>
    <w:rsid w:val="7ABE21EF"/>
    <w:rsid w:val="7ABE4FDC"/>
    <w:rsid w:val="7AC12D9A"/>
    <w:rsid w:val="7AC16EAC"/>
    <w:rsid w:val="7AC503EC"/>
    <w:rsid w:val="7AC5090D"/>
    <w:rsid w:val="7AC53928"/>
    <w:rsid w:val="7AC57727"/>
    <w:rsid w:val="7AC8390A"/>
    <w:rsid w:val="7AC90E7C"/>
    <w:rsid w:val="7AC97328"/>
    <w:rsid w:val="7ACA3634"/>
    <w:rsid w:val="7ACB0136"/>
    <w:rsid w:val="7ACC7D97"/>
    <w:rsid w:val="7ACD0357"/>
    <w:rsid w:val="7ACD1338"/>
    <w:rsid w:val="7ACD133D"/>
    <w:rsid w:val="7ACE32C7"/>
    <w:rsid w:val="7ACE55CD"/>
    <w:rsid w:val="7ACE7F70"/>
    <w:rsid w:val="7ACF028D"/>
    <w:rsid w:val="7AD11A5C"/>
    <w:rsid w:val="7AD13FC4"/>
    <w:rsid w:val="7AD22505"/>
    <w:rsid w:val="7AD26045"/>
    <w:rsid w:val="7AD53C03"/>
    <w:rsid w:val="7AD54F95"/>
    <w:rsid w:val="7AD67300"/>
    <w:rsid w:val="7AD718AD"/>
    <w:rsid w:val="7AD71C5D"/>
    <w:rsid w:val="7AD83A3E"/>
    <w:rsid w:val="7AD868F2"/>
    <w:rsid w:val="7AD93B54"/>
    <w:rsid w:val="7AD95B44"/>
    <w:rsid w:val="7AD95FCD"/>
    <w:rsid w:val="7AD96066"/>
    <w:rsid w:val="7ADA0D70"/>
    <w:rsid w:val="7ADC3C58"/>
    <w:rsid w:val="7ADC4EC6"/>
    <w:rsid w:val="7ADC79A2"/>
    <w:rsid w:val="7ADD519D"/>
    <w:rsid w:val="7ADD78F9"/>
    <w:rsid w:val="7ADE782B"/>
    <w:rsid w:val="7AE04C06"/>
    <w:rsid w:val="7AE244DA"/>
    <w:rsid w:val="7AE312E0"/>
    <w:rsid w:val="7AE74C21"/>
    <w:rsid w:val="7AE8550C"/>
    <w:rsid w:val="7AE8771B"/>
    <w:rsid w:val="7AE9421F"/>
    <w:rsid w:val="7AE9619A"/>
    <w:rsid w:val="7AEA3946"/>
    <w:rsid w:val="7AEA513F"/>
    <w:rsid w:val="7AEA6B74"/>
    <w:rsid w:val="7AEA7832"/>
    <w:rsid w:val="7AEC0C8C"/>
    <w:rsid w:val="7AEE0676"/>
    <w:rsid w:val="7AF06042"/>
    <w:rsid w:val="7AF073B8"/>
    <w:rsid w:val="7AF21299"/>
    <w:rsid w:val="7AF30181"/>
    <w:rsid w:val="7AF45EAA"/>
    <w:rsid w:val="7AF532D6"/>
    <w:rsid w:val="7AF607DD"/>
    <w:rsid w:val="7AF665EB"/>
    <w:rsid w:val="7AF728FC"/>
    <w:rsid w:val="7AF74A4C"/>
    <w:rsid w:val="7AF80F26"/>
    <w:rsid w:val="7AF81F4F"/>
    <w:rsid w:val="7AF8440D"/>
    <w:rsid w:val="7AF97A75"/>
    <w:rsid w:val="7AFC4EDC"/>
    <w:rsid w:val="7AFD3C81"/>
    <w:rsid w:val="7AFE6E3A"/>
    <w:rsid w:val="7AFF4039"/>
    <w:rsid w:val="7B007056"/>
    <w:rsid w:val="7B0106A0"/>
    <w:rsid w:val="7B01754C"/>
    <w:rsid w:val="7B017D92"/>
    <w:rsid w:val="7B02454E"/>
    <w:rsid w:val="7B054342"/>
    <w:rsid w:val="7B05466C"/>
    <w:rsid w:val="7B055960"/>
    <w:rsid w:val="7B0614CE"/>
    <w:rsid w:val="7B09003C"/>
    <w:rsid w:val="7B0A28DC"/>
    <w:rsid w:val="7B0A3A31"/>
    <w:rsid w:val="7B0C2D08"/>
    <w:rsid w:val="7B0E3A50"/>
    <w:rsid w:val="7B0F1047"/>
    <w:rsid w:val="7B1030C8"/>
    <w:rsid w:val="7B105150"/>
    <w:rsid w:val="7B11469E"/>
    <w:rsid w:val="7B1267BD"/>
    <w:rsid w:val="7B13099C"/>
    <w:rsid w:val="7B137444"/>
    <w:rsid w:val="7B150ACB"/>
    <w:rsid w:val="7B152B01"/>
    <w:rsid w:val="7B155334"/>
    <w:rsid w:val="7B161DB5"/>
    <w:rsid w:val="7B1677F9"/>
    <w:rsid w:val="7B1801DB"/>
    <w:rsid w:val="7B194382"/>
    <w:rsid w:val="7B1B3B25"/>
    <w:rsid w:val="7B1B79EC"/>
    <w:rsid w:val="7B1C2B9E"/>
    <w:rsid w:val="7B2276D1"/>
    <w:rsid w:val="7B241E85"/>
    <w:rsid w:val="7B2433A6"/>
    <w:rsid w:val="7B2525C8"/>
    <w:rsid w:val="7B263FB0"/>
    <w:rsid w:val="7B286999"/>
    <w:rsid w:val="7B290EA3"/>
    <w:rsid w:val="7B292109"/>
    <w:rsid w:val="7B296843"/>
    <w:rsid w:val="7B2A3BDE"/>
    <w:rsid w:val="7B2B0079"/>
    <w:rsid w:val="7B2B1559"/>
    <w:rsid w:val="7B2B6479"/>
    <w:rsid w:val="7B2B6AE3"/>
    <w:rsid w:val="7B2C1BF9"/>
    <w:rsid w:val="7B2C2BB5"/>
    <w:rsid w:val="7B2C7E4B"/>
    <w:rsid w:val="7B2D3135"/>
    <w:rsid w:val="7B2D4678"/>
    <w:rsid w:val="7B2D714B"/>
    <w:rsid w:val="7B2D7A9F"/>
    <w:rsid w:val="7B2E574D"/>
    <w:rsid w:val="7B2E5D41"/>
    <w:rsid w:val="7B2E5E4E"/>
    <w:rsid w:val="7B2E771F"/>
    <w:rsid w:val="7B301F9F"/>
    <w:rsid w:val="7B302338"/>
    <w:rsid w:val="7B311871"/>
    <w:rsid w:val="7B3122E0"/>
    <w:rsid w:val="7B3137A6"/>
    <w:rsid w:val="7B315461"/>
    <w:rsid w:val="7B32679C"/>
    <w:rsid w:val="7B346CFF"/>
    <w:rsid w:val="7B3510AB"/>
    <w:rsid w:val="7B357B5D"/>
    <w:rsid w:val="7B3665D4"/>
    <w:rsid w:val="7B367B0A"/>
    <w:rsid w:val="7B38234C"/>
    <w:rsid w:val="7B394D8B"/>
    <w:rsid w:val="7B3A7748"/>
    <w:rsid w:val="7B3C3525"/>
    <w:rsid w:val="7B3E447D"/>
    <w:rsid w:val="7B3E6EE5"/>
    <w:rsid w:val="7B3F1C91"/>
    <w:rsid w:val="7B405D32"/>
    <w:rsid w:val="7B406801"/>
    <w:rsid w:val="7B413F7E"/>
    <w:rsid w:val="7B4334C7"/>
    <w:rsid w:val="7B436C01"/>
    <w:rsid w:val="7B4707E1"/>
    <w:rsid w:val="7B4807D0"/>
    <w:rsid w:val="7B481E1F"/>
    <w:rsid w:val="7B4944D8"/>
    <w:rsid w:val="7B4A0D3C"/>
    <w:rsid w:val="7B4C4049"/>
    <w:rsid w:val="7B4C7281"/>
    <w:rsid w:val="7B4D0FEC"/>
    <w:rsid w:val="7B4D42CB"/>
    <w:rsid w:val="7B505F64"/>
    <w:rsid w:val="7B50734A"/>
    <w:rsid w:val="7B512DF8"/>
    <w:rsid w:val="7B5178B1"/>
    <w:rsid w:val="7B536393"/>
    <w:rsid w:val="7B560656"/>
    <w:rsid w:val="7B5657A0"/>
    <w:rsid w:val="7B57450C"/>
    <w:rsid w:val="7B5828F0"/>
    <w:rsid w:val="7B5A48E1"/>
    <w:rsid w:val="7B5A7E8E"/>
    <w:rsid w:val="7B5B420D"/>
    <w:rsid w:val="7B5D048D"/>
    <w:rsid w:val="7B5F12AF"/>
    <w:rsid w:val="7B605DDE"/>
    <w:rsid w:val="7B6224FF"/>
    <w:rsid w:val="7B62411D"/>
    <w:rsid w:val="7B6273C9"/>
    <w:rsid w:val="7B666ED9"/>
    <w:rsid w:val="7B687795"/>
    <w:rsid w:val="7B6A571A"/>
    <w:rsid w:val="7B6B6446"/>
    <w:rsid w:val="7B6C0247"/>
    <w:rsid w:val="7B6C46EB"/>
    <w:rsid w:val="7B6C6499"/>
    <w:rsid w:val="7B6C6C16"/>
    <w:rsid w:val="7B6E1C07"/>
    <w:rsid w:val="7B6E244B"/>
    <w:rsid w:val="7B6E5D6D"/>
    <w:rsid w:val="7B6F4429"/>
    <w:rsid w:val="7B6F4926"/>
    <w:rsid w:val="7B701E84"/>
    <w:rsid w:val="7B722E89"/>
    <w:rsid w:val="7B725292"/>
    <w:rsid w:val="7B7422DA"/>
    <w:rsid w:val="7B745F23"/>
    <w:rsid w:val="7B7470FC"/>
    <w:rsid w:val="7B75617B"/>
    <w:rsid w:val="7B7A609F"/>
    <w:rsid w:val="7B7B0C46"/>
    <w:rsid w:val="7B7B2FAF"/>
    <w:rsid w:val="7B7C6E76"/>
    <w:rsid w:val="7B7D06A6"/>
    <w:rsid w:val="7B7D53DA"/>
    <w:rsid w:val="7B7E3B53"/>
    <w:rsid w:val="7B7F2968"/>
    <w:rsid w:val="7B7F54D8"/>
    <w:rsid w:val="7B803CF3"/>
    <w:rsid w:val="7B8319E1"/>
    <w:rsid w:val="7B8330AA"/>
    <w:rsid w:val="7B833D31"/>
    <w:rsid w:val="7B8421E5"/>
    <w:rsid w:val="7B8437E3"/>
    <w:rsid w:val="7B845156"/>
    <w:rsid w:val="7B845A59"/>
    <w:rsid w:val="7B863116"/>
    <w:rsid w:val="7B883813"/>
    <w:rsid w:val="7B8A6903"/>
    <w:rsid w:val="7B8C02E4"/>
    <w:rsid w:val="7B8C6778"/>
    <w:rsid w:val="7B8D277D"/>
    <w:rsid w:val="7B8D2885"/>
    <w:rsid w:val="7B8E7500"/>
    <w:rsid w:val="7B8F45A8"/>
    <w:rsid w:val="7B8F65E6"/>
    <w:rsid w:val="7B911033"/>
    <w:rsid w:val="7B917CAE"/>
    <w:rsid w:val="7B921DCF"/>
    <w:rsid w:val="7B922FC1"/>
    <w:rsid w:val="7B955AA9"/>
    <w:rsid w:val="7B965AB3"/>
    <w:rsid w:val="7B970D72"/>
    <w:rsid w:val="7B973483"/>
    <w:rsid w:val="7B97648D"/>
    <w:rsid w:val="7B98103C"/>
    <w:rsid w:val="7B9859C3"/>
    <w:rsid w:val="7B99353E"/>
    <w:rsid w:val="7B9A6B62"/>
    <w:rsid w:val="7B9C094C"/>
    <w:rsid w:val="7B9C6B79"/>
    <w:rsid w:val="7B9D2338"/>
    <w:rsid w:val="7B9F4679"/>
    <w:rsid w:val="7BA03B60"/>
    <w:rsid w:val="7BA17D9C"/>
    <w:rsid w:val="7BA31FD8"/>
    <w:rsid w:val="7BA464AD"/>
    <w:rsid w:val="7BA55F72"/>
    <w:rsid w:val="7BA875E4"/>
    <w:rsid w:val="7BA92C79"/>
    <w:rsid w:val="7BAA3ED7"/>
    <w:rsid w:val="7BAB27F8"/>
    <w:rsid w:val="7BAB6936"/>
    <w:rsid w:val="7BAC0F7F"/>
    <w:rsid w:val="7BAC4AE8"/>
    <w:rsid w:val="7BAC5201"/>
    <w:rsid w:val="7BAE1B6F"/>
    <w:rsid w:val="7BAF4F49"/>
    <w:rsid w:val="7BB013CC"/>
    <w:rsid w:val="7BB43628"/>
    <w:rsid w:val="7BB437D5"/>
    <w:rsid w:val="7BB43C99"/>
    <w:rsid w:val="7BB4787D"/>
    <w:rsid w:val="7BB50301"/>
    <w:rsid w:val="7BB5432D"/>
    <w:rsid w:val="7BB732AA"/>
    <w:rsid w:val="7BB80A78"/>
    <w:rsid w:val="7BB813F1"/>
    <w:rsid w:val="7BB93E9E"/>
    <w:rsid w:val="7BBA037E"/>
    <w:rsid w:val="7BBA5457"/>
    <w:rsid w:val="7BBA60F3"/>
    <w:rsid w:val="7BBC14BA"/>
    <w:rsid w:val="7BBD295C"/>
    <w:rsid w:val="7BBD6CF5"/>
    <w:rsid w:val="7BBD7F50"/>
    <w:rsid w:val="7BBE03CA"/>
    <w:rsid w:val="7BBE4F25"/>
    <w:rsid w:val="7BBE7E78"/>
    <w:rsid w:val="7BBF481B"/>
    <w:rsid w:val="7BC04950"/>
    <w:rsid w:val="7BC1260F"/>
    <w:rsid w:val="7BC1508C"/>
    <w:rsid w:val="7BC2281A"/>
    <w:rsid w:val="7BC25BCC"/>
    <w:rsid w:val="7BC25F90"/>
    <w:rsid w:val="7BC335AB"/>
    <w:rsid w:val="7BC3589F"/>
    <w:rsid w:val="7BC37523"/>
    <w:rsid w:val="7BC53E41"/>
    <w:rsid w:val="7BC5523E"/>
    <w:rsid w:val="7BC61286"/>
    <w:rsid w:val="7BC7026A"/>
    <w:rsid w:val="7BC70FD5"/>
    <w:rsid w:val="7BC72D55"/>
    <w:rsid w:val="7BC77578"/>
    <w:rsid w:val="7BC96752"/>
    <w:rsid w:val="7BC97564"/>
    <w:rsid w:val="7BCA0140"/>
    <w:rsid w:val="7BCA3200"/>
    <w:rsid w:val="7BCB3754"/>
    <w:rsid w:val="7BCC4DA1"/>
    <w:rsid w:val="7BCF46D0"/>
    <w:rsid w:val="7BD0061C"/>
    <w:rsid w:val="7BD140FF"/>
    <w:rsid w:val="7BD16E13"/>
    <w:rsid w:val="7BD227A0"/>
    <w:rsid w:val="7BD4269E"/>
    <w:rsid w:val="7BD45423"/>
    <w:rsid w:val="7BD52290"/>
    <w:rsid w:val="7BD561AA"/>
    <w:rsid w:val="7BD61B65"/>
    <w:rsid w:val="7BD70420"/>
    <w:rsid w:val="7BDD1145"/>
    <w:rsid w:val="7BDD2EF3"/>
    <w:rsid w:val="7BDE4B40"/>
    <w:rsid w:val="7BDE6900"/>
    <w:rsid w:val="7BDF6867"/>
    <w:rsid w:val="7BDF725C"/>
    <w:rsid w:val="7BDF7589"/>
    <w:rsid w:val="7BE04DEA"/>
    <w:rsid w:val="7BE349AD"/>
    <w:rsid w:val="7BE35CBC"/>
    <w:rsid w:val="7BE443BC"/>
    <w:rsid w:val="7BE66DF7"/>
    <w:rsid w:val="7BE75B20"/>
    <w:rsid w:val="7BE77AB4"/>
    <w:rsid w:val="7BE92B0B"/>
    <w:rsid w:val="7BE94620"/>
    <w:rsid w:val="7BE95D3C"/>
    <w:rsid w:val="7BEB1AB4"/>
    <w:rsid w:val="7BEB2D3A"/>
    <w:rsid w:val="7BEB60CD"/>
    <w:rsid w:val="7BEB7B41"/>
    <w:rsid w:val="7BEC42D2"/>
    <w:rsid w:val="7BEE1933"/>
    <w:rsid w:val="7BEE2DA0"/>
    <w:rsid w:val="7BF01A56"/>
    <w:rsid w:val="7BF02C26"/>
    <w:rsid w:val="7BF070CA"/>
    <w:rsid w:val="7BF26E3C"/>
    <w:rsid w:val="7BF34430"/>
    <w:rsid w:val="7BF400EB"/>
    <w:rsid w:val="7BF700B4"/>
    <w:rsid w:val="7BF70E40"/>
    <w:rsid w:val="7BF71509"/>
    <w:rsid w:val="7BF749A5"/>
    <w:rsid w:val="7BFA55A5"/>
    <w:rsid w:val="7BFA6B35"/>
    <w:rsid w:val="7BFB1CAA"/>
    <w:rsid w:val="7C000845"/>
    <w:rsid w:val="7C014E34"/>
    <w:rsid w:val="7C0362E3"/>
    <w:rsid w:val="7C04234F"/>
    <w:rsid w:val="7C064A88"/>
    <w:rsid w:val="7C07331C"/>
    <w:rsid w:val="7C0742FE"/>
    <w:rsid w:val="7C081FBB"/>
    <w:rsid w:val="7C090256"/>
    <w:rsid w:val="7C0933E4"/>
    <w:rsid w:val="7C095548"/>
    <w:rsid w:val="7C0A652A"/>
    <w:rsid w:val="7C0C0A31"/>
    <w:rsid w:val="7C0C4D1D"/>
    <w:rsid w:val="7C0D68D3"/>
    <w:rsid w:val="7C0E3AED"/>
    <w:rsid w:val="7C105116"/>
    <w:rsid w:val="7C106B54"/>
    <w:rsid w:val="7C110026"/>
    <w:rsid w:val="7C121A0E"/>
    <w:rsid w:val="7C121C14"/>
    <w:rsid w:val="7C122B8B"/>
    <w:rsid w:val="7C132D7D"/>
    <w:rsid w:val="7C142DB9"/>
    <w:rsid w:val="7C175EF6"/>
    <w:rsid w:val="7C1A70CE"/>
    <w:rsid w:val="7C1C0647"/>
    <w:rsid w:val="7C1C38AD"/>
    <w:rsid w:val="7C1E01D6"/>
    <w:rsid w:val="7C1F0A6D"/>
    <w:rsid w:val="7C1F275F"/>
    <w:rsid w:val="7C1F350C"/>
    <w:rsid w:val="7C1F5E30"/>
    <w:rsid w:val="7C237B04"/>
    <w:rsid w:val="7C261715"/>
    <w:rsid w:val="7C2635E2"/>
    <w:rsid w:val="7C266551"/>
    <w:rsid w:val="7C2677DD"/>
    <w:rsid w:val="7C280203"/>
    <w:rsid w:val="7C281F08"/>
    <w:rsid w:val="7C28575B"/>
    <w:rsid w:val="7C2A2019"/>
    <w:rsid w:val="7C2C4136"/>
    <w:rsid w:val="7C2F78F2"/>
    <w:rsid w:val="7C3000C2"/>
    <w:rsid w:val="7C312B32"/>
    <w:rsid w:val="7C332759"/>
    <w:rsid w:val="7C34586C"/>
    <w:rsid w:val="7C3544C1"/>
    <w:rsid w:val="7C35648F"/>
    <w:rsid w:val="7C357264"/>
    <w:rsid w:val="7C365CF1"/>
    <w:rsid w:val="7C3733C0"/>
    <w:rsid w:val="7C375B7E"/>
    <w:rsid w:val="7C3779E9"/>
    <w:rsid w:val="7C380C3D"/>
    <w:rsid w:val="7C3917BC"/>
    <w:rsid w:val="7C3B3A1C"/>
    <w:rsid w:val="7C3C010D"/>
    <w:rsid w:val="7C3D559D"/>
    <w:rsid w:val="7C413F35"/>
    <w:rsid w:val="7C417D04"/>
    <w:rsid w:val="7C43188B"/>
    <w:rsid w:val="7C440E4A"/>
    <w:rsid w:val="7C443318"/>
    <w:rsid w:val="7C445F6B"/>
    <w:rsid w:val="7C446F9F"/>
    <w:rsid w:val="7C45294F"/>
    <w:rsid w:val="7C457CA3"/>
    <w:rsid w:val="7C4821F2"/>
    <w:rsid w:val="7C490589"/>
    <w:rsid w:val="7C492337"/>
    <w:rsid w:val="7C4A0DEC"/>
    <w:rsid w:val="7C4B3FDF"/>
    <w:rsid w:val="7C4B63B7"/>
    <w:rsid w:val="7C4F582A"/>
    <w:rsid w:val="7C4F7185"/>
    <w:rsid w:val="7C50301D"/>
    <w:rsid w:val="7C52743D"/>
    <w:rsid w:val="7C5326C5"/>
    <w:rsid w:val="7C53641B"/>
    <w:rsid w:val="7C537633"/>
    <w:rsid w:val="7C541DFE"/>
    <w:rsid w:val="7C58454B"/>
    <w:rsid w:val="7C595848"/>
    <w:rsid w:val="7C5C40BF"/>
    <w:rsid w:val="7C5C4760"/>
    <w:rsid w:val="7C5E5077"/>
    <w:rsid w:val="7C5E5DE2"/>
    <w:rsid w:val="7C6053A9"/>
    <w:rsid w:val="7C611615"/>
    <w:rsid w:val="7C627441"/>
    <w:rsid w:val="7C63002F"/>
    <w:rsid w:val="7C644564"/>
    <w:rsid w:val="7C6462F1"/>
    <w:rsid w:val="7C655D5E"/>
    <w:rsid w:val="7C65756D"/>
    <w:rsid w:val="7C662EE9"/>
    <w:rsid w:val="7C666D8C"/>
    <w:rsid w:val="7C66738C"/>
    <w:rsid w:val="7C680B6E"/>
    <w:rsid w:val="7C69249E"/>
    <w:rsid w:val="7C6929D9"/>
    <w:rsid w:val="7C6B151F"/>
    <w:rsid w:val="7C6B637A"/>
    <w:rsid w:val="7C6D24C9"/>
    <w:rsid w:val="7C6E523C"/>
    <w:rsid w:val="7C6F4493"/>
    <w:rsid w:val="7C6F51AC"/>
    <w:rsid w:val="7C6F57E2"/>
    <w:rsid w:val="7C707274"/>
    <w:rsid w:val="7C710DC8"/>
    <w:rsid w:val="7C717994"/>
    <w:rsid w:val="7C723F3D"/>
    <w:rsid w:val="7C724DB1"/>
    <w:rsid w:val="7C736635"/>
    <w:rsid w:val="7C742918"/>
    <w:rsid w:val="7C74452E"/>
    <w:rsid w:val="7C765833"/>
    <w:rsid w:val="7C7702B3"/>
    <w:rsid w:val="7C774877"/>
    <w:rsid w:val="7C784619"/>
    <w:rsid w:val="7C794D48"/>
    <w:rsid w:val="7C7A6994"/>
    <w:rsid w:val="7C7C1983"/>
    <w:rsid w:val="7C7C3C7B"/>
    <w:rsid w:val="7C7C7301"/>
    <w:rsid w:val="7C7E6484"/>
    <w:rsid w:val="7C7F18AF"/>
    <w:rsid w:val="7C80267F"/>
    <w:rsid w:val="7C803A9C"/>
    <w:rsid w:val="7C80494F"/>
    <w:rsid w:val="7C812A89"/>
    <w:rsid w:val="7C815889"/>
    <w:rsid w:val="7C826242"/>
    <w:rsid w:val="7C847C5A"/>
    <w:rsid w:val="7C8546B1"/>
    <w:rsid w:val="7C85533B"/>
    <w:rsid w:val="7C855A65"/>
    <w:rsid w:val="7C8664D5"/>
    <w:rsid w:val="7C8778FD"/>
    <w:rsid w:val="7C88221D"/>
    <w:rsid w:val="7C8A28F3"/>
    <w:rsid w:val="7C8B294F"/>
    <w:rsid w:val="7C8B6DF3"/>
    <w:rsid w:val="7C8C11DE"/>
    <w:rsid w:val="7C8D4919"/>
    <w:rsid w:val="7C8E678F"/>
    <w:rsid w:val="7C8F48DB"/>
    <w:rsid w:val="7C93654A"/>
    <w:rsid w:val="7C937D4D"/>
    <w:rsid w:val="7C937FD9"/>
    <w:rsid w:val="7C956FCE"/>
    <w:rsid w:val="7C976C38"/>
    <w:rsid w:val="7C980FFB"/>
    <w:rsid w:val="7C98391B"/>
    <w:rsid w:val="7C99056D"/>
    <w:rsid w:val="7C991510"/>
    <w:rsid w:val="7C997888"/>
    <w:rsid w:val="7C9A7CF6"/>
    <w:rsid w:val="7C9B4E52"/>
    <w:rsid w:val="7C9B5288"/>
    <w:rsid w:val="7C9B56D7"/>
    <w:rsid w:val="7C9C3859"/>
    <w:rsid w:val="7C9F0FB7"/>
    <w:rsid w:val="7C9F7014"/>
    <w:rsid w:val="7CA01C36"/>
    <w:rsid w:val="7CA042FE"/>
    <w:rsid w:val="7CA0464C"/>
    <w:rsid w:val="7CA449F6"/>
    <w:rsid w:val="7CA468AE"/>
    <w:rsid w:val="7CA51C63"/>
    <w:rsid w:val="7CA5618B"/>
    <w:rsid w:val="7CA83501"/>
    <w:rsid w:val="7CAA0736"/>
    <w:rsid w:val="7CAA3B07"/>
    <w:rsid w:val="7CAA3BBD"/>
    <w:rsid w:val="7CAA7E5F"/>
    <w:rsid w:val="7CAB45B0"/>
    <w:rsid w:val="7CAB6B0B"/>
    <w:rsid w:val="7CAD5CB9"/>
    <w:rsid w:val="7CAE4AC4"/>
    <w:rsid w:val="7CB07A22"/>
    <w:rsid w:val="7CB33237"/>
    <w:rsid w:val="7CB34AF9"/>
    <w:rsid w:val="7CB41F93"/>
    <w:rsid w:val="7CB4772E"/>
    <w:rsid w:val="7CB5571E"/>
    <w:rsid w:val="7CB5646B"/>
    <w:rsid w:val="7CB60617"/>
    <w:rsid w:val="7CB62DA2"/>
    <w:rsid w:val="7CB65F63"/>
    <w:rsid w:val="7CB71996"/>
    <w:rsid w:val="7CB73744"/>
    <w:rsid w:val="7CB8058E"/>
    <w:rsid w:val="7CB805CF"/>
    <w:rsid w:val="7CB820F7"/>
    <w:rsid w:val="7CB96BFB"/>
    <w:rsid w:val="7CBC2048"/>
    <w:rsid w:val="7CBD0CC2"/>
    <w:rsid w:val="7CBD6F32"/>
    <w:rsid w:val="7CBF21A0"/>
    <w:rsid w:val="7CC071B7"/>
    <w:rsid w:val="7CC10F1E"/>
    <w:rsid w:val="7CC1177A"/>
    <w:rsid w:val="7CC1243F"/>
    <w:rsid w:val="7CC2297D"/>
    <w:rsid w:val="7CC24F7F"/>
    <w:rsid w:val="7CC26085"/>
    <w:rsid w:val="7CC3033B"/>
    <w:rsid w:val="7CC34D55"/>
    <w:rsid w:val="7CC41F7F"/>
    <w:rsid w:val="7CC57D4A"/>
    <w:rsid w:val="7CC72903"/>
    <w:rsid w:val="7CC736E9"/>
    <w:rsid w:val="7CC80D9C"/>
    <w:rsid w:val="7CC8701A"/>
    <w:rsid w:val="7CC92395"/>
    <w:rsid w:val="7CC941E6"/>
    <w:rsid w:val="7CCA16C9"/>
    <w:rsid w:val="7CCD7802"/>
    <w:rsid w:val="7CCF46AA"/>
    <w:rsid w:val="7CCF577F"/>
    <w:rsid w:val="7CD16109"/>
    <w:rsid w:val="7CD24DE6"/>
    <w:rsid w:val="7CD658F3"/>
    <w:rsid w:val="7CD82038"/>
    <w:rsid w:val="7CD833EB"/>
    <w:rsid w:val="7CD91503"/>
    <w:rsid w:val="7CDA7FEC"/>
    <w:rsid w:val="7CDC13FD"/>
    <w:rsid w:val="7CDC702D"/>
    <w:rsid w:val="7CE22D71"/>
    <w:rsid w:val="7CE32B26"/>
    <w:rsid w:val="7CE555B5"/>
    <w:rsid w:val="7CE86204"/>
    <w:rsid w:val="7CE9239A"/>
    <w:rsid w:val="7CE9753D"/>
    <w:rsid w:val="7CEA5563"/>
    <w:rsid w:val="7CED0BFF"/>
    <w:rsid w:val="7CED360A"/>
    <w:rsid w:val="7CED395C"/>
    <w:rsid w:val="7CF015C2"/>
    <w:rsid w:val="7CF14F79"/>
    <w:rsid w:val="7CF230ED"/>
    <w:rsid w:val="7CF359D0"/>
    <w:rsid w:val="7CF35BCF"/>
    <w:rsid w:val="7CF37B4B"/>
    <w:rsid w:val="7CF46746"/>
    <w:rsid w:val="7CF76237"/>
    <w:rsid w:val="7CF77FE5"/>
    <w:rsid w:val="7CFA3A06"/>
    <w:rsid w:val="7CFA705C"/>
    <w:rsid w:val="7CFB1883"/>
    <w:rsid w:val="7CFB3EE5"/>
    <w:rsid w:val="7CFB7BB4"/>
    <w:rsid w:val="7CFC0956"/>
    <w:rsid w:val="7CFC55FB"/>
    <w:rsid w:val="7CFD7A30"/>
    <w:rsid w:val="7CFE1373"/>
    <w:rsid w:val="7CFE2601"/>
    <w:rsid w:val="7CFE363C"/>
    <w:rsid w:val="7D012F41"/>
    <w:rsid w:val="7D027B31"/>
    <w:rsid w:val="7D034BDB"/>
    <w:rsid w:val="7D057E41"/>
    <w:rsid w:val="7D067445"/>
    <w:rsid w:val="7D08027C"/>
    <w:rsid w:val="7D0A22F4"/>
    <w:rsid w:val="7D0A5EE6"/>
    <w:rsid w:val="7D0A6053"/>
    <w:rsid w:val="7D0A7D18"/>
    <w:rsid w:val="7D0B4279"/>
    <w:rsid w:val="7D0B70B5"/>
    <w:rsid w:val="7D0C6784"/>
    <w:rsid w:val="7D0D15B6"/>
    <w:rsid w:val="7D0E117D"/>
    <w:rsid w:val="7D0F532E"/>
    <w:rsid w:val="7D0F67D7"/>
    <w:rsid w:val="7D103BA4"/>
    <w:rsid w:val="7D103F2E"/>
    <w:rsid w:val="7D11228E"/>
    <w:rsid w:val="7D1141ED"/>
    <w:rsid w:val="7D151A1A"/>
    <w:rsid w:val="7D165730"/>
    <w:rsid w:val="7D1739BB"/>
    <w:rsid w:val="7D184638"/>
    <w:rsid w:val="7D187858"/>
    <w:rsid w:val="7D194C57"/>
    <w:rsid w:val="7D1B72CD"/>
    <w:rsid w:val="7D1C4721"/>
    <w:rsid w:val="7D1D472F"/>
    <w:rsid w:val="7D1E3617"/>
    <w:rsid w:val="7D1F32AC"/>
    <w:rsid w:val="7D20674C"/>
    <w:rsid w:val="7D22073F"/>
    <w:rsid w:val="7D242BDB"/>
    <w:rsid w:val="7D2439C3"/>
    <w:rsid w:val="7D2633D6"/>
    <w:rsid w:val="7D265D5A"/>
    <w:rsid w:val="7D27266E"/>
    <w:rsid w:val="7D273CDC"/>
    <w:rsid w:val="7D285C66"/>
    <w:rsid w:val="7D290720"/>
    <w:rsid w:val="7D292894"/>
    <w:rsid w:val="7D2A2542"/>
    <w:rsid w:val="7D2A5E77"/>
    <w:rsid w:val="7D2B70C2"/>
    <w:rsid w:val="7D2C004B"/>
    <w:rsid w:val="7D2C45F5"/>
    <w:rsid w:val="7D2C4C65"/>
    <w:rsid w:val="7D2C6836"/>
    <w:rsid w:val="7D2C7C8E"/>
    <w:rsid w:val="7D2D31ED"/>
    <w:rsid w:val="7D2E0B72"/>
    <w:rsid w:val="7D2E53CE"/>
    <w:rsid w:val="7D2E7F9F"/>
    <w:rsid w:val="7D2F440A"/>
    <w:rsid w:val="7D3501DD"/>
    <w:rsid w:val="7D36024B"/>
    <w:rsid w:val="7D364FB1"/>
    <w:rsid w:val="7D36644F"/>
    <w:rsid w:val="7D3812EA"/>
    <w:rsid w:val="7D3A53D9"/>
    <w:rsid w:val="7D3A65CE"/>
    <w:rsid w:val="7D3B0AF2"/>
    <w:rsid w:val="7D3B6123"/>
    <w:rsid w:val="7D3B6786"/>
    <w:rsid w:val="7D3C56F0"/>
    <w:rsid w:val="7D3F48F2"/>
    <w:rsid w:val="7D40396D"/>
    <w:rsid w:val="7D407301"/>
    <w:rsid w:val="7D41165F"/>
    <w:rsid w:val="7D4124FE"/>
    <w:rsid w:val="7D423956"/>
    <w:rsid w:val="7D4301D5"/>
    <w:rsid w:val="7D4476CE"/>
    <w:rsid w:val="7D471493"/>
    <w:rsid w:val="7D473DD3"/>
    <w:rsid w:val="7D4913DD"/>
    <w:rsid w:val="7D491FD6"/>
    <w:rsid w:val="7D49229B"/>
    <w:rsid w:val="7D49534C"/>
    <w:rsid w:val="7D49594F"/>
    <w:rsid w:val="7D4A6009"/>
    <w:rsid w:val="7D4B7464"/>
    <w:rsid w:val="7D4E40A8"/>
    <w:rsid w:val="7D50450E"/>
    <w:rsid w:val="7D5101F6"/>
    <w:rsid w:val="7D515947"/>
    <w:rsid w:val="7D517499"/>
    <w:rsid w:val="7D53186E"/>
    <w:rsid w:val="7D554497"/>
    <w:rsid w:val="7D5660F4"/>
    <w:rsid w:val="7D5738F9"/>
    <w:rsid w:val="7D57427A"/>
    <w:rsid w:val="7D586CD5"/>
    <w:rsid w:val="7D5B7641"/>
    <w:rsid w:val="7D5D0AF4"/>
    <w:rsid w:val="7D5E5C0B"/>
    <w:rsid w:val="7D5E7030"/>
    <w:rsid w:val="7D5F41FC"/>
    <w:rsid w:val="7D605B8A"/>
    <w:rsid w:val="7D6142F2"/>
    <w:rsid w:val="7D6269A0"/>
    <w:rsid w:val="7D641E62"/>
    <w:rsid w:val="7D6531A0"/>
    <w:rsid w:val="7D655BE2"/>
    <w:rsid w:val="7D6733BC"/>
    <w:rsid w:val="7D676F18"/>
    <w:rsid w:val="7D691862"/>
    <w:rsid w:val="7D696831"/>
    <w:rsid w:val="7D6A7B1D"/>
    <w:rsid w:val="7D6B382F"/>
    <w:rsid w:val="7D6B66AB"/>
    <w:rsid w:val="7D7004C3"/>
    <w:rsid w:val="7D7007D8"/>
    <w:rsid w:val="7D704B4B"/>
    <w:rsid w:val="7D71188D"/>
    <w:rsid w:val="7D7358BD"/>
    <w:rsid w:val="7D742606"/>
    <w:rsid w:val="7D773F74"/>
    <w:rsid w:val="7D7817E9"/>
    <w:rsid w:val="7D782488"/>
    <w:rsid w:val="7D7C552A"/>
    <w:rsid w:val="7D7D4684"/>
    <w:rsid w:val="7D7E6F49"/>
    <w:rsid w:val="7D7E78BD"/>
    <w:rsid w:val="7D7F0706"/>
    <w:rsid w:val="7D802AEF"/>
    <w:rsid w:val="7D80675E"/>
    <w:rsid w:val="7D807502"/>
    <w:rsid w:val="7D810BC2"/>
    <w:rsid w:val="7D821FA4"/>
    <w:rsid w:val="7D825AAD"/>
    <w:rsid w:val="7D8333BA"/>
    <w:rsid w:val="7D83603F"/>
    <w:rsid w:val="7D862897"/>
    <w:rsid w:val="7D880CE5"/>
    <w:rsid w:val="7D8858C2"/>
    <w:rsid w:val="7D890FA9"/>
    <w:rsid w:val="7D8E17FE"/>
    <w:rsid w:val="7D8E7F71"/>
    <w:rsid w:val="7D907198"/>
    <w:rsid w:val="7D912DEC"/>
    <w:rsid w:val="7D932538"/>
    <w:rsid w:val="7D9341B1"/>
    <w:rsid w:val="7D9617B8"/>
    <w:rsid w:val="7D9662B8"/>
    <w:rsid w:val="7D972F26"/>
    <w:rsid w:val="7D9817C8"/>
    <w:rsid w:val="7D984704"/>
    <w:rsid w:val="7D985324"/>
    <w:rsid w:val="7D985ACE"/>
    <w:rsid w:val="7D9B6A48"/>
    <w:rsid w:val="7D9B762C"/>
    <w:rsid w:val="7D9C25AB"/>
    <w:rsid w:val="7D9D0B8C"/>
    <w:rsid w:val="7D9E0366"/>
    <w:rsid w:val="7D9F4FAC"/>
    <w:rsid w:val="7D9F66B2"/>
    <w:rsid w:val="7DA27C62"/>
    <w:rsid w:val="7DA50800"/>
    <w:rsid w:val="7DA52BC9"/>
    <w:rsid w:val="7DA53AF8"/>
    <w:rsid w:val="7DA57AB6"/>
    <w:rsid w:val="7DA63EE4"/>
    <w:rsid w:val="7DA91285"/>
    <w:rsid w:val="7DAA3B0A"/>
    <w:rsid w:val="7DAE6CC6"/>
    <w:rsid w:val="7DAF16ED"/>
    <w:rsid w:val="7DAF266D"/>
    <w:rsid w:val="7DAF3453"/>
    <w:rsid w:val="7DB157FA"/>
    <w:rsid w:val="7DB25219"/>
    <w:rsid w:val="7DB33A8E"/>
    <w:rsid w:val="7DB36B21"/>
    <w:rsid w:val="7DB457A9"/>
    <w:rsid w:val="7DB52836"/>
    <w:rsid w:val="7DB55DC9"/>
    <w:rsid w:val="7DB62230"/>
    <w:rsid w:val="7DB628B1"/>
    <w:rsid w:val="7DB651BE"/>
    <w:rsid w:val="7DB77972"/>
    <w:rsid w:val="7DB81E6A"/>
    <w:rsid w:val="7DB85E6C"/>
    <w:rsid w:val="7DB86548"/>
    <w:rsid w:val="7DBA6B66"/>
    <w:rsid w:val="7DBD2E9A"/>
    <w:rsid w:val="7DBE4C1D"/>
    <w:rsid w:val="7DBF3E70"/>
    <w:rsid w:val="7DBF4391"/>
    <w:rsid w:val="7DC029C9"/>
    <w:rsid w:val="7DC165A2"/>
    <w:rsid w:val="7DC266CD"/>
    <w:rsid w:val="7DC26844"/>
    <w:rsid w:val="7DC30681"/>
    <w:rsid w:val="7DC32492"/>
    <w:rsid w:val="7DC32703"/>
    <w:rsid w:val="7DC377D8"/>
    <w:rsid w:val="7DC446AD"/>
    <w:rsid w:val="7DC600E3"/>
    <w:rsid w:val="7DC6373B"/>
    <w:rsid w:val="7DC7089B"/>
    <w:rsid w:val="7DC84D08"/>
    <w:rsid w:val="7DC915D6"/>
    <w:rsid w:val="7DCA095D"/>
    <w:rsid w:val="7DCA74A7"/>
    <w:rsid w:val="7DCB1FD7"/>
    <w:rsid w:val="7DCB55B3"/>
    <w:rsid w:val="7DCB5C21"/>
    <w:rsid w:val="7DCC327D"/>
    <w:rsid w:val="7DCC6151"/>
    <w:rsid w:val="7DCD5BEB"/>
    <w:rsid w:val="7DD05622"/>
    <w:rsid w:val="7DD1386D"/>
    <w:rsid w:val="7DD20DA0"/>
    <w:rsid w:val="7DD547CA"/>
    <w:rsid w:val="7DD54A45"/>
    <w:rsid w:val="7DD54E05"/>
    <w:rsid w:val="7DD67F2F"/>
    <w:rsid w:val="7DDA3B09"/>
    <w:rsid w:val="7DDC7906"/>
    <w:rsid w:val="7DDE49B7"/>
    <w:rsid w:val="7DDE5692"/>
    <w:rsid w:val="7DE05888"/>
    <w:rsid w:val="7DE1087C"/>
    <w:rsid w:val="7DE177C4"/>
    <w:rsid w:val="7DE246AB"/>
    <w:rsid w:val="7DE2739D"/>
    <w:rsid w:val="7DE467BB"/>
    <w:rsid w:val="7DE70059"/>
    <w:rsid w:val="7DE721F0"/>
    <w:rsid w:val="7DE77E85"/>
    <w:rsid w:val="7DE82A78"/>
    <w:rsid w:val="7DE86D4F"/>
    <w:rsid w:val="7DEB5D9B"/>
    <w:rsid w:val="7DEC53A6"/>
    <w:rsid w:val="7DED1B13"/>
    <w:rsid w:val="7DEF6617"/>
    <w:rsid w:val="7DF00BFA"/>
    <w:rsid w:val="7DF04DB9"/>
    <w:rsid w:val="7DF05160"/>
    <w:rsid w:val="7DF11B68"/>
    <w:rsid w:val="7DF26E3A"/>
    <w:rsid w:val="7DF3415D"/>
    <w:rsid w:val="7DF37951"/>
    <w:rsid w:val="7DF41D89"/>
    <w:rsid w:val="7DF74B90"/>
    <w:rsid w:val="7DF752E5"/>
    <w:rsid w:val="7DF82266"/>
    <w:rsid w:val="7DF85B8B"/>
    <w:rsid w:val="7DF92299"/>
    <w:rsid w:val="7DF92E0A"/>
    <w:rsid w:val="7DFA62FA"/>
    <w:rsid w:val="7DFB153C"/>
    <w:rsid w:val="7DFB778A"/>
    <w:rsid w:val="7DFC0C1A"/>
    <w:rsid w:val="7DFC5C50"/>
    <w:rsid w:val="7DFE0D56"/>
    <w:rsid w:val="7DFF67B3"/>
    <w:rsid w:val="7E01736D"/>
    <w:rsid w:val="7E02125E"/>
    <w:rsid w:val="7E0233EC"/>
    <w:rsid w:val="7E0311F1"/>
    <w:rsid w:val="7E031D2E"/>
    <w:rsid w:val="7E045A8F"/>
    <w:rsid w:val="7E056056"/>
    <w:rsid w:val="7E064983"/>
    <w:rsid w:val="7E067241"/>
    <w:rsid w:val="7E073C27"/>
    <w:rsid w:val="7E074257"/>
    <w:rsid w:val="7E084A8D"/>
    <w:rsid w:val="7E087209"/>
    <w:rsid w:val="7E09286B"/>
    <w:rsid w:val="7E094473"/>
    <w:rsid w:val="7E0975B0"/>
    <w:rsid w:val="7E0A6F12"/>
    <w:rsid w:val="7E0B1C13"/>
    <w:rsid w:val="7E0B5D1D"/>
    <w:rsid w:val="7E0B727F"/>
    <w:rsid w:val="7E0D0A3D"/>
    <w:rsid w:val="7E100C73"/>
    <w:rsid w:val="7E106464"/>
    <w:rsid w:val="7E1121A5"/>
    <w:rsid w:val="7E114A86"/>
    <w:rsid w:val="7E1427D6"/>
    <w:rsid w:val="7E152284"/>
    <w:rsid w:val="7E16235D"/>
    <w:rsid w:val="7E1637E3"/>
    <w:rsid w:val="7E164BBF"/>
    <w:rsid w:val="7E174841"/>
    <w:rsid w:val="7E1833F1"/>
    <w:rsid w:val="7E197CE3"/>
    <w:rsid w:val="7E1B60EC"/>
    <w:rsid w:val="7E1B6A4F"/>
    <w:rsid w:val="7E1C3682"/>
    <w:rsid w:val="7E1C633B"/>
    <w:rsid w:val="7E1D0410"/>
    <w:rsid w:val="7E1D3F81"/>
    <w:rsid w:val="7E1D4B6C"/>
    <w:rsid w:val="7E1F5511"/>
    <w:rsid w:val="7E1F5C37"/>
    <w:rsid w:val="7E200105"/>
    <w:rsid w:val="7E204D29"/>
    <w:rsid w:val="7E210721"/>
    <w:rsid w:val="7E21356B"/>
    <w:rsid w:val="7E227FFA"/>
    <w:rsid w:val="7E232B02"/>
    <w:rsid w:val="7E24305B"/>
    <w:rsid w:val="7E245210"/>
    <w:rsid w:val="7E247357"/>
    <w:rsid w:val="7E250B22"/>
    <w:rsid w:val="7E254463"/>
    <w:rsid w:val="7E271BFD"/>
    <w:rsid w:val="7E286F6A"/>
    <w:rsid w:val="7E2B194A"/>
    <w:rsid w:val="7E2D0162"/>
    <w:rsid w:val="7E2D63B4"/>
    <w:rsid w:val="7E2D6A5C"/>
    <w:rsid w:val="7E2E2FED"/>
    <w:rsid w:val="7E2E68A9"/>
    <w:rsid w:val="7E2F04C1"/>
    <w:rsid w:val="7E31265F"/>
    <w:rsid w:val="7E330F9F"/>
    <w:rsid w:val="7E332697"/>
    <w:rsid w:val="7E341D9C"/>
    <w:rsid w:val="7E34384C"/>
    <w:rsid w:val="7E3461CD"/>
    <w:rsid w:val="7E347D78"/>
    <w:rsid w:val="7E3531F4"/>
    <w:rsid w:val="7E353DF6"/>
    <w:rsid w:val="7E376075"/>
    <w:rsid w:val="7E376277"/>
    <w:rsid w:val="7E3808B5"/>
    <w:rsid w:val="7E3852E3"/>
    <w:rsid w:val="7E386B07"/>
    <w:rsid w:val="7E396204"/>
    <w:rsid w:val="7E3A462D"/>
    <w:rsid w:val="7E3C2153"/>
    <w:rsid w:val="7E3F0E27"/>
    <w:rsid w:val="7E3F1920"/>
    <w:rsid w:val="7E3F2705"/>
    <w:rsid w:val="7E412340"/>
    <w:rsid w:val="7E4126EB"/>
    <w:rsid w:val="7E412B19"/>
    <w:rsid w:val="7E415954"/>
    <w:rsid w:val="7E417769"/>
    <w:rsid w:val="7E455322"/>
    <w:rsid w:val="7E486D4A"/>
    <w:rsid w:val="7E494870"/>
    <w:rsid w:val="7E4D5557"/>
    <w:rsid w:val="7E4E1E86"/>
    <w:rsid w:val="7E4E5490"/>
    <w:rsid w:val="7E4E602F"/>
    <w:rsid w:val="7E4E60F9"/>
    <w:rsid w:val="7E500751"/>
    <w:rsid w:val="7E503DB0"/>
    <w:rsid w:val="7E5072E9"/>
    <w:rsid w:val="7E51336F"/>
    <w:rsid w:val="7E527528"/>
    <w:rsid w:val="7E533FE2"/>
    <w:rsid w:val="7E5476C8"/>
    <w:rsid w:val="7E560F25"/>
    <w:rsid w:val="7E57523F"/>
    <w:rsid w:val="7E592370"/>
    <w:rsid w:val="7E5A0955"/>
    <w:rsid w:val="7E5C7C58"/>
    <w:rsid w:val="7E5D74F0"/>
    <w:rsid w:val="7E5E3B8B"/>
    <w:rsid w:val="7E5E6E19"/>
    <w:rsid w:val="7E5F7095"/>
    <w:rsid w:val="7E62307D"/>
    <w:rsid w:val="7E633BD8"/>
    <w:rsid w:val="7E645D4D"/>
    <w:rsid w:val="7E6462BD"/>
    <w:rsid w:val="7E671C3D"/>
    <w:rsid w:val="7E683B39"/>
    <w:rsid w:val="7E6A36E6"/>
    <w:rsid w:val="7E6B36D0"/>
    <w:rsid w:val="7E6D67B0"/>
    <w:rsid w:val="7E6E2528"/>
    <w:rsid w:val="7E6F0F3C"/>
    <w:rsid w:val="7E7222F3"/>
    <w:rsid w:val="7E723FFE"/>
    <w:rsid w:val="7E726418"/>
    <w:rsid w:val="7E734696"/>
    <w:rsid w:val="7E7538B7"/>
    <w:rsid w:val="7E756E97"/>
    <w:rsid w:val="7E760FA7"/>
    <w:rsid w:val="7E77378E"/>
    <w:rsid w:val="7E784954"/>
    <w:rsid w:val="7E795D06"/>
    <w:rsid w:val="7E7B0F60"/>
    <w:rsid w:val="7E7C096F"/>
    <w:rsid w:val="7E7C24E7"/>
    <w:rsid w:val="7E7C2E97"/>
    <w:rsid w:val="7E7F1C99"/>
    <w:rsid w:val="7E7F4735"/>
    <w:rsid w:val="7E7F7F5C"/>
    <w:rsid w:val="7E806CD3"/>
    <w:rsid w:val="7E821E09"/>
    <w:rsid w:val="7E843AFA"/>
    <w:rsid w:val="7E847381"/>
    <w:rsid w:val="7E8504EF"/>
    <w:rsid w:val="7E8603E1"/>
    <w:rsid w:val="7E8639A8"/>
    <w:rsid w:val="7E880BE8"/>
    <w:rsid w:val="7E894486"/>
    <w:rsid w:val="7E8A1D6F"/>
    <w:rsid w:val="7E8E6727"/>
    <w:rsid w:val="7E8F7E9B"/>
    <w:rsid w:val="7E903C9D"/>
    <w:rsid w:val="7E905F74"/>
    <w:rsid w:val="7E9159D3"/>
    <w:rsid w:val="7E926802"/>
    <w:rsid w:val="7E935CDA"/>
    <w:rsid w:val="7E9373D5"/>
    <w:rsid w:val="7E9428CD"/>
    <w:rsid w:val="7E953A63"/>
    <w:rsid w:val="7E955D07"/>
    <w:rsid w:val="7E965662"/>
    <w:rsid w:val="7E970BA9"/>
    <w:rsid w:val="7E984051"/>
    <w:rsid w:val="7E98471A"/>
    <w:rsid w:val="7E996D13"/>
    <w:rsid w:val="7E9A5B7C"/>
    <w:rsid w:val="7E9A7DBC"/>
    <w:rsid w:val="7E9B0485"/>
    <w:rsid w:val="7E9C4EDE"/>
    <w:rsid w:val="7E9C6D61"/>
    <w:rsid w:val="7E9D3653"/>
    <w:rsid w:val="7E9E01CD"/>
    <w:rsid w:val="7E9E23D4"/>
    <w:rsid w:val="7E9E544A"/>
    <w:rsid w:val="7E9E7F71"/>
    <w:rsid w:val="7EA06B86"/>
    <w:rsid w:val="7EA07388"/>
    <w:rsid w:val="7EA30424"/>
    <w:rsid w:val="7EA36676"/>
    <w:rsid w:val="7EA40164"/>
    <w:rsid w:val="7EA41343"/>
    <w:rsid w:val="7EA44657"/>
    <w:rsid w:val="7EA64A67"/>
    <w:rsid w:val="7EA65B92"/>
    <w:rsid w:val="7EA67C49"/>
    <w:rsid w:val="7EA70340"/>
    <w:rsid w:val="7EA777DF"/>
    <w:rsid w:val="7EAE1AB0"/>
    <w:rsid w:val="7EAE62A1"/>
    <w:rsid w:val="7EAE72BA"/>
    <w:rsid w:val="7EAE75E1"/>
    <w:rsid w:val="7EAF2602"/>
    <w:rsid w:val="7EAF5A29"/>
    <w:rsid w:val="7EAF5B93"/>
    <w:rsid w:val="7EAF698D"/>
    <w:rsid w:val="7EB0785F"/>
    <w:rsid w:val="7EB34038"/>
    <w:rsid w:val="7EB51F05"/>
    <w:rsid w:val="7EB605AF"/>
    <w:rsid w:val="7EB73ECF"/>
    <w:rsid w:val="7EB752DD"/>
    <w:rsid w:val="7EB947D5"/>
    <w:rsid w:val="7EB96EE8"/>
    <w:rsid w:val="7EBA5454"/>
    <w:rsid w:val="7EBE749F"/>
    <w:rsid w:val="7EBE74E3"/>
    <w:rsid w:val="7EC0639D"/>
    <w:rsid w:val="7EC15AF5"/>
    <w:rsid w:val="7EC23926"/>
    <w:rsid w:val="7EC35EBD"/>
    <w:rsid w:val="7EC41B32"/>
    <w:rsid w:val="7EC423A1"/>
    <w:rsid w:val="7EC470A2"/>
    <w:rsid w:val="7EC54364"/>
    <w:rsid w:val="7EC64112"/>
    <w:rsid w:val="7EC7623E"/>
    <w:rsid w:val="7EC86105"/>
    <w:rsid w:val="7EC87E8B"/>
    <w:rsid w:val="7ECA5E91"/>
    <w:rsid w:val="7ECB248A"/>
    <w:rsid w:val="7ECB4910"/>
    <w:rsid w:val="7ECB618F"/>
    <w:rsid w:val="7ECC12E9"/>
    <w:rsid w:val="7ED039F9"/>
    <w:rsid w:val="7ED208DE"/>
    <w:rsid w:val="7ED24865"/>
    <w:rsid w:val="7ED248F7"/>
    <w:rsid w:val="7ED3091C"/>
    <w:rsid w:val="7ED3484C"/>
    <w:rsid w:val="7ED3549E"/>
    <w:rsid w:val="7ED3710D"/>
    <w:rsid w:val="7ED44A81"/>
    <w:rsid w:val="7ED4682F"/>
    <w:rsid w:val="7ED6454E"/>
    <w:rsid w:val="7ED64BD5"/>
    <w:rsid w:val="7ED72E9F"/>
    <w:rsid w:val="7ED74307"/>
    <w:rsid w:val="7ED762E2"/>
    <w:rsid w:val="7ED807B1"/>
    <w:rsid w:val="7EDA18B9"/>
    <w:rsid w:val="7EDD348C"/>
    <w:rsid w:val="7EE04732"/>
    <w:rsid w:val="7EE07A9C"/>
    <w:rsid w:val="7EE2767C"/>
    <w:rsid w:val="7EE33E35"/>
    <w:rsid w:val="7EE355DD"/>
    <w:rsid w:val="7EE53852"/>
    <w:rsid w:val="7EE8052D"/>
    <w:rsid w:val="7EE84089"/>
    <w:rsid w:val="7EE86027"/>
    <w:rsid w:val="7EEC2D89"/>
    <w:rsid w:val="7EEC4B95"/>
    <w:rsid w:val="7EED1559"/>
    <w:rsid w:val="7EEF2EF0"/>
    <w:rsid w:val="7EF11EC3"/>
    <w:rsid w:val="7EF141D8"/>
    <w:rsid w:val="7EF1545B"/>
    <w:rsid w:val="7EF20EF3"/>
    <w:rsid w:val="7EF23159"/>
    <w:rsid w:val="7EF26089"/>
    <w:rsid w:val="7EF33E90"/>
    <w:rsid w:val="7EF5235D"/>
    <w:rsid w:val="7EF604DE"/>
    <w:rsid w:val="7EF66804"/>
    <w:rsid w:val="7EF86055"/>
    <w:rsid w:val="7EF939F5"/>
    <w:rsid w:val="7EF96642"/>
    <w:rsid w:val="7EFC0998"/>
    <w:rsid w:val="7EFC6F9D"/>
    <w:rsid w:val="7EFD4725"/>
    <w:rsid w:val="7EFF1C16"/>
    <w:rsid w:val="7EFF7750"/>
    <w:rsid w:val="7F000275"/>
    <w:rsid w:val="7F004BB7"/>
    <w:rsid w:val="7F015D41"/>
    <w:rsid w:val="7F046EEC"/>
    <w:rsid w:val="7F0614FB"/>
    <w:rsid w:val="7F066FE0"/>
    <w:rsid w:val="7F07264C"/>
    <w:rsid w:val="7F076204"/>
    <w:rsid w:val="7F0D2370"/>
    <w:rsid w:val="7F0E15C3"/>
    <w:rsid w:val="7F0E2B74"/>
    <w:rsid w:val="7F0E6953"/>
    <w:rsid w:val="7F10237D"/>
    <w:rsid w:val="7F107945"/>
    <w:rsid w:val="7F111831"/>
    <w:rsid w:val="7F142D95"/>
    <w:rsid w:val="7F163A09"/>
    <w:rsid w:val="7F17164A"/>
    <w:rsid w:val="7F176A9D"/>
    <w:rsid w:val="7F1874C0"/>
    <w:rsid w:val="7F190498"/>
    <w:rsid w:val="7F1959E0"/>
    <w:rsid w:val="7F1A529F"/>
    <w:rsid w:val="7F1A6186"/>
    <w:rsid w:val="7F1C7029"/>
    <w:rsid w:val="7F1D340D"/>
    <w:rsid w:val="7F1E5CFC"/>
    <w:rsid w:val="7F1E6224"/>
    <w:rsid w:val="7F1F382B"/>
    <w:rsid w:val="7F203E46"/>
    <w:rsid w:val="7F207FF9"/>
    <w:rsid w:val="7F210F90"/>
    <w:rsid w:val="7F22650B"/>
    <w:rsid w:val="7F230F6B"/>
    <w:rsid w:val="7F235E8C"/>
    <w:rsid w:val="7F242197"/>
    <w:rsid w:val="7F242CEB"/>
    <w:rsid w:val="7F263C77"/>
    <w:rsid w:val="7F29784B"/>
    <w:rsid w:val="7F2A46C9"/>
    <w:rsid w:val="7F2C13EE"/>
    <w:rsid w:val="7F2C4510"/>
    <w:rsid w:val="7F2C663B"/>
    <w:rsid w:val="7F2D5406"/>
    <w:rsid w:val="7F2D6E70"/>
    <w:rsid w:val="7F2D7CEE"/>
    <w:rsid w:val="7F2E677D"/>
    <w:rsid w:val="7F2F25C0"/>
    <w:rsid w:val="7F313C82"/>
    <w:rsid w:val="7F324AA5"/>
    <w:rsid w:val="7F355F95"/>
    <w:rsid w:val="7F37591B"/>
    <w:rsid w:val="7F38184C"/>
    <w:rsid w:val="7F382EE6"/>
    <w:rsid w:val="7F385010"/>
    <w:rsid w:val="7F390BA5"/>
    <w:rsid w:val="7F3A5E08"/>
    <w:rsid w:val="7F3B1687"/>
    <w:rsid w:val="7F3B1D0A"/>
    <w:rsid w:val="7F3B6DB1"/>
    <w:rsid w:val="7F3D3559"/>
    <w:rsid w:val="7F3D3593"/>
    <w:rsid w:val="7F3D5A7B"/>
    <w:rsid w:val="7F420A2D"/>
    <w:rsid w:val="7F4232B6"/>
    <w:rsid w:val="7F4252AD"/>
    <w:rsid w:val="7F427C9F"/>
    <w:rsid w:val="7F4444FB"/>
    <w:rsid w:val="7F445A11"/>
    <w:rsid w:val="7F455247"/>
    <w:rsid w:val="7F467B2C"/>
    <w:rsid w:val="7F4949E9"/>
    <w:rsid w:val="7F495F30"/>
    <w:rsid w:val="7F496220"/>
    <w:rsid w:val="7F4A08A0"/>
    <w:rsid w:val="7F4A1234"/>
    <w:rsid w:val="7F4A5589"/>
    <w:rsid w:val="7F4A5D59"/>
    <w:rsid w:val="7F4C286A"/>
    <w:rsid w:val="7F4D0AA3"/>
    <w:rsid w:val="7F4D213E"/>
    <w:rsid w:val="7F4E338A"/>
    <w:rsid w:val="7F4E65E2"/>
    <w:rsid w:val="7F4F3295"/>
    <w:rsid w:val="7F5006A0"/>
    <w:rsid w:val="7F511E48"/>
    <w:rsid w:val="7F52152E"/>
    <w:rsid w:val="7F5259A6"/>
    <w:rsid w:val="7F5355D5"/>
    <w:rsid w:val="7F544A84"/>
    <w:rsid w:val="7F561141"/>
    <w:rsid w:val="7F572FBC"/>
    <w:rsid w:val="7F581EA3"/>
    <w:rsid w:val="7F5827B1"/>
    <w:rsid w:val="7F5931D8"/>
    <w:rsid w:val="7F5B6A86"/>
    <w:rsid w:val="7F5C1736"/>
    <w:rsid w:val="7F5C44BA"/>
    <w:rsid w:val="7F5D0522"/>
    <w:rsid w:val="7F5E20C0"/>
    <w:rsid w:val="7F5E5203"/>
    <w:rsid w:val="7F602B43"/>
    <w:rsid w:val="7F6264B5"/>
    <w:rsid w:val="7F6452BC"/>
    <w:rsid w:val="7F645A05"/>
    <w:rsid w:val="7F647E5C"/>
    <w:rsid w:val="7F6532FF"/>
    <w:rsid w:val="7F66695E"/>
    <w:rsid w:val="7F682C72"/>
    <w:rsid w:val="7F682F7C"/>
    <w:rsid w:val="7F687AAC"/>
    <w:rsid w:val="7F693539"/>
    <w:rsid w:val="7F6A75B8"/>
    <w:rsid w:val="7F6D73F7"/>
    <w:rsid w:val="7F6E587B"/>
    <w:rsid w:val="7F6E6D71"/>
    <w:rsid w:val="7F710E17"/>
    <w:rsid w:val="7F7122D0"/>
    <w:rsid w:val="7F7174F5"/>
    <w:rsid w:val="7F724B08"/>
    <w:rsid w:val="7F742891"/>
    <w:rsid w:val="7F751340"/>
    <w:rsid w:val="7F7542D2"/>
    <w:rsid w:val="7F757445"/>
    <w:rsid w:val="7F761695"/>
    <w:rsid w:val="7F772E61"/>
    <w:rsid w:val="7F780FFA"/>
    <w:rsid w:val="7F793560"/>
    <w:rsid w:val="7F7A32BD"/>
    <w:rsid w:val="7F7A3A4D"/>
    <w:rsid w:val="7F7B1BEF"/>
    <w:rsid w:val="7F7C6A7B"/>
    <w:rsid w:val="7F7D3872"/>
    <w:rsid w:val="7F7D5A1C"/>
    <w:rsid w:val="7F7D5EAF"/>
    <w:rsid w:val="7F7E04DA"/>
    <w:rsid w:val="7F7E679B"/>
    <w:rsid w:val="7F8019DE"/>
    <w:rsid w:val="7F8244DD"/>
    <w:rsid w:val="7F83107B"/>
    <w:rsid w:val="7F84066C"/>
    <w:rsid w:val="7F84705A"/>
    <w:rsid w:val="7F85088C"/>
    <w:rsid w:val="7F85714B"/>
    <w:rsid w:val="7F857B2A"/>
    <w:rsid w:val="7F857ED6"/>
    <w:rsid w:val="7F870D9B"/>
    <w:rsid w:val="7F871AF4"/>
    <w:rsid w:val="7F881692"/>
    <w:rsid w:val="7F8816D6"/>
    <w:rsid w:val="7F882FC0"/>
    <w:rsid w:val="7F883474"/>
    <w:rsid w:val="7F8877D9"/>
    <w:rsid w:val="7F891928"/>
    <w:rsid w:val="7F893007"/>
    <w:rsid w:val="7F89761A"/>
    <w:rsid w:val="7F8A15E4"/>
    <w:rsid w:val="7F8A5140"/>
    <w:rsid w:val="7F8C2C66"/>
    <w:rsid w:val="7F8D6FFB"/>
    <w:rsid w:val="7F96404D"/>
    <w:rsid w:val="7F967F89"/>
    <w:rsid w:val="7F9801FA"/>
    <w:rsid w:val="7F982603"/>
    <w:rsid w:val="7F983D01"/>
    <w:rsid w:val="7F9B0868"/>
    <w:rsid w:val="7F9D4429"/>
    <w:rsid w:val="7F9D5B7B"/>
    <w:rsid w:val="7F9D6B41"/>
    <w:rsid w:val="7F9E0D75"/>
    <w:rsid w:val="7FA16B52"/>
    <w:rsid w:val="7FA2258B"/>
    <w:rsid w:val="7FA279DC"/>
    <w:rsid w:val="7FA27C5D"/>
    <w:rsid w:val="7FA451A1"/>
    <w:rsid w:val="7FA77AA0"/>
    <w:rsid w:val="7FA877D0"/>
    <w:rsid w:val="7FA9499F"/>
    <w:rsid w:val="7FAA57E2"/>
    <w:rsid w:val="7FAA6AC8"/>
    <w:rsid w:val="7FAF7F12"/>
    <w:rsid w:val="7FB0082D"/>
    <w:rsid w:val="7FB10148"/>
    <w:rsid w:val="7FB13EA4"/>
    <w:rsid w:val="7FB35FB4"/>
    <w:rsid w:val="7FB43091"/>
    <w:rsid w:val="7FB6390C"/>
    <w:rsid w:val="7FB702ED"/>
    <w:rsid w:val="7FB977D3"/>
    <w:rsid w:val="7FBA6FEC"/>
    <w:rsid w:val="7FBA7930"/>
    <w:rsid w:val="7FBB63C3"/>
    <w:rsid w:val="7FBC582C"/>
    <w:rsid w:val="7FBD3767"/>
    <w:rsid w:val="7FBF3440"/>
    <w:rsid w:val="7FBF3BA0"/>
    <w:rsid w:val="7FBF4F7F"/>
    <w:rsid w:val="7FBF657E"/>
    <w:rsid w:val="7FC137AD"/>
    <w:rsid w:val="7FC15A2F"/>
    <w:rsid w:val="7FC3034F"/>
    <w:rsid w:val="7FC32F20"/>
    <w:rsid w:val="7FC35842"/>
    <w:rsid w:val="7FC35B06"/>
    <w:rsid w:val="7FC42C6F"/>
    <w:rsid w:val="7FC46840"/>
    <w:rsid w:val="7FC543CA"/>
    <w:rsid w:val="7FC602E7"/>
    <w:rsid w:val="7FC73EE2"/>
    <w:rsid w:val="7FC80807"/>
    <w:rsid w:val="7FC841C1"/>
    <w:rsid w:val="7FC903DD"/>
    <w:rsid w:val="7FC946AA"/>
    <w:rsid w:val="7FCB1D93"/>
    <w:rsid w:val="7FCB21C3"/>
    <w:rsid w:val="7FCB5DA3"/>
    <w:rsid w:val="7FCC6956"/>
    <w:rsid w:val="7FCD72C3"/>
    <w:rsid w:val="7FCE409F"/>
    <w:rsid w:val="7FCE6E81"/>
    <w:rsid w:val="7FD0349B"/>
    <w:rsid w:val="7FD04735"/>
    <w:rsid w:val="7FD24E78"/>
    <w:rsid w:val="7FD27E44"/>
    <w:rsid w:val="7FD30648"/>
    <w:rsid w:val="7FD41633"/>
    <w:rsid w:val="7FD50AB1"/>
    <w:rsid w:val="7FD62919"/>
    <w:rsid w:val="7FD7002F"/>
    <w:rsid w:val="7FD810E5"/>
    <w:rsid w:val="7FD90015"/>
    <w:rsid w:val="7FDF6194"/>
    <w:rsid w:val="7FE05AD5"/>
    <w:rsid w:val="7FE27CE5"/>
    <w:rsid w:val="7FE472DC"/>
    <w:rsid w:val="7FE501B5"/>
    <w:rsid w:val="7FE56326"/>
    <w:rsid w:val="7FE72592"/>
    <w:rsid w:val="7FE84E45"/>
    <w:rsid w:val="7FE9206A"/>
    <w:rsid w:val="7FE94C3B"/>
    <w:rsid w:val="7FE95634"/>
    <w:rsid w:val="7FEA47F6"/>
    <w:rsid w:val="7FEA5394"/>
    <w:rsid w:val="7FEB3675"/>
    <w:rsid w:val="7FEF7655"/>
    <w:rsid w:val="7FF13411"/>
    <w:rsid w:val="7FF16A70"/>
    <w:rsid w:val="7FF401DB"/>
    <w:rsid w:val="7FF40953"/>
    <w:rsid w:val="7FF50432"/>
    <w:rsid w:val="7FF53ADA"/>
    <w:rsid w:val="7FF57DE7"/>
    <w:rsid w:val="7FF61159"/>
    <w:rsid w:val="7FF62D70"/>
    <w:rsid w:val="7FF66553"/>
    <w:rsid w:val="7FF81B5F"/>
    <w:rsid w:val="7FFA0334"/>
    <w:rsid w:val="7FFA0518"/>
    <w:rsid w:val="7FFC23FC"/>
    <w:rsid w:val="7FFC3356"/>
    <w:rsid w:val="7FFD3D0E"/>
    <w:rsid w:val="7FFE4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iPriority="99" w:name="Body Text 3"/>
    <w:lsdException w:qFormat="1"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37"/>
    <w:qFormat/>
    <w:uiPriority w:val="9"/>
    <w:pPr>
      <w:keepNext/>
      <w:keepLines/>
      <w:spacing w:before="340" w:after="330" w:line="576" w:lineRule="auto"/>
      <w:outlineLvl w:val="0"/>
    </w:pPr>
    <w:rPr>
      <w:b/>
      <w:kern w:val="44"/>
      <w:sz w:val="44"/>
    </w:rPr>
  </w:style>
  <w:style w:type="paragraph" w:styleId="3">
    <w:name w:val="heading 3"/>
    <w:basedOn w:val="1"/>
    <w:next w:val="1"/>
    <w:unhideWhenUsed/>
    <w:qFormat/>
    <w:uiPriority w:val="9"/>
    <w:pPr>
      <w:keepNext/>
      <w:keepLines/>
      <w:spacing w:before="260" w:after="260" w:line="413" w:lineRule="auto"/>
      <w:outlineLvl w:val="2"/>
    </w:pPr>
    <w:rPr>
      <w:b/>
      <w:sz w:val="32"/>
    </w:rPr>
  </w:style>
  <w:style w:type="paragraph" w:styleId="4">
    <w:name w:val="heading 4"/>
    <w:basedOn w:val="1"/>
    <w:next w:val="5"/>
    <w:qFormat/>
    <w:uiPriority w:val="0"/>
    <w:pPr>
      <w:keepNext/>
      <w:tabs>
        <w:tab w:val="left" w:pos="727"/>
      </w:tabs>
      <w:spacing w:line="360" w:lineRule="auto"/>
      <w:ind w:firstLine="346"/>
      <w:outlineLvl w:val="3"/>
    </w:pPr>
    <w:rPr>
      <w:rFonts w:eastAsia="宋体"/>
      <w:b/>
      <w:sz w:val="24"/>
      <w:szCs w:val="2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semiHidden/>
    <w:unhideWhenUsed/>
    <w:qFormat/>
    <w:uiPriority w:val="99"/>
    <w:pPr>
      <w:ind w:firstLine="420" w:firstLineChars="200"/>
    </w:pPr>
  </w:style>
  <w:style w:type="paragraph" w:styleId="6">
    <w:name w:val="List 3"/>
    <w:basedOn w:val="1"/>
    <w:next w:val="1"/>
    <w:unhideWhenUsed/>
    <w:qFormat/>
    <w:uiPriority w:val="0"/>
    <w:pPr>
      <w:autoSpaceDE w:val="0"/>
      <w:autoSpaceDN w:val="0"/>
      <w:spacing w:line="288" w:lineRule="auto"/>
      <w:ind w:left="1260" w:hanging="420"/>
      <w:textAlignment w:val="baseline"/>
    </w:pPr>
    <w:rPr>
      <w:sz w:val="24"/>
      <w:szCs w:val="24"/>
    </w:rPr>
  </w:style>
  <w:style w:type="paragraph" w:styleId="7">
    <w:name w:val="Note Heading"/>
    <w:basedOn w:val="1"/>
    <w:next w:val="1"/>
    <w:link w:val="61"/>
    <w:qFormat/>
    <w:uiPriority w:val="0"/>
    <w:pPr>
      <w:widowControl w:val="0"/>
      <w:adjustRightInd/>
      <w:snapToGrid/>
      <w:spacing w:after="0"/>
      <w:jc w:val="center"/>
    </w:pPr>
    <w:rPr>
      <w:rFonts w:asciiTheme="minorHAnsi" w:hAnsiTheme="minorHAnsi"/>
      <w:kern w:val="2"/>
      <w:sz w:val="21"/>
      <w:szCs w:val="24"/>
    </w:rPr>
  </w:style>
  <w:style w:type="paragraph" w:styleId="8">
    <w:name w:val="Document Map"/>
    <w:basedOn w:val="1"/>
    <w:link w:val="78"/>
    <w:qFormat/>
    <w:uiPriority w:val="0"/>
    <w:pPr>
      <w:widowControl w:val="0"/>
      <w:adjustRightInd/>
      <w:snapToGrid/>
      <w:spacing w:after="0" w:line="320" w:lineRule="exact"/>
      <w:jc w:val="both"/>
    </w:pPr>
    <w:rPr>
      <w:rFonts w:ascii="宋体" w:hAnsiTheme="minorHAnsi"/>
      <w:kern w:val="2"/>
      <w:sz w:val="18"/>
      <w:szCs w:val="18"/>
    </w:rPr>
  </w:style>
  <w:style w:type="paragraph" w:styleId="9">
    <w:name w:val="annotation text"/>
    <w:basedOn w:val="1"/>
    <w:link w:val="119"/>
    <w:unhideWhenUsed/>
    <w:qFormat/>
    <w:uiPriority w:val="99"/>
    <w:pPr>
      <w:spacing w:line="480" w:lineRule="exact"/>
      <w:ind w:firstLine="471"/>
    </w:pPr>
    <w:rPr>
      <w:rFonts w:ascii="Arial" w:hAnsi="Arial"/>
      <w:b/>
      <w:kern w:val="2"/>
      <w:lang w:val="zh-CN"/>
    </w:rPr>
  </w:style>
  <w:style w:type="paragraph" w:styleId="10">
    <w:name w:val="Body Text 3"/>
    <w:basedOn w:val="1"/>
    <w:link w:val="58"/>
    <w:semiHidden/>
    <w:unhideWhenUsed/>
    <w:qFormat/>
    <w:uiPriority w:val="99"/>
    <w:pPr>
      <w:spacing w:after="120"/>
    </w:pPr>
    <w:rPr>
      <w:sz w:val="16"/>
      <w:szCs w:val="16"/>
    </w:rPr>
  </w:style>
  <w:style w:type="paragraph" w:styleId="11">
    <w:name w:val="Body Text"/>
    <w:basedOn w:val="1"/>
    <w:next w:val="12"/>
    <w:link w:val="57"/>
    <w:semiHidden/>
    <w:unhideWhenUsed/>
    <w:qFormat/>
    <w:uiPriority w:val="99"/>
    <w:pPr>
      <w:spacing w:after="120"/>
    </w:pPr>
  </w:style>
  <w:style w:type="paragraph" w:styleId="12">
    <w:name w:val="Body Text First Indent"/>
    <w:basedOn w:val="11"/>
    <w:unhideWhenUsed/>
    <w:qFormat/>
    <w:uiPriority w:val="0"/>
    <w:pPr>
      <w:ind w:firstLine="420" w:firstLineChars="100"/>
    </w:pPr>
  </w:style>
  <w:style w:type="paragraph" w:styleId="13">
    <w:name w:val="Body Text Indent"/>
    <w:basedOn w:val="1"/>
    <w:qFormat/>
    <w:uiPriority w:val="0"/>
    <w:pPr>
      <w:spacing w:after="120"/>
      <w:ind w:left="420" w:leftChars="200"/>
    </w:pPr>
  </w:style>
  <w:style w:type="paragraph" w:styleId="14">
    <w:name w:val="Plain Text"/>
    <w:basedOn w:val="1"/>
    <w:link w:val="59"/>
    <w:qFormat/>
    <w:uiPriority w:val="0"/>
    <w:pPr>
      <w:widowControl w:val="0"/>
      <w:adjustRightInd/>
      <w:snapToGrid/>
      <w:spacing w:after="0"/>
      <w:jc w:val="both"/>
    </w:pPr>
    <w:rPr>
      <w:rFonts w:ascii="宋体" w:hAnsi="Courier New" w:cs="Dutch801 Rm BT"/>
      <w:kern w:val="2"/>
      <w:sz w:val="21"/>
    </w:rPr>
  </w:style>
  <w:style w:type="paragraph" w:styleId="15">
    <w:name w:val="List Bullet 5"/>
    <w:basedOn w:val="1"/>
    <w:semiHidden/>
    <w:unhideWhenUsed/>
    <w:qFormat/>
    <w:uiPriority w:val="99"/>
    <w:pPr>
      <w:numPr>
        <w:ilvl w:val="0"/>
        <w:numId w:val="1"/>
      </w:numPr>
    </w:pPr>
  </w:style>
  <w:style w:type="paragraph" w:styleId="16">
    <w:name w:val="Date"/>
    <w:basedOn w:val="1"/>
    <w:next w:val="1"/>
    <w:link w:val="69"/>
    <w:qFormat/>
    <w:uiPriority w:val="0"/>
    <w:pPr>
      <w:widowControl w:val="0"/>
      <w:adjustRightInd/>
      <w:snapToGrid/>
      <w:spacing w:after="0"/>
      <w:jc w:val="both"/>
    </w:pPr>
    <w:rPr>
      <w:rFonts w:ascii="Times New Roman" w:hAnsi="Times New Roman" w:eastAsia="宋体" w:cs="Times New Roman"/>
      <w:b/>
      <w:kern w:val="2"/>
      <w:sz w:val="28"/>
      <w:szCs w:val="20"/>
    </w:rPr>
  </w:style>
  <w:style w:type="paragraph" w:styleId="17">
    <w:name w:val="Body Text Indent 2"/>
    <w:basedOn w:val="1"/>
    <w:unhideWhenUsed/>
    <w:qFormat/>
    <w:uiPriority w:val="0"/>
    <w:pPr>
      <w:spacing w:after="120" w:line="480" w:lineRule="auto"/>
      <w:ind w:left="420" w:leftChars="200"/>
    </w:pPr>
    <w:rPr>
      <w:sz w:val="21"/>
      <w:szCs w:val="24"/>
    </w:rPr>
  </w:style>
  <w:style w:type="paragraph" w:styleId="18">
    <w:name w:val="Balloon Text"/>
    <w:basedOn w:val="1"/>
    <w:link w:val="41"/>
    <w:unhideWhenUsed/>
    <w:qFormat/>
    <w:uiPriority w:val="0"/>
    <w:pPr>
      <w:spacing w:after="0"/>
    </w:pPr>
    <w:rPr>
      <w:sz w:val="18"/>
      <w:szCs w:val="18"/>
    </w:rPr>
  </w:style>
  <w:style w:type="paragraph" w:styleId="19">
    <w:name w:val="footer"/>
    <w:basedOn w:val="1"/>
    <w:link w:val="50"/>
    <w:unhideWhenUsed/>
    <w:qFormat/>
    <w:uiPriority w:val="99"/>
    <w:pPr>
      <w:tabs>
        <w:tab w:val="center" w:pos="4153"/>
        <w:tab w:val="right" w:pos="8306"/>
      </w:tabs>
    </w:pPr>
    <w:rPr>
      <w:sz w:val="18"/>
      <w:szCs w:val="18"/>
    </w:rPr>
  </w:style>
  <w:style w:type="paragraph" w:styleId="20">
    <w:name w:val="header"/>
    <w:basedOn w:val="21"/>
    <w:link w:val="49"/>
    <w:unhideWhenUsed/>
    <w:qFormat/>
    <w:uiPriority w:val="99"/>
    <w:pPr>
      <w:pBdr>
        <w:bottom w:val="single" w:color="auto" w:sz="6" w:space="1"/>
      </w:pBdr>
      <w:tabs>
        <w:tab w:val="center" w:pos="4153"/>
        <w:tab w:val="right" w:pos="8306"/>
      </w:tabs>
      <w:jc w:val="center"/>
    </w:pPr>
    <w:rPr>
      <w:sz w:val="18"/>
      <w:szCs w:val="18"/>
    </w:rPr>
  </w:style>
  <w:style w:type="paragraph" w:customStyle="1" w:styleId="21">
    <w:name w:val="文本11"/>
    <w:basedOn w:val="1"/>
    <w:qFormat/>
    <w:uiPriority w:val="0"/>
    <w:rPr>
      <w:color w:val="000000"/>
    </w:rPr>
  </w:style>
  <w:style w:type="paragraph" w:styleId="22">
    <w:name w:val="Subtitle"/>
    <w:basedOn w:val="1"/>
    <w:next w:val="1"/>
    <w:link w:val="75"/>
    <w:qFormat/>
    <w:uiPriority w:val="11"/>
    <w:pPr>
      <w:widowControl w:val="0"/>
      <w:spacing w:before="240" w:after="60" w:line="312" w:lineRule="auto"/>
      <w:jc w:val="center"/>
      <w:outlineLvl w:val="1"/>
    </w:pPr>
    <w:rPr>
      <w:rFonts w:eastAsia="宋体" w:asciiTheme="majorHAnsi" w:hAnsiTheme="majorHAnsi" w:cstheme="majorBidi"/>
      <w:b/>
      <w:bCs/>
      <w:color w:val="000000" w:themeColor="text1"/>
      <w:kern w:val="28"/>
      <w:sz w:val="32"/>
      <w:szCs w:val="32"/>
      <w14:textFill>
        <w14:solidFill>
          <w14:schemeClr w14:val="tx1"/>
        </w14:solidFill>
      </w14:textFill>
    </w:rPr>
  </w:style>
  <w:style w:type="paragraph" w:styleId="23">
    <w:name w:val="Body Text Indent 3"/>
    <w:basedOn w:val="1"/>
    <w:qFormat/>
    <w:uiPriority w:val="0"/>
    <w:pPr>
      <w:spacing w:after="120"/>
      <w:ind w:left="420" w:leftChars="200"/>
    </w:pPr>
    <w:rPr>
      <w:sz w:val="16"/>
      <w:szCs w:val="16"/>
    </w:rPr>
  </w:style>
  <w:style w:type="paragraph" w:styleId="24">
    <w:name w:val="table of figures"/>
    <w:basedOn w:val="1"/>
    <w:next w:val="1"/>
    <w:unhideWhenUsed/>
    <w:qFormat/>
    <w:uiPriority w:val="99"/>
  </w:style>
  <w:style w:type="paragraph" w:styleId="25">
    <w:name w:val="Body Text 2"/>
    <w:basedOn w:val="1"/>
    <w:link w:val="52"/>
    <w:qFormat/>
    <w:uiPriority w:val="0"/>
    <w:pPr>
      <w:widowControl w:val="0"/>
      <w:adjustRightInd/>
      <w:snapToGrid/>
      <w:spacing w:after="0" w:line="320" w:lineRule="exact"/>
      <w:jc w:val="both"/>
    </w:pPr>
    <w:rPr>
      <w:rFonts w:ascii="Times New Roman" w:hAnsi="Times New Roman" w:eastAsia="宋体" w:cs="Times New Roman"/>
      <w:kern w:val="2"/>
      <w:sz w:val="24"/>
      <w:szCs w:val="20"/>
    </w:rPr>
  </w:style>
  <w:style w:type="paragraph" w:styleId="26">
    <w:name w:val="Normal (Web)"/>
    <w:basedOn w:val="1"/>
    <w:link w:val="74"/>
    <w:qFormat/>
    <w:uiPriority w:val="0"/>
    <w:pPr>
      <w:adjustRightInd/>
      <w:snapToGrid/>
      <w:spacing w:before="100" w:beforeAutospacing="1" w:after="100" w:afterAutospacing="1"/>
    </w:pPr>
    <w:rPr>
      <w:rFonts w:ascii="宋体" w:hAnsi="宋体" w:eastAsia="宋体"/>
      <w:sz w:val="24"/>
    </w:rPr>
  </w:style>
  <w:style w:type="paragraph" w:styleId="27">
    <w:name w:val="Title"/>
    <w:basedOn w:val="1"/>
    <w:link w:val="80"/>
    <w:qFormat/>
    <w:uiPriority w:val="0"/>
    <w:pPr>
      <w:widowControl w:val="0"/>
      <w:adjustRightInd/>
      <w:snapToGrid/>
      <w:spacing w:before="240" w:after="60" w:line="320" w:lineRule="exact"/>
      <w:jc w:val="center"/>
      <w:outlineLvl w:val="0"/>
    </w:pPr>
    <w:rPr>
      <w:rFonts w:ascii="Cambria" w:hAnsi="Cambria"/>
      <w:b/>
      <w:bCs/>
      <w:kern w:val="2"/>
      <w:sz w:val="32"/>
      <w:szCs w:val="32"/>
    </w:rPr>
  </w:style>
  <w:style w:type="paragraph" w:styleId="28">
    <w:name w:val="annotation subject"/>
    <w:basedOn w:val="9"/>
    <w:next w:val="9"/>
    <w:link w:val="120"/>
    <w:semiHidden/>
    <w:unhideWhenUsed/>
    <w:qFormat/>
    <w:uiPriority w:val="99"/>
    <w:pPr>
      <w:spacing w:line="240" w:lineRule="auto"/>
      <w:ind w:firstLine="0"/>
    </w:pPr>
    <w:rPr>
      <w:rFonts w:ascii="Tahoma" w:hAnsi="Tahoma"/>
      <w:bCs/>
      <w:kern w:val="0"/>
      <w:lang w:val="en-US"/>
    </w:rPr>
  </w:style>
  <w:style w:type="paragraph" w:styleId="29">
    <w:name w:val="Body Text First Indent 2"/>
    <w:basedOn w:val="13"/>
    <w:qFormat/>
    <w:uiPriority w:val="0"/>
    <w:pPr>
      <w:ind w:firstLine="420" w:firstLineChars="200"/>
    </w:p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Emphasis"/>
    <w:basedOn w:val="32"/>
    <w:qFormat/>
    <w:uiPriority w:val="20"/>
    <w:rPr>
      <w:i/>
    </w:rPr>
  </w:style>
  <w:style w:type="character" w:styleId="35">
    <w:name w:val="Hyperlink"/>
    <w:basedOn w:val="32"/>
    <w:unhideWhenUsed/>
    <w:qFormat/>
    <w:uiPriority w:val="99"/>
    <w:rPr>
      <w:color w:val="0000FF" w:themeColor="hyperlink"/>
      <w:u w:val="single"/>
      <w14:textFill>
        <w14:solidFill>
          <w14:schemeClr w14:val="hlink"/>
        </w14:solidFill>
      </w14:textFill>
    </w:rPr>
  </w:style>
  <w:style w:type="character" w:styleId="36">
    <w:name w:val="annotation reference"/>
    <w:basedOn w:val="32"/>
    <w:semiHidden/>
    <w:unhideWhenUsed/>
    <w:qFormat/>
    <w:uiPriority w:val="99"/>
    <w:rPr>
      <w:sz w:val="21"/>
      <w:szCs w:val="21"/>
    </w:rPr>
  </w:style>
  <w:style w:type="character" w:customStyle="1" w:styleId="37">
    <w:name w:val="标题 1 字符"/>
    <w:basedOn w:val="32"/>
    <w:link w:val="2"/>
    <w:qFormat/>
    <w:uiPriority w:val="0"/>
    <w:rPr>
      <w:b/>
      <w:bCs/>
      <w:kern w:val="44"/>
      <w:sz w:val="44"/>
      <w:szCs w:val="44"/>
    </w:rPr>
  </w:style>
  <w:style w:type="paragraph" w:customStyle="1" w:styleId="38">
    <w:name w:val="Default"/>
    <w:basedOn w:val="39"/>
    <w:qFormat/>
    <w:uiPriority w:val="0"/>
    <w:pPr>
      <w:widowControl w:val="0"/>
    </w:pPr>
    <w:rPr>
      <w:rFonts w:hAnsi="Calibri" w:cs="宋体"/>
      <w:color w:val="000000"/>
      <w:sz w:val="24"/>
    </w:rPr>
  </w:style>
  <w:style w:type="paragraph" w:customStyle="1" w:styleId="39">
    <w:name w:val="纯文本1"/>
    <w:basedOn w:val="1"/>
    <w:unhideWhenUsed/>
    <w:qFormat/>
    <w:uiPriority w:val="99"/>
    <w:pPr>
      <w:autoSpaceDE w:val="0"/>
      <w:autoSpaceDN w:val="0"/>
      <w:textAlignment w:val="baseline"/>
    </w:pPr>
    <w:rPr>
      <w:rFonts w:hint="eastAsia" w:ascii="宋体" w:hAnsi="Times New Roman" w:eastAsia="宋体"/>
      <w:sz w:val="21"/>
      <w:szCs w:val="24"/>
    </w:rPr>
  </w:style>
  <w:style w:type="paragraph" w:customStyle="1" w:styleId="40">
    <w:name w:val="Table Paragraph"/>
    <w:basedOn w:val="1"/>
    <w:qFormat/>
    <w:uiPriority w:val="1"/>
    <w:pPr>
      <w:autoSpaceDE w:val="0"/>
      <w:autoSpaceDN w:val="0"/>
    </w:pPr>
    <w:rPr>
      <w:sz w:val="24"/>
    </w:rPr>
  </w:style>
  <w:style w:type="character" w:customStyle="1" w:styleId="41">
    <w:name w:val="批注框文本 字符"/>
    <w:basedOn w:val="32"/>
    <w:link w:val="18"/>
    <w:qFormat/>
    <w:uiPriority w:val="0"/>
    <w:rPr>
      <w:rFonts w:ascii="Tahoma" w:hAnsi="Tahoma"/>
      <w:sz w:val="18"/>
      <w:szCs w:val="18"/>
    </w:rPr>
  </w:style>
  <w:style w:type="paragraph" w:customStyle="1" w:styleId="42">
    <w:name w:val="表中文字"/>
    <w:link w:val="44"/>
    <w:qFormat/>
    <w:uiPriority w:val="0"/>
    <w:pPr>
      <w:spacing w:line="320" w:lineRule="exact"/>
    </w:pPr>
    <w:rPr>
      <w:rFonts w:eastAsia="微软雅黑" w:asciiTheme="minorHAnsi" w:hAnsiTheme="minorHAnsi" w:cstheme="minorBidi"/>
      <w:sz w:val="22"/>
      <w:szCs w:val="22"/>
      <w:lang w:val="fr-FR" w:eastAsia="zh-CN" w:bidi="ar-SA"/>
    </w:rPr>
  </w:style>
  <w:style w:type="paragraph" w:customStyle="1" w:styleId="43">
    <w:name w:val="表头"/>
    <w:basedOn w:val="12"/>
    <w:next w:val="1"/>
    <w:qFormat/>
    <w:uiPriority w:val="0"/>
    <w:pPr>
      <w:jc w:val="center"/>
    </w:pPr>
    <w:rPr>
      <w:rFonts w:ascii="Times New Roman" w:hAnsi="Times New Roman" w:eastAsia="黑体" w:cs="Times New Roman"/>
      <w:color w:val="000000"/>
      <w:szCs w:val="36"/>
    </w:rPr>
  </w:style>
  <w:style w:type="character" w:customStyle="1" w:styleId="44">
    <w:name w:val="表中文字 Char"/>
    <w:link w:val="42"/>
    <w:qFormat/>
    <w:uiPriority w:val="0"/>
    <w:rPr>
      <w:lang w:val="fr-FR"/>
    </w:rPr>
  </w:style>
  <w:style w:type="paragraph" w:customStyle="1" w:styleId="45">
    <w:name w:val="表格"/>
    <w:basedOn w:val="5"/>
    <w:next w:val="1"/>
    <w:link w:val="46"/>
    <w:qFormat/>
    <w:uiPriority w:val="0"/>
    <w:pPr>
      <w:widowControl w:val="0"/>
      <w:adjustRightInd/>
      <w:snapToGrid/>
      <w:spacing w:after="0" w:line="320" w:lineRule="exact"/>
      <w:jc w:val="center"/>
    </w:pPr>
    <w:rPr>
      <w:rFonts w:ascii="Times New Roman" w:hAnsi="Times New Roman" w:eastAsia="宋体" w:cs="Times New Roman"/>
      <w:kern w:val="2"/>
      <w:sz w:val="21"/>
      <w:szCs w:val="24"/>
    </w:rPr>
  </w:style>
  <w:style w:type="character" w:customStyle="1" w:styleId="46">
    <w:name w:val="表格 Char"/>
    <w:link w:val="45"/>
    <w:qFormat/>
    <w:uiPriority w:val="0"/>
    <w:rPr>
      <w:rFonts w:ascii="Times New Roman" w:hAnsi="Times New Roman" w:eastAsia="宋体" w:cs="Times New Roman"/>
      <w:kern w:val="2"/>
      <w:sz w:val="21"/>
      <w:szCs w:val="24"/>
    </w:rPr>
  </w:style>
  <w:style w:type="paragraph" w:customStyle="1" w:styleId="47">
    <w:name w:val="样式 样式 四号 左侧:  1.53 厘米 + 首行缩进:  2 字符"/>
    <w:basedOn w:val="48"/>
    <w:qFormat/>
    <w:uiPriority w:val="0"/>
    <w:pPr>
      <w:ind w:left="200" w:leftChars="200"/>
    </w:pPr>
    <w:rPr>
      <w:szCs w:val="20"/>
    </w:rPr>
  </w:style>
  <w:style w:type="paragraph" w:customStyle="1" w:styleId="48">
    <w:name w:val="样式 四号 左侧:  1.53 厘米"/>
    <w:basedOn w:val="1"/>
    <w:qFormat/>
    <w:uiPriority w:val="0"/>
    <w:rPr>
      <w:w w:val="90"/>
      <w:sz w:val="28"/>
      <w:szCs w:val="28"/>
    </w:rPr>
  </w:style>
  <w:style w:type="character" w:customStyle="1" w:styleId="49">
    <w:name w:val="页眉 字符"/>
    <w:basedOn w:val="32"/>
    <w:link w:val="20"/>
    <w:qFormat/>
    <w:uiPriority w:val="99"/>
    <w:rPr>
      <w:rFonts w:ascii="Tahoma" w:hAnsi="Tahoma"/>
      <w:sz w:val="18"/>
      <w:szCs w:val="18"/>
    </w:rPr>
  </w:style>
  <w:style w:type="character" w:customStyle="1" w:styleId="50">
    <w:name w:val="页脚 字符"/>
    <w:basedOn w:val="32"/>
    <w:link w:val="19"/>
    <w:qFormat/>
    <w:uiPriority w:val="99"/>
    <w:rPr>
      <w:rFonts w:ascii="Tahoma" w:hAnsi="Tahoma"/>
      <w:sz w:val="18"/>
      <w:szCs w:val="18"/>
    </w:rPr>
  </w:style>
  <w:style w:type="paragraph" w:customStyle="1" w:styleId="51">
    <w:name w:val="xl31"/>
    <w:basedOn w:val="1"/>
    <w:qFormat/>
    <w:uiPriority w:val="0"/>
    <w:pPr>
      <w:adjustRightInd/>
      <w:snapToGrid/>
      <w:spacing w:before="100" w:beforeAutospacing="1" w:after="100" w:afterAutospacing="1"/>
      <w:jc w:val="center"/>
    </w:pPr>
    <w:rPr>
      <w:rFonts w:ascii="Times New Roman" w:hAnsi="Times New Roman" w:eastAsia="宋体" w:cs="Times New Roman"/>
      <w:sz w:val="24"/>
      <w:szCs w:val="20"/>
    </w:rPr>
  </w:style>
  <w:style w:type="character" w:customStyle="1" w:styleId="52">
    <w:name w:val="正文文本 2 字符"/>
    <w:basedOn w:val="32"/>
    <w:link w:val="25"/>
    <w:qFormat/>
    <w:uiPriority w:val="0"/>
    <w:rPr>
      <w:rFonts w:ascii="Times New Roman" w:hAnsi="Times New Roman" w:eastAsia="宋体" w:cs="Times New Roman"/>
      <w:kern w:val="2"/>
      <w:sz w:val="24"/>
      <w:szCs w:val="20"/>
    </w:rPr>
  </w:style>
  <w:style w:type="paragraph" w:styleId="53">
    <w:name w:val="List Paragraph"/>
    <w:basedOn w:val="1"/>
    <w:qFormat/>
    <w:uiPriority w:val="34"/>
    <w:pPr>
      <w:ind w:firstLine="420" w:firstLineChars="200"/>
    </w:pPr>
  </w:style>
  <w:style w:type="paragraph" w:customStyle="1" w:styleId="54">
    <w:name w:val="谢谢谢谢谢"/>
    <w:basedOn w:val="1"/>
    <w:link w:val="55"/>
    <w:qFormat/>
    <w:uiPriority w:val="0"/>
    <w:pPr>
      <w:widowControl w:val="0"/>
      <w:adjustRightInd/>
      <w:snapToGrid/>
      <w:spacing w:after="0" w:line="440" w:lineRule="exact"/>
      <w:ind w:firstLine="200" w:firstLineChars="200"/>
    </w:pPr>
    <w:rPr>
      <w:rFonts w:ascii="Times New Roman" w:hAnsi="Times New Roman" w:eastAsia="宋体" w:cs="Times New Roman"/>
      <w:kern w:val="2"/>
      <w:sz w:val="24"/>
      <w:szCs w:val="24"/>
    </w:rPr>
  </w:style>
  <w:style w:type="character" w:customStyle="1" w:styleId="55">
    <w:name w:val="谢谢谢谢谢 Char"/>
    <w:link w:val="54"/>
    <w:qFormat/>
    <w:uiPriority w:val="0"/>
    <w:rPr>
      <w:rFonts w:ascii="Times New Roman" w:hAnsi="Times New Roman" w:eastAsia="宋体" w:cs="Times New Roman"/>
      <w:kern w:val="2"/>
      <w:sz w:val="24"/>
      <w:szCs w:val="24"/>
    </w:rPr>
  </w:style>
  <w:style w:type="paragraph" w:customStyle="1" w:styleId="56">
    <w:name w:val="谢谢谢谢谢谢"/>
    <w:basedOn w:val="1"/>
    <w:qFormat/>
    <w:uiPriority w:val="0"/>
    <w:pPr>
      <w:widowControl w:val="0"/>
      <w:adjustRightInd/>
      <w:snapToGrid/>
      <w:spacing w:after="0" w:line="440" w:lineRule="exact"/>
      <w:ind w:firstLine="200" w:firstLineChars="200"/>
      <w:jc w:val="both"/>
    </w:pPr>
    <w:rPr>
      <w:rFonts w:ascii="Times New Roman" w:eastAsia="宋体" w:cs="Times New Roman" w:hAnsiTheme="minorEastAsia"/>
      <w:kern w:val="2"/>
      <w:sz w:val="24"/>
      <w:szCs w:val="24"/>
    </w:rPr>
  </w:style>
  <w:style w:type="character" w:customStyle="1" w:styleId="57">
    <w:name w:val="正文文本 字符"/>
    <w:basedOn w:val="32"/>
    <w:link w:val="11"/>
    <w:semiHidden/>
    <w:qFormat/>
    <w:uiPriority w:val="99"/>
    <w:rPr>
      <w:rFonts w:ascii="Tahoma" w:hAnsi="Tahoma"/>
    </w:rPr>
  </w:style>
  <w:style w:type="character" w:customStyle="1" w:styleId="58">
    <w:name w:val="正文文本 3 字符"/>
    <w:basedOn w:val="32"/>
    <w:link w:val="10"/>
    <w:semiHidden/>
    <w:qFormat/>
    <w:uiPriority w:val="99"/>
    <w:rPr>
      <w:rFonts w:ascii="Tahoma" w:hAnsi="Tahoma"/>
      <w:sz w:val="16"/>
      <w:szCs w:val="16"/>
    </w:rPr>
  </w:style>
  <w:style w:type="character" w:customStyle="1" w:styleId="59">
    <w:name w:val="纯文本 字符"/>
    <w:link w:val="14"/>
    <w:qFormat/>
    <w:uiPriority w:val="0"/>
    <w:rPr>
      <w:rFonts w:ascii="宋体" w:hAnsi="Courier New" w:cs="Dutch801 Rm BT"/>
      <w:kern w:val="2"/>
      <w:sz w:val="21"/>
    </w:rPr>
  </w:style>
  <w:style w:type="character" w:customStyle="1" w:styleId="60">
    <w:name w:val="纯文本 Char1"/>
    <w:basedOn w:val="32"/>
    <w:semiHidden/>
    <w:qFormat/>
    <w:uiPriority w:val="99"/>
    <w:rPr>
      <w:rFonts w:ascii="宋体" w:hAnsi="Courier New" w:eastAsia="宋体" w:cs="Courier New"/>
      <w:sz w:val="21"/>
      <w:szCs w:val="21"/>
    </w:rPr>
  </w:style>
  <w:style w:type="character" w:customStyle="1" w:styleId="61">
    <w:name w:val="注释标题 字符"/>
    <w:link w:val="7"/>
    <w:qFormat/>
    <w:uiPriority w:val="0"/>
    <w:rPr>
      <w:kern w:val="2"/>
      <w:sz w:val="21"/>
      <w:szCs w:val="24"/>
    </w:rPr>
  </w:style>
  <w:style w:type="character" w:customStyle="1" w:styleId="62">
    <w:name w:val="注释标题 Char1"/>
    <w:basedOn w:val="32"/>
    <w:semiHidden/>
    <w:qFormat/>
    <w:uiPriority w:val="99"/>
    <w:rPr>
      <w:rFonts w:ascii="Tahoma" w:hAnsi="Tahoma"/>
    </w:rPr>
  </w:style>
  <w:style w:type="character" w:customStyle="1" w:styleId="63">
    <w:name w:val="标题1"/>
    <w:qFormat/>
    <w:uiPriority w:val="0"/>
  </w:style>
  <w:style w:type="paragraph" w:customStyle="1" w:styleId="64">
    <w:name w:val="正文1"/>
    <w:basedOn w:val="1"/>
    <w:qFormat/>
    <w:uiPriority w:val="0"/>
    <w:pPr>
      <w:widowControl w:val="0"/>
      <w:spacing w:after="0" w:line="500" w:lineRule="atLeast"/>
      <w:ind w:firstLine="567"/>
      <w:jc w:val="both"/>
    </w:pPr>
    <w:rPr>
      <w:rFonts w:ascii="Times New Roman" w:hAnsi="Times New Roman" w:eastAsia="宋体" w:cs="Times New Roman"/>
      <w:kern w:val="2"/>
      <w:sz w:val="28"/>
      <w:szCs w:val="20"/>
    </w:rPr>
  </w:style>
  <w:style w:type="character" w:customStyle="1" w:styleId="65">
    <w:name w:val="正文111111111 Char Char"/>
    <w:link w:val="66"/>
    <w:qFormat/>
    <w:uiPriority w:val="0"/>
    <w:rPr>
      <w:rFonts w:cs="宋体"/>
      <w:kern w:val="2"/>
      <w:sz w:val="24"/>
    </w:rPr>
  </w:style>
  <w:style w:type="paragraph" w:customStyle="1" w:styleId="66">
    <w:name w:val="正文111111111"/>
    <w:basedOn w:val="1"/>
    <w:link w:val="65"/>
    <w:qFormat/>
    <w:uiPriority w:val="0"/>
    <w:pPr>
      <w:widowControl w:val="0"/>
      <w:adjustRightInd/>
      <w:snapToGrid/>
      <w:spacing w:after="0" w:line="360" w:lineRule="auto"/>
      <w:ind w:firstLine="480" w:firstLineChars="200"/>
      <w:jc w:val="both"/>
    </w:pPr>
    <w:rPr>
      <w:rFonts w:cs="宋体" w:asciiTheme="minorHAnsi" w:hAnsiTheme="minorHAnsi"/>
      <w:kern w:val="2"/>
      <w:sz w:val="24"/>
    </w:rPr>
  </w:style>
  <w:style w:type="paragraph" w:customStyle="1" w:styleId="67">
    <w:name w:val="正文段落"/>
    <w:basedOn w:val="5"/>
    <w:link w:val="68"/>
    <w:qFormat/>
    <w:uiPriority w:val="0"/>
    <w:pPr>
      <w:widowControl w:val="0"/>
      <w:adjustRightInd/>
      <w:snapToGrid/>
      <w:spacing w:after="0" w:line="360" w:lineRule="auto"/>
      <w:ind w:firstLine="480"/>
      <w:jc w:val="both"/>
    </w:pPr>
    <w:rPr>
      <w:rFonts w:ascii="宋体" w:hAnsi="宋体" w:eastAsia="宋体" w:cs="Times New Roman"/>
      <w:sz w:val="24"/>
      <w:szCs w:val="24"/>
    </w:rPr>
  </w:style>
  <w:style w:type="character" w:customStyle="1" w:styleId="68">
    <w:name w:val="正文段落 Char"/>
    <w:link w:val="67"/>
    <w:qFormat/>
    <w:uiPriority w:val="0"/>
    <w:rPr>
      <w:rFonts w:ascii="宋体" w:hAnsi="宋体" w:eastAsia="宋体" w:cs="Times New Roman"/>
      <w:sz w:val="24"/>
      <w:szCs w:val="24"/>
    </w:rPr>
  </w:style>
  <w:style w:type="character" w:customStyle="1" w:styleId="69">
    <w:name w:val="日期 字符"/>
    <w:basedOn w:val="32"/>
    <w:link w:val="16"/>
    <w:qFormat/>
    <w:uiPriority w:val="0"/>
    <w:rPr>
      <w:rFonts w:ascii="Times New Roman" w:hAnsi="Times New Roman" w:eastAsia="宋体" w:cs="Times New Roman"/>
      <w:b/>
      <w:kern w:val="2"/>
      <w:sz w:val="28"/>
      <w:szCs w:val="20"/>
    </w:rPr>
  </w:style>
  <w:style w:type="character" w:styleId="70">
    <w:name w:val="Placeholder Text"/>
    <w:basedOn w:val="32"/>
    <w:semiHidden/>
    <w:qFormat/>
    <w:uiPriority w:val="99"/>
    <w:rPr>
      <w:color w:val="808080"/>
    </w:rPr>
  </w:style>
  <w:style w:type="paragraph" w:customStyle="1" w:styleId="71">
    <w:name w:val="Body Text 22"/>
    <w:basedOn w:val="1"/>
    <w:qFormat/>
    <w:uiPriority w:val="0"/>
    <w:pPr>
      <w:widowControl w:val="0"/>
      <w:snapToGrid/>
      <w:spacing w:after="0" w:line="440" w:lineRule="atLeast"/>
      <w:ind w:firstLine="480"/>
      <w:jc w:val="both"/>
      <w:textAlignment w:val="baseline"/>
    </w:pPr>
    <w:rPr>
      <w:rFonts w:ascii="Times New Roman" w:hAnsi="Times New Roman" w:eastAsia="仿宋_GB2312" w:cs="Times New Roman"/>
      <w:kern w:val="2"/>
      <w:sz w:val="24"/>
      <w:szCs w:val="20"/>
    </w:rPr>
  </w:style>
  <w:style w:type="paragraph" w:customStyle="1" w:styleId="72">
    <w:name w:val="正文四号"/>
    <w:basedOn w:val="1"/>
    <w:link w:val="73"/>
    <w:qFormat/>
    <w:uiPriority w:val="0"/>
    <w:pPr>
      <w:widowControl w:val="0"/>
      <w:adjustRightInd/>
      <w:snapToGrid/>
      <w:spacing w:after="0" w:line="360" w:lineRule="auto"/>
      <w:ind w:firstLine="200" w:firstLineChars="200"/>
      <w:jc w:val="both"/>
    </w:pPr>
    <w:rPr>
      <w:rFonts w:ascii="Times New Roman" w:hAnsi="Times New Roman" w:eastAsia="宋体" w:cs="Times New Roman"/>
      <w:kern w:val="2"/>
      <w:sz w:val="26"/>
      <w:szCs w:val="24"/>
    </w:rPr>
  </w:style>
  <w:style w:type="character" w:customStyle="1" w:styleId="73">
    <w:name w:val="正文四号 Char"/>
    <w:link w:val="72"/>
    <w:qFormat/>
    <w:uiPriority w:val="0"/>
    <w:rPr>
      <w:rFonts w:ascii="Times New Roman" w:hAnsi="Times New Roman" w:eastAsia="宋体" w:cs="Times New Roman"/>
      <w:kern w:val="2"/>
      <w:sz w:val="26"/>
      <w:szCs w:val="24"/>
    </w:rPr>
  </w:style>
  <w:style w:type="character" w:customStyle="1" w:styleId="74">
    <w:name w:val="普通(网站) 字符"/>
    <w:link w:val="26"/>
    <w:qFormat/>
    <w:uiPriority w:val="0"/>
    <w:rPr>
      <w:rFonts w:ascii="宋体" w:hAnsi="宋体" w:eastAsia="宋体"/>
      <w:sz w:val="24"/>
    </w:rPr>
  </w:style>
  <w:style w:type="character" w:customStyle="1" w:styleId="75">
    <w:name w:val="副标题 字符"/>
    <w:basedOn w:val="32"/>
    <w:link w:val="22"/>
    <w:qFormat/>
    <w:uiPriority w:val="11"/>
    <w:rPr>
      <w:rFonts w:eastAsia="宋体" w:asciiTheme="majorHAnsi" w:hAnsiTheme="majorHAnsi" w:cstheme="majorBidi"/>
      <w:b/>
      <w:bCs/>
      <w:color w:val="000000" w:themeColor="text1"/>
      <w:kern w:val="28"/>
      <w:sz w:val="32"/>
      <w:szCs w:val="32"/>
      <w14:textFill>
        <w14:solidFill>
          <w14:schemeClr w14:val="tx1"/>
        </w14:solidFill>
      </w14:textFill>
    </w:rPr>
  </w:style>
  <w:style w:type="paragraph" w:customStyle="1" w:styleId="76">
    <w:name w:val="表格内容"/>
    <w:qFormat/>
    <w:uiPriority w:val="0"/>
    <w:pPr>
      <w:widowControl w:val="0"/>
      <w:spacing w:line="0" w:lineRule="atLeast"/>
      <w:jc w:val="center"/>
    </w:pPr>
    <w:rPr>
      <w:rFonts w:ascii="宋体" w:hAnsi="宋体" w:eastAsia="仿宋" w:cs="Times New Roman"/>
      <w:sz w:val="21"/>
      <w:szCs w:val="21"/>
      <w:lang w:val="en-US" w:eastAsia="zh-CN" w:bidi="ar-SA"/>
    </w:rPr>
  </w:style>
  <w:style w:type="paragraph" w:customStyle="1" w:styleId="77">
    <w:name w:val="Char Char1"/>
    <w:basedOn w:val="1"/>
    <w:semiHidden/>
    <w:qFormat/>
    <w:uiPriority w:val="0"/>
    <w:pPr>
      <w:widowControl w:val="0"/>
      <w:spacing w:after="0" w:line="360" w:lineRule="auto"/>
      <w:ind w:firstLine="200" w:firstLineChars="200"/>
      <w:jc w:val="both"/>
    </w:pPr>
    <w:rPr>
      <w:rFonts w:ascii="宋体" w:hAnsi="宋体" w:eastAsia="宋体" w:cs="宋体"/>
      <w:kern w:val="2"/>
      <w:sz w:val="24"/>
      <w:szCs w:val="26"/>
    </w:rPr>
  </w:style>
  <w:style w:type="character" w:customStyle="1" w:styleId="78">
    <w:name w:val="文档结构图 字符"/>
    <w:link w:val="8"/>
    <w:qFormat/>
    <w:uiPriority w:val="0"/>
    <w:rPr>
      <w:rFonts w:ascii="宋体"/>
      <w:kern w:val="2"/>
      <w:sz w:val="18"/>
      <w:szCs w:val="18"/>
    </w:rPr>
  </w:style>
  <w:style w:type="character" w:customStyle="1" w:styleId="79">
    <w:name w:val="文档结构图 Char1"/>
    <w:basedOn w:val="32"/>
    <w:semiHidden/>
    <w:qFormat/>
    <w:uiPriority w:val="99"/>
    <w:rPr>
      <w:rFonts w:ascii="宋体" w:hAnsi="Tahoma" w:eastAsia="宋体"/>
      <w:sz w:val="18"/>
      <w:szCs w:val="18"/>
    </w:rPr>
  </w:style>
  <w:style w:type="character" w:customStyle="1" w:styleId="80">
    <w:name w:val="标题 字符"/>
    <w:link w:val="27"/>
    <w:qFormat/>
    <w:uiPriority w:val="0"/>
    <w:rPr>
      <w:rFonts w:ascii="Cambria" w:hAnsi="Cambria"/>
      <w:b/>
      <w:bCs/>
      <w:kern w:val="2"/>
      <w:sz w:val="32"/>
      <w:szCs w:val="32"/>
    </w:rPr>
  </w:style>
  <w:style w:type="character" w:customStyle="1" w:styleId="81">
    <w:name w:val="标题 Char1"/>
    <w:basedOn w:val="32"/>
    <w:qFormat/>
    <w:uiPriority w:val="10"/>
    <w:rPr>
      <w:rFonts w:eastAsia="宋体" w:asciiTheme="majorHAnsi" w:hAnsiTheme="majorHAnsi" w:cstheme="majorBidi"/>
      <w:b/>
      <w:bCs/>
      <w:sz w:val="32"/>
      <w:szCs w:val="32"/>
    </w:rPr>
  </w:style>
  <w:style w:type="paragraph" w:customStyle="1" w:styleId="82">
    <w:name w:val="样式1"/>
    <w:basedOn w:val="1"/>
    <w:link w:val="83"/>
    <w:qFormat/>
    <w:uiPriority w:val="0"/>
    <w:pPr>
      <w:widowControl w:val="0"/>
      <w:adjustRightInd/>
      <w:snapToGrid/>
      <w:spacing w:after="0" w:line="360" w:lineRule="auto"/>
      <w:ind w:firstLine="560" w:firstLineChars="200"/>
      <w:jc w:val="both"/>
    </w:pPr>
    <w:rPr>
      <w:rFonts w:ascii="宋体" w:hAnsi="宋体" w:eastAsia="宋体" w:cs="Times New Roman"/>
      <w:kern w:val="2"/>
      <w:sz w:val="28"/>
      <w:szCs w:val="20"/>
      <w:lang w:val="zh-CN"/>
    </w:rPr>
  </w:style>
  <w:style w:type="character" w:customStyle="1" w:styleId="83">
    <w:name w:val="样式1 Char2"/>
    <w:link w:val="82"/>
    <w:qFormat/>
    <w:uiPriority w:val="0"/>
    <w:rPr>
      <w:rFonts w:ascii="宋体" w:hAnsi="宋体" w:eastAsia="宋体" w:cs="Times New Roman"/>
      <w:kern w:val="2"/>
      <w:sz w:val="28"/>
      <w:szCs w:val="20"/>
      <w:lang w:val="zh-CN" w:eastAsia="zh-CN"/>
    </w:rPr>
  </w:style>
  <w:style w:type="character" w:customStyle="1" w:styleId="84">
    <w:name w:val="表题头 Char"/>
    <w:link w:val="85"/>
    <w:qFormat/>
    <w:uiPriority w:val="0"/>
    <w:rPr>
      <w:b/>
      <w:sz w:val="30"/>
      <w:szCs w:val="24"/>
    </w:rPr>
  </w:style>
  <w:style w:type="paragraph" w:customStyle="1" w:styleId="85">
    <w:name w:val="表题头"/>
    <w:basedOn w:val="1"/>
    <w:link w:val="84"/>
    <w:qFormat/>
    <w:uiPriority w:val="0"/>
    <w:pPr>
      <w:widowControl w:val="0"/>
      <w:adjustRightInd/>
      <w:snapToGrid/>
      <w:spacing w:after="0" w:line="420" w:lineRule="exact"/>
    </w:pPr>
    <w:rPr>
      <w:rFonts w:asciiTheme="minorHAnsi" w:hAnsiTheme="minorHAnsi"/>
      <w:b/>
      <w:sz w:val="30"/>
      <w:szCs w:val="24"/>
    </w:rPr>
  </w:style>
  <w:style w:type="paragraph" w:customStyle="1" w:styleId="86">
    <w:name w:val="样式 小四 行距: 固定值 16 磅"/>
    <w:basedOn w:val="1"/>
    <w:qFormat/>
    <w:uiPriority w:val="0"/>
    <w:pPr>
      <w:widowControl w:val="0"/>
      <w:adjustRightInd/>
      <w:spacing w:after="0" w:line="400" w:lineRule="exact"/>
      <w:ind w:firstLine="480" w:firstLineChars="200"/>
      <w:jc w:val="both"/>
    </w:pPr>
    <w:rPr>
      <w:rFonts w:ascii="Times New Roman" w:hAnsi="Times New Roman" w:eastAsia="宋体" w:cs="Dutch801 Rm BT"/>
      <w:kern w:val="2"/>
      <w:sz w:val="24"/>
      <w:szCs w:val="20"/>
    </w:rPr>
  </w:style>
  <w:style w:type="paragraph" w:customStyle="1" w:styleId="87">
    <w:name w:val="样式8"/>
    <w:basedOn w:val="1"/>
    <w:qFormat/>
    <w:uiPriority w:val="0"/>
    <w:pPr>
      <w:widowControl w:val="0"/>
      <w:spacing w:after="0" w:line="300" w:lineRule="exact"/>
      <w:jc w:val="center"/>
    </w:pPr>
    <w:rPr>
      <w:rFonts w:ascii="Arial" w:hAnsi="Times New Roman" w:eastAsia="宋体" w:cs="Arial"/>
      <w:kern w:val="2"/>
      <w:sz w:val="21"/>
      <w:szCs w:val="21"/>
    </w:rPr>
  </w:style>
  <w:style w:type="paragraph" w:customStyle="1" w:styleId="88">
    <w:name w:val="目录 83"/>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9">
    <w:name w:val="大表字"/>
    <w:basedOn w:val="27"/>
    <w:qFormat/>
    <w:uiPriority w:val="0"/>
    <w:pPr>
      <w:spacing w:line="240" w:lineRule="auto"/>
    </w:pPr>
    <w:rPr>
      <w:rFonts w:ascii="Times New Roman" w:hAnsi="Times New Roman"/>
      <w:b w:val="0"/>
      <w:sz w:val="24"/>
    </w:rPr>
  </w:style>
  <w:style w:type="paragraph" w:customStyle="1" w:styleId="90">
    <w:name w:val="T表内字"/>
    <w:qFormat/>
    <w:uiPriority w:val="0"/>
    <w:pPr>
      <w:jc w:val="center"/>
    </w:pPr>
    <w:rPr>
      <w:rFonts w:ascii="Times New Roman" w:hAnsi="Times New Roman" w:eastAsia="宋体" w:cs="Times New Roman"/>
      <w:sz w:val="21"/>
      <w:szCs w:val="24"/>
      <w:lang w:val="en-US" w:eastAsia="zh-CN" w:bidi="ar-SA"/>
    </w:rPr>
  </w:style>
  <w:style w:type="paragraph" w:customStyle="1" w:styleId="91">
    <w:name w:val="T表内多行"/>
    <w:basedOn w:val="90"/>
    <w:qFormat/>
    <w:uiPriority w:val="0"/>
    <w:pPr>
      <w:ind w:firstLine="100" w:firstLineChars="100"/>
      <w:jc w:val="both"/>
    </w:pPr>
    <w:rPr>
      <w:bCs/>
    </w:rPr>
  </w:style>
  <w:style w:type="paragraph" w:customStyle="1" w:styleId="92">
    <w:name w:val="p0"/>
    <w:basedOn w:val="1"/>
    <w:qFormat/>
    <w:uiPriority w:val="0"/>
    <w:rPr>
      <w:szCs w:val="21"/>
    </w:rPr>
  </w:style>
  <w:style w:type="paragraph" w:customStyle="1" w:styleId="93">
    <w:name w:val="宋体 1.5行距"/>
    <w:basedOn w:val="1"/>
    <w:link w:val="104"/>
    <w:qFormat/>
    <w:uiPriority w:val="0"/>
    <w:pPr>
      <w:spacing w:line="360" w:lineRule="auto"/>
      <w:ind w:firstLine="720" w:firstLineChars="200"/>
    </w:pPr>
    <w:rPr>
      <w:rFonts w:ascii="Times New Roman" w:hAnsi="Times New Roman" w:eastAsia="宋体" w:cs="仿宋_GB2312"/>
      <w:color w:val="000000"/>
      <w:sz w:val="21"/>
      <w:szCs w:val="36"/>
    </w:rPr>
  </w:style>
  <w:style w:type="paragraph" w:customStyle="1" w:styleId="94">
    <w:name w:val="表内格式居中"/>
    <w:basedOn w:val="1"/>
    <w:qFormat/>
    <w:uiPriority w:val="0"/>
    <w:pPr>
      <w:jc w:val="center"/>
    </w:pPr>
    <w:rPr>
      <w:rFonts w:ascii="Times New Roman" w:hAnsi="Times New Roman" w:eastAsia="宋体" w:cs="Times New Roman"/>
      <w:color w:val="000000"/>
      <w:szCs w:val="21"/>
    </w:rPr>
  </w:style>
  <w:style w:type="paragraph" w:customStyle="1" w:styleId="95">
    <w:name w:val="表格内文字"/>
    <w:basedOn w:val="1"/>
    <w:qFormat/>
    <w:uiPriority w:val="0"/>
    <w:pPr>
      <w:jc w:val="center"/>
    </w:pPr>
    <w:rPr>
      <w:rFonts w:eastAsia="仿宋_GB2312"/>
      <w:bCs/>
      <w:kern w:val="2"/>
    </w:rPr>
  </w:style>
  <w:style w:type="paragraph" w:customStyle="1" w:styleId="96">
    <w:name w:val="表内字"/>
    <w:qFormat/>
    <w:uiPriority w:val="0"/>
    <w:pPr>
      <w:jc w:val="center"/>
    </w:pPr>
    <w:rPr>
      <w:rFonts w:ascii="Times New Roman" w:hAnsi="Times New Roman" w:eastAsia="宋体" w:cs="Times New Roman"/>
      <w:sz w:val="21"/>
      <w:szCs w:val="24"/>
      <w:lang w:val="en-US" w:eastAsia="zh-CN" w:bidi="ar-SA"/>
    </w:rPr>
  </w:style>
  <w:style w:type="paragraph" w:customStyle="1" w:styleId="97">
    <w:name w:val="（1）"/>
    <w:basedOn w:val="1"/>
    <w:next w:val="1"/>
    <w:qFormat/>
    <w:uiPriority w:val="0"/>
    <w:pPr>
      <w:numPr>
        <w:ilvl w:val="0"/>
        <w:numId w:val="2"/>
      </w:numPr>
      <w:ind w:left="0" w:firstLine="482"/>
      <w:outlineLvl w:val="4"/>
    </w:pPr>
    <w:rPr>
      <w:b/>
      <w:kern w:val="2"/>
      <w:szCs w:val="20"/>
    </w:rPr>
  </w:style>
  <w:style w:type="paragraph" w:styleId="98">
    <w:name w:val="No Spacing"/>
    <w:next w:val="96"/>
    <w:qFormat/>
    <w:uiPriority w:val="0"/>
    <w:pPr>
      <w:widowControl w:val="0"/>
      <w:spacing w:before="50" w:beforeLines="50"/>
      <w:jc w:val="center"/>
      <w:outlineLvl w:val="4"/>
    </w:pPr>
    <w:rPr>
      <w:rFonts w:ascii="Times New Roman" w:hAnsi="Times New Roman" w:eastAsia="宋体" w:cs="Times New Roman"/>
      <w:color w:val="000000" w:themeColor="text1"/>
      <w:sz w:val="24"/>
      <w:szCs w:val="24"/>
      <w:lang w:val="en-US" w:eastAsia="zh-CN" w:bidi="ar-SA"/>
      <w14:textFill>
        <w14:solidFill>
          <w14:schemeClr w14:val="tx1"/>
        </w14:solidFill>
      </w14:textFill>
    </w:rPr>
  </w:style>
  <w:style w:type="table" w:customStyle="1" w:styleId="99">
    <w:name w:val="TableGrid"/>
    <w:qFormat/>
    <w:uiPriority w:val="0"/>
    <w:rPr>
      <w:kern w:val="2"/>
      <w:sz w:val="21"/>
      <w:szCs w:val="22"/>
    </w:rPr>
    <w:tblPr>
      <w:tblCellMar>
        <w:top w:w="0" w:type="dxa"/>
        <w:left w:w="0" w:type="dxa"/>
        <w:bottom w:w="0" w:type="dxa"/>
        <w:right w:w="0" w:type="dxa"/>
      </w:tblCellMar>
    </w:tblPr>
  </w:style>
  <w:style w:type="paragraph" w:customStyle="1" w:styleId="100">
    <w:name w:val="msolistparagraph"/>
    <w:basedOn w:val="1"/>
    <w:unhideWhenUsed/>
    <w:qFormat/>
    <w:uiPriority w:val="0"/>
    <w:pPr>
      <w:ind w:firstLine="420" w:firstLineChars="200"/>
    </w:pPr>
    <w:rPr>
      <w:rFonts w:ascii="Calibri" w:hAnsi="Calibri" w:eastAsia="宋体" w:cs="Times New Roman"/>
      <w:sz w:val="21"/>
    </w:rPr>
  </w:style>
  <w:style w:type="paragraph" w:customStyle="1" w:styleId="101">
    <w:name w:val="V表格文本"/>
    <w:basedOn w:val="1"/>
    <w:next w:val="1"/>
    <w:unhideWhenUsed/>
    <w:qFormat/>
    <w:uiPriority w:val="1"/>
    <w:pPr>
      <w:spacing w:line="320" w:lineRule="atLeast"/>
      <w:jc w:val="center"/>
    </w:pPr>
    <w:rPr>
      <w:sz w:val="21"/>
      <w:szCs w:val="24"/>
    </w:rPr>
  </w:style>
  <w:style w:type="paragraph" w:customStyle="1" w:styleId="102">
    <w:name w:val="表内文本正文"/>
    <w:basedOn w:val="1"/>
    <w:qFormat/>
    <w:uiPriority w:val="0"/>
    <w:pPr>
      <w:spacing w:line="360" w:lineRule="auto"/>
      <w:ind w:firstLine="420" w:firstLineChars="200"/>
    </w:pPr>
    <w:rPr>
      <w:rFonts w:ascii="Times New Roman" w:hAnsi="Times New Roman"/>
    </w:rPr>
  </w:style>
  <w:style w:type="paragraph" w:customStyle="1" w:styleId="103">
    <w:name w:val="表体"/>
    <w:basedOn w:val="1"/>
    <w:qFormat/>
    <w:uiPriority w:val="0"/>
    <w:pPr>
      <w:spacing w:line="240" w:lineRule="atLeast"/>
      <w:ind w:left="-63" w:leftChars="-30" w:right="-63" w:rightChars="-30"/>
      <w:jc w:val="center"/>
    </w:pPr>
    <w:rPr>
      <w:szCs w:val="21"/>
    </w:rPr>
  </w:style>
  <w:style w:type="character" w:customStyle="1" w:styleId="104">
    <w:name w:val="宋体 1.5行距 Char"/>
    <w:link w:val="93"/>
    <w:qFormat/>
    <w:uiPriority w:val="0"/>
    <w:rPr>
      <w:rFonts w:ascii="Times New Roman" w:hAnsi="Times New Roman" w:eastAsia="宋体" w:cs="仿宋_GB2312"/>
      <w:color w:val="000000"/>
      <w:sz w:val="21"/>
      <w:szCs w:val="36"/>
    </w:rPr>
  </w:style>
  <w:style w:type="paragraph" w:customStyle="1" w:styleId="105">
    <w:name w:val="报告正文"/>
    <w:basedOn w:val="1"/>
    <w:qFormat/>
    <w:uiPriority w:val="0"/>
    <w:pPr>
      <w:spacing w:line="500" w:lineRule="exact"/>
      <w:ind w:firstLine="480" w:firstLineChars="200"/>
    </w:pPr>
    <w:rPr>
      <w:rFonts w:cs="宋体"/>
      <w:sz w:val="24"/>
      <w:szCs w:val="20"/>
    </w:rPr>
  </w:style>
  <w:style w:type="paragraph" w:customStyle="1" w:styleId="106">
    <w:name w:val="_Style 1"/>
    <w:basedOn w:val="1"/>
    <w:qFormat/>
    <w:uiPriority w:val="0"/>
    <w:pPr>
      <w:ind w:firstLine="420" w:firstLineChars="200"/>
    </w:pPr>
    <w:rPr>
      <w:rFonts w:ascii="Calibri" w:hAnsi="Calibri" w:eastAsia="宋体" w:cs="Times New Roman"/>
    </w:rPr>
  </w:style>
  <w:style w:type="paragraph" w:customStyle="1" w:styleId="107">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08">
    <w:name w:val="环评表格文字"/>
    <w:basedOn w:val="1"/>
    <w:next w:val="1"/>
    <w:qFormat/>
    <w:uiPriority w:val="0"/>
  </w:style>
  <w:style w:type="paragraph" w:customStyle="1" w:styleId="109">
    <w:name w:val="表内容"/>
    <w:basedOn w:val="1"/>
    <w:next w:val="1"/>
    <w:qFormat/>
    <w:uiPriority w:val="99"/>
    <w:pPr>
      <w:spacing w:line="0" w:lineRule="atLeast"/>
      <w:jc w:val="center"/>
    </w:pPr>
  </w:style>
  <w:style w:type="paragraph" w:customStyle="1" w:styleId="110">
    <w:name w:val="无间隔1"/>
    <w:basedOn w:val="1"/>
    <w:next w:val="1"/>
    <w:qFormat/>
    <w:uiPriority w:val="1"/>
    <w:pPr>
      <w:spacing w:line="320" w:lineRule="atLeast"/>
      <w:jc w:val="center"/>
    </w:pPr>
    <w:rPr>
      <w:szCs w:val="20"/>
    </w:rPr>
  </w:style>
  <w:style w:type="paragraph" w:customStyle="1" w:styleId="111">
    <w:name w:val="表格内居中文字"/>
    <w:qFormat/>
    <w:uiPriority w:val="0"/>
    <w:pPr>
      <w:jc w:val="center"/>
    </w:pPr>
    <w:rPr>
      <w:rFonts w:ascii="Times New Roman" w:hAnsi="Times New Roman" w:eastAsia="宋体" w:cs="Times New Roman"/>
      <w:kern w:val="2"/>
      <w:sz w:val="21"/>
      <w:szCs w:val="24"/>
      <w:lang w:val="en-US" w:eastAsia="zh-CN" w:bidi="ar-SA"/>
    </w:rPr>
  </w:style>
  <w:style w:type="character" w:customStyle="1" w:styleId="112">
    <w:name w:val="font71"/>
    <w:basedOn w:val="32"/>
    <w:qFormat/>
    <w:uiPriority w:val="0"/>
    <w:rPr>
      <w:rFonts w:hint="default" w:ascii="Times New Roman" w:hAnsi="Times New Roman" w:cs="Times New Roman"/>
      <w:b/>
      <w:bCs/>
      <w:color w:val="000000"/>
      <w:sz w:val="21"/>
      <w:szCs w:val="21"/>
      <w:u w:val="none"/>
    </w:rPr>
  </w:style>
  <w:style w:type="character" w:customStyle="1" w:styleId="113">
    <w:name w:val="font11"/>
    <w:basedOn w:val="32"/>
    <w:qFormat/>
    <w:uiPriority w:val="0"/>
    <w:rPr>
      <w:rFonts w:hint="eastAsia" w:ascii="宋体" w:hAnsi="宋体" w:eastAsia="宋体" w:cs="宋体"/>
      <w:b/>
      <w:bCs/>
      <w:color w:val="000000"/>
      <w:sz w:val="21"/>
      <w:szCs w:val="21"/>
      <w:u w:val="none"/>
    </w:rPr>
  </w:style>
  <w:style w:type="character" w:customStyle="1" w:styleId="114">
    <w:name w:val="font31"/>
    <w:basedOn w:val="32"/>
    <w:qFormat/>
    <w:uiPriority w:val="0"/>
    <w:rPr>
      <w:rFonts w:hint="eastAsia" w:ascii="宋体" w:hAnsi="宋体" w:eastAsia="宋体" w:cs="宋体"/>
      <w:color w:val="000000"/>
      <w:sz w:val="21"/>
      <w:szCs w:val="21"/>
      <w:u w:val="none"/>
    </w:rPr>
  </w:style>
  <w:style w:type="character" w:customStyle="1" w:styleId="115">
    <w:name w:val="font41"/>
    <w:basedOn w:val="32"/>
    <w:qFormat/>
    <w:uiPriority w:val="0"/>
    <w:rPr>
      <w:rFonts w:hint="default" w:ascii="Times New Roman" w:hAnsi="Times New Roman" w:cs="Times New Roman"/>
      <w:color w:val="000000"/>
      <w:sz w:val="21"/>
      <w:szCs w:val="21"/>
      <w:u w:val="none"/>
    </w:rPr>
  </w:style>
  <w:style w:type="character" w:customStyle="1" w:styleId="116">
    <w:name w:val="font21"/>
    <w:basedOn w:val="32"/>
    <w:qFormat/>
    <w:uiPriority w:val="0"/>
    <w:rPr>
      <w:rFonts w:hint="eastAsia" w:ascii="宋体" w:hAnsi="宋体" w:eastAsia="宋体" w:cs="宋体"/>
      <w:color w:val="000000"/>
      <w:sz w:val="21"/>
      <w:szCs w:val="21"/>
      <w:u w:val="none"/>
    </w:rPr>
  </w:style>
  <w:style w:type="character" w:customStyle="1" w:styleId="117">
    <w:name w:val="font51"/>
    <w:basedOn w:val="32"/>
    <w:qFormat/>
    <w:uiPriority w:val="0"/>
    <w:rPr>
      <w:rFonts w:hint="default" w:ascii="Times New Roman" w:hAnsi="Times New Roman" w:cs="Times New Roman"/>
      <w:color w:val="FF0000"/>
      <w:sz w:val="21"/>
      <w:szCs w:val="21"/>
      <w:u w:val="none"/>
    </w:rPr>
  </w:style>
  <w:style w:type="paragraph" w:customStyle="1" w:styleId="118">
    <w:name w:val="表内字体111"/>
    <w:basedOn w:val="1"/>
    <w:qFormat/>
    <w:uiPriority w:val="0"/>
    <w:pPr>
      <w:jc w:val="center"/>
    </w:pPr>
    <w:rPr>
      <w:sz w:val="21"/>
    </w:rPr>
  </w:style>
  <w:style w:type="character" w:customStyle="1" w:styleId="119">
    <w:name w:val="批注文字 字符"/>
    <w:basedOn w:val="32"/>
    <w:link w:val="9"/>
    <w:qFormat/>
    <w:uiPriority w:val="99"/>
    <w:rPr>
      <w:rFonts w:ascii="Arial" w:hAnsi="Arial" w:eastAsia="微软雅黑" w:cstheme="minorBidi"/>
      <w:b/>
      <w:kern w:val="2"/>
      <w:sz w:val="22"/>
      <w:szCs w:val="22"/>
      <w:lang w:val="zh-CN"/>
    </w:rPr>
  </w:style>
  <w:style w:type="character" w:customStyle="1" w:styleId="120">
    <w:name w:val="批注主题 字符"/>
    <w:basedOn w:val="119"/>
    <w:link w:val="28"/>
    <w:semiHidden/>
    <w:qFormat/>
    <w:uiPriority w:val="99"/>
    <w:rPr>
      <w:rFonts w:ascii="Tahoma" w:hAnsi="Tahoma" w:eastAsia="微软雅黑" w:cstheme="minorBidi"/>
      <w:bCs/>
      <w:kern w:val="2"/>
      <w:sz w:val="22"/>
      <w:szCs w:val="22"/>
      <w:lang w:val="zh-CN"/>
    </w:rPr>
  </w:style>
  <w:style w:type="paragraph" w:customStyle="1" w:styleId="121">
    <w:name w:val="表格文字"/>
    <w:basedOn w:val="14"/>
    <w:qFormat/>
    <w:uiPriority w:val="0"/>
    <w:pPr>
      <w:widowControl w:val="0"/>
      <w:autoSpaceDE/>
      <w:autoSpaceDN/>
      <w:adjustRightInd w:val="0"/>
      <w:spacing w:line="240" w:lineRule="auto"/>
      <w:ind w:firstLine="0" w:firstLineChars="0"/>
      <w:jc w:val="left"/>
    </w:pPr>
    <w:rPr>
      <w:rFonts w:ascii="Times New Roman" w:hAnsi="Times New Roman" w:eastAsia="宋体" w:cs="Times New Roman"/>
      <w:color w:val="000000"/>
      <w:sz w:val="21"/>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1.png"/><Relationship Id="rId37" Type="http://schemas.openxmlformats.org/officeDocument/2006/relationships/image" Target="media/image20.wmf"/><Relationship Id="rId36" Type="http://schemas.openxmlformats.org/officeDocument/2006/relationships/oleObject" Target="embeddings/oleObject12.bin"/><Relationship Id="rId35" Type="http://schemas.openxmlformats.org/officeDocument/2006/relationships/image" Target="media/image19.wmf"/><Relationship Id="rId34" Type="http://schemas.openxmlformats.org/officeDocument/2006/relationships/oleObject" Target="embeddings/oleObject11.bin"/><Relationship Id="rId33" Type="http://schemas.openxmlformats.org/officeDocument/2006/relationships/image" Target="media/image18.wmf"/><Relationship Id="rId32" Type="http://schemas.openxmlformats.org/officeDocument/2006/relationships/oleObject" Target="embeddings/oleObject10.bin"/><Relationship Id="rId31" Type="http://schemas.openxmlformats.org/officeDocument/2006/relationships/image" Target="media/image17.w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6.emf"/><Relationship Id="rId28" Type="http://schemas.openxmlformats.org/officeDocument/2006/relationships/oleObject" Target="embeddings/oleObject8.bin"/><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emf"/><Relationship Id="rId22" Type="http://schemas.openxmlformats.org/officeDocument/2006/relationships/oleObject" Target="embeddings/oleObject7.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6.bin"/><Relationship Id="rId17" Type="http://schemas.openxmlformats.org/officeDocument/2006/relationships/image" Target="media/image7.emf"/><Relationship Id="rId16" Type="http://schemas.openxmlformats.org/officeDocument/2006/relationships/oleObject" Target="embeddings/oleObject5.bin"/><Relationship Id="rId15" Type="http://schemas.openxmlformats.org/officeDocument/2006/relationships/image" Target="media/image6.emf"/><Relationship Id="rId14" Type="http://schemas.openxmlformats.org/officeDocument/2006/relationships/oleObject" Target="embeddings/oleObject4.bin"/><Relationship Id="rId13" Type="http://schemas.openxmlformats.org/officeDocument/2006/relationships/image" Target="media/image5.emf"/><Relationship Id="rId12" Type="http://schemas.openxmlformats.org/officeDocument/2006/relationships/oleObject" Target="embeddings/oleObject3.bin"/><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93</Pages>
  <Words>67415</Words>
  <Characters>79426</Characters>
  <Lines>587</Lines>
  <Paragraphs>165</Paragraphs>
  <TotalTime>2</TotalTime>
  <ScaleCrop>false</ScaleCrop>
  <LinksUpToDate>false</LinksUpToDate>
  <CharactersWithSpaces>80095</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2021-10-19T00:21:00Z</dcterms:created>
  <dc:creator>Administrator</dc:creator>
  <cp:lastModifiedBy>user</cp:lastModifiedBy>
  <cp:lastPrinted>2024-06-12T14:32:00Z</cp:lastPrinted>
  <dcterms:modified xsi:type="dcterms:W3CDTF">2024-07-31T12:36:35Z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8D36E87006A044F5BD2638F5395FA338_13</vt:lpwstr>
  </property>
</Properties>
</file>