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sz w:val="36"/>
          <w:szCs w:val="36"/>
        </w:rPr>
      </w:pPr>
      <w:bookmarkStart w:id="5" w:name="_GoBack"/>
      <w:bookmarkEnd w:id="5"/>
    </w:p>
    <w:p>
      <w:pPr>
        <w:ind w:firstLine="0" w:firstLineChars="0"/>
        <w:rPr>
          <w:sz w:val="36"/>
          <w:szCs w:val="36"/>
        </w:rPr>
      </w:pPr>
    </w:p>
    <w:p>
      <w:pPr>
        <w:ind w:firstLine="0" w:firstLineChars="0"/>
        <w:rPr>
          <w:sz w:val="36"/>
          <w:szCs w:val="36"/>
        </w:rPr>
      </w:pPr>
    </w:p>
    <w:p>
      <w:pPr>
        <w:ind w:firstLine="0" w:firstLineChars="0"/>
        <w:jc w:val="center"/>
        <w:outlineLvl w:val="0"/>
        <w:rPr>
          <w:bCs/>
          <w:sz w:val="72"/>
          <w:szCs w:val="72"/>
        </w:rPr>
      </w:pPr>
      <w:r>
        <w:rPr>
          <w:bCs/>
          <w:sz w:val="72"/>
          <w:szCs w:val="72"/>
        </w:rPr>
        <w:t>建设项目环境影响报告表</w:t>
      </w:r>
    </w:p>
    <w:p>
      <w:pPr>
        <w:ind w:firstLine="0" w:firstLineChars="0"/>
        <w:jc w:val="center"/>
        <w:rPr>
          <w:bCs/>
          <w:sz w:val="48"/>
          <w:szCs w:val="48"/>
        </w:rPr>
      </w:pPr>
      <w:r>
        <w:rPr>
          <w:bCs/>
          <w:sz w:val="48"/>
          <w:szCs w:val="48"/>
        </w:rPr>
        <w:t>（污染影响类）</w:t>
      </w:r>
    </w:p>
    <w:p>
      <w:pPr>
        <w:ind w:firstLine="0" w:firstLineChars="0"/>
        <w:jc w:val="center"/>
        <w:rPr>
          <w:bCs/>
          <w:sz w:val="48"/>
          <w:szCs w:val="48"/>
        </w:rPr>
      </w:pPr>
    </w:p>
    <w:p>
      <w:pPr>
        <w:ind w:firstLine="0" w:firstLineChars="0"/>
        <w:jc w:val="center"/>
        <w:rPr>
          <w:sz w:val="32"/>
          <w:szCs w:val="52"/>
        </w:rPr>
      </w:pPr>
      <w:r>
        <w:rPr>
          <w:sz w:val="32"/>
          <w:szCs w:val="52"/>
        </w:rPr>
        <w:t>（</w:t>
      </w:r>
      <w:r>
        <w:rPr>
          <w:rFonts w:hint="eastAsia"/>
          <w:sz w:val="32"/>
          <w:szCs w:val="52"/>
        </w:rPr>
        <w:t>公示版</w:t>
      </w:r>
      <w:r>
        <w:rPr>
          <w:sz w:val="32"/>
          <w:szCs w:val="52"/>
        </w:rPr>
        <w:t>）</w:t>
      </w:r>
    </w:p>
    <w:p>
      <w:pPr>
        <w:ind w:firstLine="0" w:firstLineChars="0"/>
        <w:jc w:val="center"/>
        <w:rPr>
          <w:sz w:val="52"/>
          <w:szCs w:val="52"/>
        </w:rPr>
      </w:pPr>
    </w:p>
    <w:p>
      <w:pPr>
        <w:ind w:firstLine="0" w:firstLineChars="0"/>
        <w:jc w:val="center"/>
        <w:rPr>
          <w:sz w:val="52"/>
          <w:szCs w:val="52"/>
        </w:rPr>
      </w:pPr>
    </w:p>
    <w:tbl>
      <w:tblPr>
        <w:tblStyle w:val="1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72"/>
        <w:gridCol w:w="6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2972" w:type="dxa"/>
            <w:vAlign w:val="center"/>
          </w:tcPr>
          <w:p>
            <w:pPr>
              <w:spacing w:line="240" w:lineRule="auto"/>
              <w:ind w:firstLine="0" w:firstLineChars="0"/>
              <w:jc w:val="distribute"/>
              <w:rPr>
                <w:sz w:val="44"/>
                <w:szCs w:val="44"/>
              </w:rPr>
            </w:pPr>
            <w:r>
              <w:rPr>
                <w:sz w:val="36"/>
                <w:szCs w:val="36"/>
              </w:rPr>
              <w:t>项目名称:</w:t>
            </w:r>
          </w:p>
        </w:tc>
        <w:tc>
          <w:tcPr>
            <w:tcW w:w="6100" w:type="dxa"/>
            <w:tcBorders>
              <w:bottom w:val="single" w:color="auto" w:sz="4" w:space="0"/>
            </w:tcBorders>
            <w:vAlign w:val="center"/>
          </w:tcPr>
          <w:p>
            <w:pPr>
              <w:spacing w:line="240" w:lineRule="auto"/>
              <w:ind w:firstLine="0" w:firstLineChars="0"/>
              <w:jc w:val="center"/>
              <w:rPr>
                <w:sz w:val="44"/>
                <w:szCs w:val="44"/>
              </w:rPr>
            </w:pPr>
            <w:r>
              <w:rPr>
                <w:sz w:val="36"/>
                <w:szCs w:val="36"/>
              </w:rPr>
              <w:t>苕皮、豆干生产项目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6" w:hRule="atLeast"/>
          <w:jc w:val="center"/>
        </w:trPr>
        <w:tc>
          <w:tcPr>
            <w:tcW w:w="2972" w:type="dxa"/>
            <w:vAlign w:val="center"/>
          </w:tcPr>
          <w:p>
            <w:pPr>
              <w:spacing w:line="240" w:lineRule="auto"/>
              <w:ind w:firstLine="0" w:firstLineChars="0"/>
              <w:jc w:val="distribute"/>
              <w:rPr>
                <w:sz w:val="44"/>
                <w:szCs w:val="44"/>
              </w:rPr>
            </w:pPr>
            <w:r>
              <w:rPr>
                <w:sz w:val="36"/>
                <w:szCs w:val="36"/>
              </w:rPr>
              <w:t>建设单位:</w:t>
            </w:r>
          </w:p>
        </w:tc>
        <w:tc>
          <w:tcPr>
            <w:tcW w:w="6100" w:type="dxa"/>
            <w:tcBorders>
              <w:top w:val="single" w:color="auto" w:sz="4" w:space="0"/>
              <w:bottom w:val="single" w:color="auto" w:sz="4" w:space="0"/>
            </w:tcBorders>
            <w:vAlign w:val="center"/>
          </w:tcPr>
          <w:p>
            <w:pPr>
              <w:spacing w:line="240" w:lineRule="auto"/>
              <w:ind w:firstLine="0" w:firstLineChars="0"/>
              <w:jc w:val="center"/>
              <w:rPr>
                <w:sz w:val="44"/>
                <w:szCs w:val="44"/>
              </w:rPr>
            </w:pPr>
            <w:r>
              <w:rPr>
                <w:sz w:val="36"/>
                <w:szCs w:val="36"/>
              </w:rPr>
              <w:t>烤丞相（重庆）食品有限公司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2972" w:type="dxa"/>
            <w:vAlign w:val="center"/>
          </w:tcPr>
          <w:p>
            <w:pPr>
              <w:spacing w:line="240" w:lineRule="auto"/>
              <w:ind w:firstLine="0" w:firstLineChars="0"/>
              <w:jc w:val="distribute"/>
              <w:rPr>
                <w:sz w:val="44"/>
                <w:szCs w:val="44"/>
              </w:rPr>
            </w:pPr>
            <w:r>
              <w:rPr>
                <w:sz w:val="36"/>
                <w:szCs w:val="36"/>
              </w:rPr>
              <w:t>编制日期:</w:t>
            </w:r>
          </w:p>
        </w:tc>
        <w:tc>
          <w:tcPr>
            <w:tcW w:w="6100" w:type="dxa"/>
            <w:tcBorders>
              <w:top w:val="single" w:color="auto" w:sz="4" w:space="0"/>
              <w:bottom w:val="single" w:color="auto" w:sz="4" w:space="0"/>
            </w:tcBorders>
            <w:vAlign w:val="center"/>
          </w:tcPr>
          <w:p>
            <w:pPr>
              <w:spacing w:line="240" w:lineRule="auto"/>
              <w:ind w:firstLine="0" w:firstLineChars="0"/>
              <w:jc w:val="center"/>
              <w:rPr>
                <w:sz w:val="44"/>
                <w:szCs w:val="44"/>
              </w:rPr>
            </w:pPr>
            <w:r>
              <w:rPr>
                <w:sz w:val="36"/>
                <w:szCs w:val="36"/>
              </w:rPr>
              <w:t>二〇二</w:t>
            </w:r>
            <w:r>
              <w:rPr>
                <w:rFonts w:hint="eastAsia"/>
                <w:sz w:val="36"/>
                <w:szCs w:val="36"/>
              </w:rPr>
              <w:t>四</w:t>
            </w:r>
            <w:r>
              <w:rPr>
                <w:sz w:val="36"/>
                <w:szCs w:val="36"/>
              </w:rPr>
              <w:t>年</w:t>
            </w:r>
            <w:r>
              <w:rPr>
                <w:rFonts w:hint="eastAsia"/>
                <w:sz w:val="36"/>
                <w:szCs w:val="36"/>
              </w:rPr>
              <w:t>一</w:t>
            </w:r>
            <w:r>
              <w:rPr>
                <w:sz w:val="36"/>
                <w:szCs w:val="36"/>
              </w:rPr>
              <w:t>月</w:t>
            </w:r>
          </w:p>
        </w:tc>
      </w:tr>
    </w:tbl>
    <w:p>
      <w:pPr>
        <w:ind w:firstLine="0" w:firstLineChars="0"/>
        <w:rPr>
          <w:sz w:val="36"/>
          <w:szCs w:val="36"/>
        </w:rPr>
      </w:pPr>
      <w:bookmarkStart w:id="0" w:name="_Hlk57884087"/>
    </w:p>
    <w:p>
      <w:pPr>
        <w:adjustRightInd w:val="0"/>
        <w:snapToGrid w:val="0"/>
        <w:spacing w:line="288" w:lineRule="auto"/>
        <w:ind w:firstLine="0" w:firstLineChars="0"/>
        <w:rPr>
          <w:sz w:val="36"/>
          <w:szCs w:val="36"/>
        </w:rPr>
      </w:pPr>
    </w:p>
    <w:p>
      <w:pPr>
        <w:adjustRightInd w:val="0"/>
        <w:snapToGrid w:val="0"/>
        <w:spacing w:line="288" w:lineRule="auto"/>
        <w:ind w:firstLine="0" w:firstLineChars="0"/>
        <w:rPr>
          <w:sz w:val="36"/>
          <w:szCs w:val="36"/>
        </w:rPr>
      </w:pPr>
    </w:p>
    <w:p>
      <w:pPr>
        <w:adjustRightInd w:val="0"/>
        <w:snapToGrid w:val="0"/>
        <w:spacing w:line="288" w:lineRule="auto"/>
        <w:ind w:firstLine="0" w:firstLineChars="0"/>
        <w:rPr>
          <w:sz w:val="36"/>
          <w:szCs w:val="36"/>
        </w:rPr>
      </w:pPr>
    </w:p>
    <w:p>
      <w:pPr>
        <w:adjustRightInd w:val="0"/>
        <w:snapToGrid w:val="0"/>
        <w:spacing w:line="288" w:lineRule="auto"/>
        <w:ind w:firstLine="0" w:firstLineChars="0"/>
        <w:rPr>
          <w:sz w:val="36"/>
          <w:szCs w:val="36"/>
        </w:rPr>
      </w:pPr>
    </w:p>
    <w:bookmarkEnd w:id="0"/>
    <w:p>
      <w:pPr>
        <w:adjustRightInd w:val="0"/>
        <w:snapToGrid w:val="0"/>
        <w:spacing w:line="288" w:lineRule="auto"/>
        <w:ind w:firstLine="0" w:firstLineChars="0"/>
        <w:jc w:val="center"/>
        <w:rPr>
          <w:sz w:val="36"/>
          <w:szCs w:val="36"/>
        </w:rPr>
      </w:pPr>
      <w:r>
        <w:rPr>
          <w:sz w:val="36"/>
          <w:szCs w:val="36"/>
        </w:rPr>
        <w:t>中华人民共和国生态环境部制</w:t>
      </w:r>
    </w:p>
    <w:p>
      <w:pPr>
        <w:adjustRightInd w:val="0"/>
        <w:snapToGrid w:val="0"/>
        <w:spacing w:line="288" w:lineRule="auto"/>
        <w:ind w:firstLine="720"/>
        <w:jc w:val="center"/>
        <w:rPr>
          <w:sz w:val="36"/>
          <w:szCs w:val="36"/>
        </w:rPr>
      </w:pPr>
    </w:p>
    <w:p>
      <w:pPr>
        <w:ind w:firstLine="0" w:firstLineChars="0"/>
        <w:rPr>
          <w:sz w:val="36"/>
          <w:szCs w:val="36"/>
        </w:rPr>
      </w:pPr>
    </w:p>
    <w:p>
      <w:pPr>
        <w:adjustRightInd w:val="0"/>
        <w:snapToGrid w:val="0"/>
        <w:spacing w:line="288" w:lineRule="auto"/>
        <w:ind w:firstLine="0" w:firstLineChars="0"/>
        <w:jc w:val="center"/>
        <w:rPr>
          <w:bCs/>
          <w:sz w:val="72"/>
          <w:szCs w:val="72"/>
        </w:rPr>
      </w:pPr>
      <w:r>
        <w:drawing>
          <wp:inline distT="0" distB="0" distL="0" distR="0">
            <wp:extent cx="6143625" cy="8686800"/>
            <wp:effectExtent l="0" t="0" r="9525"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4"/>
                    <a:stretch>
                      <a:fillRect/>
                    </a:stretch>
                  </pic:blipFill>
                  <pic:spPr>
                    <a:xfrm>
                      <a:off x="0" y="0"/>
                      <a:ext cx="6143625" cy="8686800"/>
                    </a:xfrm>
                    <a:prstGeom prst="rect">
                      <a:avLst/>
                    </a:prstGeom>
                  </pic:spPr>
                </pic:pic>
              </a:graphicData>
            </a:graphic>
          </wp:inline>
        </w:drawing>
      </w:r>
      <w:r>
        <w:drawing>
          <wp:inline distT="0" distB="0" distL="0" distR="0">
            <wp:extent cx="6124575" cy="8562975"/>
            <wp:effectExtent l="0" t="0" r="9525" b="952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15"/>
                    <a:stretch>
                      <a:fillRect/>
                    </a:stretch>
                  </pic:blipFill>
                  <pic:spPr>
                    <a:xfrm>
                      <a:off x="0" y="0"/>
                      <a:ext cx="6124575" cy="8562975"/>
                    </a:xfrm>
                    <a:prstGeom prst="rect">
                      <a:avLst/>
                    </a:prstGeom>
                  </pic:spPr>
                </pic:pic>
              </a:graphicData>
            </a:graphic>
          </wp:inline>
        </w:drawing>
      </w:r>
      <w:r>
        <w:drawing>
          <wp:inline distT="0" distB="0" distL="0" distR="0">
            <wp:extent cx="5981700" cy="8515350"/>
            <wp:effectExtent l="0" t="0" r="0" b="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16"/>
                    <a:stretch>
                      <a:fillRect/>
                    </a:stretch>
                  </pic:blipFill>
                  <pic:spPr>
                    <a:xfrm>
                      <a:off x="0" y="0"/>
                      <a:ext cx="5981700" cy="8515350"/>
                    </a:xfrm>
                    <a:prstGeom prst="rect">
                      <a:avLst/>
                    </a:prstGeom>
                  </pic:spPr>
                </pic:pic>
              </a:graphicData>
            </a:graphic>
          </wp:inline>
        </w:drawing>
      </w:r>
    </w:p>
    <w:p>
      <w:pPr>
        <w:adjustRightInd w:val="0"/>
        <w:snapToGrid w:val="0"/>
        <w:spacing w:line="288" w:lineRule="auto"/>
        <w:ind w:firstLine="0" w:firstLineChars="0"/>
        <w:jc w:val="center"/>
        <w:rPr>
          <w:sz w:val="36"/>
          <w:szCs w:val="36"/>
        </w:rPr>
      </w:pPr>
    </w:p>
    <w:p>
      <w:pPr>
        <w:adjustRightInd w:val="0"/>
        <w:snapToGrid w:val="0"/>
        <w:spacing w:line="288" w:lineRule="auto"/>
        <w:ind w:firstLine="720"/>
        <w:jc w:val="center"/>
        <w:rPr>
          <w:sz w:val="36"/>
          <w:szCs w:val="36"/>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1440" w:right="1080" w:bottom="1440" w:left="1080" w:header="851" w:footer="851" w:gutter="0"/>
          <w:pgNumType w:fmt="numberInDash" w:start="1"/>
          <w:cols w:space="720" w:num="1"/>
          <w:titlePg/>
          <w:docGrid w:linePitch="326" w:charSpace="0"/>
        </w:sectPr>
      </w:pPr>
    </w:p>
    <w:p>
      <w:pPr>
        <w:adjustRightInd w:val="0"/>
        <w:snapToGrid w:val="0"/>
        <w:spacing w:line="288" w:lineRule="auto"/>
        <w:ind w:firstLine="600"/>
        <w:jc w:val="center"/>
        <w:outlineLvl w:val="0"/>
        <w:rPr>
          <w:snapToGrid w:val="0"/>
          <w:sz w:val="30"/>
          <w:szCs w:val="30"/>
        </w:rPr>
      </w:pPr>
      <w:r>
        <w:rPr>
          <w:snapToGrid w:val="0"/>
          <w:sz w:val="30"/>
          <w:szCs w:val="30"/>
        </w:rPr>
        <w:t>一、建设项目基本情况</w:t>
      </w:r>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06"/>
        <w:gridCol w:w="2178"/>
        <w:gridCol w:w="2153"/>
        <w:gridCol w:w="43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91" w:type="dxa"/>
            <w:tcMar>
              <w:top w:w="16" w:type="dxa"/>
              <w:left w:w="16" w:type="dxa"/>
              <w:right w:w="16" w:type="dxa"/>
            </w:tcMar>
            <w:vAlign w:val="center"/>
          </w:tcPr>
          <w:p>
            <w:pPr>
              <w:adjustRightInd w:val="0"/>
              <w:snapToGrid w:val="0"/>
              <w:spacing w:line="240" w:lineRule="auto"/>
              <w:ind w:firstLine="0" w:firstLineChars="0"/>
              <w:jc w:val="center"/>
              <w:rPr>
                <w:szCs w:val="21"/>
              </w:rPr>
            </w:pPr>
            <w:r>
              <w:rPr>
                <w:szCs w:val="21"/>
              </w:rPr>
              <w:t>建设项目名称</w:t>
            </w:r>
          </w:p>
        </w:tc>
        <w:tc>
          <w:tcPr>
            <w:tcW w:w="8035" w:type="dxa"/>
            <w:gridSpan w:val="3"/>
            <w:vAlign w:val="center"/>
          </w:tcPr>
          <w:p>
            <w:pPr>
              <w:adjustRightInd w:val="0"/>
              <w:snapToGrid w:val="0"/>
              <w:spacing w:line="240" w:lineRule="auto"/>
              <w:ind w:firstLine="0" w:firstLineChars="0"/>
              <w:jc w:val="center"/>
              <w:rPr>
                <w:szCs w:val="21"/>
              </w:rPr>
            </w:pPr>
            <w:r>
              <w:rPr>
                <w:szCs w:val="21"/>
              </w:rPr>
              <w:t>苕皮、豆干生产项目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91" w:type="dxa"/>
            <w:tcMar>
              <w:top w:w="16" w:type="dxa"/>
              <w:left w:w="16" w:type="dxa"/>
              <w:right w:w="16" w:type="dxa"/>
            </w:tcMar>
            <w:vAlign w:val="center"/>
          </w:tcPr>
          <w:p>
            <w:pPr>
              <w:adjustRightInd w:val="0"/>
              <w:snapToGrid w:val="0"/>
              <w:spacing w:line="240" w:lineRule="auto"/>
              <w:ind w:firstLine="0" w:firstLineChars="0"/>
              <w:jc w:val="center"/>
              <w:rPr>
                <w:szCs w:val="21"/>
              </w:rPr>
            </w:pPr>
            <w:r>
              <w:rPr>
                <w:szCs w:val="21"/>
              </w:rPr>
              <w:t>项目代码</w:t>
            </w:r>
          </w:p>
        </w:tc>
        <w:tc>
          <w:tcPr>
            <w:tcW w:w="8035" w:type="dxa"/>
            <w:gridSpan w:val="3"/>
            <w:vAlign w:val="center"/>
          </w:tcPr>
          <w:p>
            <w:pPr>
              <w:adjustRightInd w:val="0"/>
              <w:snapToGrid w:val="0"/>
              <w:spacing w:line="240" w:lineRule="auto"/>
              <w:ind w:firstLine="0" w:firstLineChars="0"/>
              <w:jc w:val="center"/>
              <w:rPr>
                <w:szCs w:val="21"/>
              </w:rPr>
            </w:pPr>
            <w:r>
              <w:t>2401-500117-04-01-384969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91" w:type="dxa"/>
            <w:tcMar>
              <w:top w:w="16" w:type="dxa"/>
              <w:left w:w="16" w:type="dxa"/>
              <w:right w:w="16" w:type="dxa"/>
            </w:tcMar>
            <w:vAlign w:val="center"/>
          </w:tcPr>
          <w:p>
            <w:pPr>
              <w:adjustRightInd w:val="0"/>
              <w:snapToGrid w:val="0"/>
              <w:spacing w:line="240" w:lineRule="auto"/>
              <w:ind w:firstLine="0" w:firstLineChars="0"/>
              <w:jc w:val="center"/>
              <w:rPr>
                <w:szCs w:val="21"/>
              </w:rPr>
            </w:pPr>
            <w:r>
              <w:rPr>
                <w:szCs w:val="21"/>
              </w:rPr>
              <w:t>建设单位联系人</w:t>
            </w:r>
          </w:p>
        </w:tc>
        <w:tc>
          <w:tcPr>
            <w:tcW w:w="2412" w:type="dxa"/>
            <w:vAlign w:val="center"/>
          </w:tcPr>
          <w:p>
            <w:pPr>
              <w:adjustRightInd w:val="0"/>
              <w:snapToGrid w:val="0"/>
              <w:spacing w:line="240" w:lineRule="auto"/>
              <w:ind w:firstLine="0" w:firstLineChars="0"/>
              <w:jc w:val="center"/>
              <w:rPr>
                <w:szCs w:val="21"/>
              </w:rPr>
            </w:pPr>
            <w:r>
              <w:rPr>
                <w:rFonts w:hint="eastAsia"/>
                <w:szCs w:val="21"/>
              </w:rPr>
              <w:t>杨岚枫</w:t>
            </w:r>
          </w:p>
        </w:tc>
        <w:tc>
          <w:tcPr>
            <w:tcW w:w="2366" w:type="dxa"/>
            <w:vAlign w:val="center"/>
          </w:tcPr>
          <w:p>
            <w:pPr>
              <w:adjustRightInd w:val="0"/>
              <w:snapToGrid w:val="0"/>
              <w:spacing w:line="240" w:lineRule="auto"/>
              <w:ind w:firstLine="0" w:firstLineChars="0"/>
              <w:jc w:val="center"/>
              <w:rPr>
                <w:szCs w:val="21"/>
              </w:rPr>
            </w:pPr>
            <w:r>
              <w:rPr>
                <w:szCs w:val="21"/>
              </w:rPr>
              <w:t>联系方式</w:t>
            </w:r>
          </w:p>
        </w:tc>
        <w:tc>
          <w:tcPr>
            <w:tcW w:w="3257" w:type="dxa"/>
            <w:vAlign w:val="center"/>
          </w:tcPr>
          <w:p>
            <w:pPr>
              <w:adjustRightInd w:val="0"/>
              <w:snapToGrid w:val="0"/>
              <w:spacing w:line="240" w:lineRule="auto"/>
              <w:ind w:firstLine="0" w:firstLineChars="0"/>
              <w:jc w:val="center"/>
              <w:rPr>
                <w:rFonts w:hint="eastAsia" w:eastAsia="宋体"/>
                <w:szCs w:val="21"/>
                <w:lang w:eastAsia="zh-CN"/>
              </w:rPr>
            </w:pPr>
            <w:r>
              <w:rPr>
                <w:rFonts w:hint="eastAsia"/>
                <w:szCs w:val="21"/>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91" w:type="dxa"/>
            <w:tcMar>
              <w:top w:w="16" w:type="dxa"/>
              <w:left w:w="16" w:type="dxa"/>
              <w:right w:w="16" w:type="dxa"/>
            </w:tcMar>
            <w:vAlign w:val="center"/>
          </w:tcPr>
          <w:p>
            <w:pPr>
              <w:adjustRightInd w:val="0"/>
              <w:snapToGrid w:val="0"/>
              <w:spacing w:line="240" w:lineRule="auto"/>
              <w:ind w:firstLine="0" w:firstLineChars="0"/>
              <w:jc w:val="center"/>
              <w:rPr>
                <w:szCs w:val="21"/>
              </w:rPr>
            </w:pPr>
            <w:r>
              <w:rPr>
                <w:szCs w:val="21"/>
              </w:rPr>
              <w:t>建设地点</w:t>
            </w:r>
          </w:p>
        </w:tc>
        <w:tc>
          <w:tcPr>
            <w:tcW w:w="8035" w:type="dxa"/>
            <w:gridSpan w:val="3"/>
            <w:vAlign w:val="center"/>
          </w:tcPr>
          <w:p>
            <w:pPr>
              <w:adjustRightInd w:val="0"/>
              <w:snapToGrid w:val="0"/>
              <w:spacing w:line="240" w:lineRule="auto"/>
              <w:ind w:firstLine="0" w:firstLineChars="0"/>
              <w:jc w:val="center"/>
              <w:rPr>
                <w:szCs w:val="21"/>
              </w:rPr>
            </w:pPr>
            <w:r>
              <w:rPr>
                <w:szCs w:val="21"/>
              </w:rPr>
              <w:t>重庆市合川区</w:t>
            </w:r>
            <w:r>
              <w:rPr>
                <w:rFonts w:hint="eastAsia"/>
                <w:szCs w:val="21"/>
              </w:rPr>
              <w:t>南津街街道</w:t>
            </w:r>
            <w:r>
              <w:rPr>
                <w:szCs w:val="21"/>
              </w:rPr>
              <w:t>高阳路1028号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91" w:type="dxa"/>
            <w:tcMar>
              <w:top w:w="16" w:type="dxa"/>
              <w:left w:w="16" w:type="dxa"/>
              <w:right w:w="16" w:type="dxa"/>
            </w:tcMar>
            <w:vAlign w:val="center"/>
          </w:tcPr>
          <w:p>
            <w:pPr>
              <w:adjustRightInd w:val="0"/>
              <w:snapToGrid w:val="0"/>
              <w:spacing w:line="240" w:lineRule="auto"/>
              <w:ind w:firstLine="0" w:firstLineChars="0"/>
              <w:jc w:val="center"/>
              <w:rPr>
                <w:szCs w:val="21"/>
              </w:rPr>
            </w:pPr>
            <w:r>
              <w:rPr>
                <w:szCs w:val="21"/>
              </w:rPr>
              <w:t>地理坐标</w:t>
            </w:r>
          </w:p>
        </w:tc>
        <w:tc>
          <w:tcPr>
            <w:tcW w:w="8035" w:type="dxa"/>
            <w:gridSpan w:val="3"/>
            <w:vAlign w:val="center"/>
          </w:tcPr>
          <w:p>
            <w:pPr>
              <w:adjustRightInd w:val="0"/>
              <w:snapToGrid w:val="0"/>
              <w:spacing w:line="240" w:lineRule="auto"/>
              <w:ind w:firstLine="0" w:firstLineChars="0"/>
              <w:jc w:val="center"/>
              <w:rPr>
                <w:rFonts w:hint="eastAsia" w:eastAsia="宋体"/>
                <w:szCs w:val="21"/>
                <w:lang w:eastAsia="zh-CN"/>
              </w:rPr>
            </w:pPr>
            <w:r>
              <w:rPr>
                <w:rFonts w:hint="eastAsia"/>
                <w:szCs w:val="21"/>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91" w:type="dxa"/>
            <w:tcMar>
              <w:top w:w="16" w:type="dxa"/>
              <w:left w:w="16" w:type="dxa"/>
              <w:right w:w="16" w:type="dxa"/>
            </w:tcMar>
            <w:vAlign w:val="center"/>
          </w:tcPr>
          <w:p>
            <w:pPr>
              <w:adjustRightInd w:val="0"/>
              <w:snapToGrid w:val="0"/>
              <w:spacing w:line="240" w:lineRule="auto"/>
              <w:ind w:firstLine="0" w:firstLineChars="0"/>
              <w:jc w:val="center"/>
              <w:rPr>
                <w:szCs w:val="21"/>
              </w:rPr>
            </w:pPr>
            <w:r>
              <w:rPr>
                <w:szCs w:val="21"/>
              </w:rPr>
              <w:t>国民经济</w:t>
            </w:r>
          </w:p>
          <w:p>
            <w:pPr>
              <w:adjustRightInd w:val="0"/>
              <w:snapToGrid w:val="0"/>
              <w:spacing w:line="240" w:lineRule="auto"/>
              <w:ind w:firstLine="0" w:firstLineChars="0"/>
              <w:jc w:val="center"/>
              <w:rPr>
                <w:szCs w:val="21"/>
              </w:rPr>
            </w:pPr>
            <w:r>
              <w:rPr>
                <w:szCs w:val="21"/>
              </w:rPr>
              <w:t>行业类别</w:t>
            </w:r>
          </w:p>
        </w:tc>
        <w:tc>
          <w:tcPr>
            <w:tcW w:w="2412" w:type="dxa"/>
            <w:vAlign w:val="center"/>
          </w:tcPr>
          <w:p>
            <w:pPr>
              <w:adjustRightInd w:val="0"/>
              <w:snapToGrid w:val="0"/>
              <w:spacing w:line="240" w:lineRule="auto"/>
              <w:ind w:firstLine="0" w:firstLineChars="0"/>
              <w:jc w:val="center"/>
              <w:rPr>
                <w:szCs w:val="22"/>
              </w:rPr>
            </w:pPr>
            <w:r>
              <w:rPr>
                <w:szCs w:val="22"/>
              </w:rPr>
              <w:t>C1391</w:t>
            </w:r>
            <w:r>
              <w:rPr>
                <w:rFonts w:hint="eastAsia"/>
                <w:szCs w:val="22"/>
              </w:rPr>
              <w:t>淀粉及</w:t>
            </w:r>
            <w:r>
              <w:rPr>
                <w:szCs w:val="22"/>
              </w:rPr>
              <w:t>淀粉制品制造</w:t>
            </w:r>
          </w:p>
          <w:p>
            <w:pPr>
              <w:adjustRightInd w:val="0"/>
              <w:snapToGrid w:val="0"/>
              <w:spacing w:line="240" w:lineRule="auto"/>
              <w:ind w:firstLine="0" w:firstLineChars="0"/>
              <w:jc w:val="center"/>
              <w:rPr>
                <w:szCs w:val="21"/>
              </w:rPr>
            </w:pPr>
            <w:r>
              <w:rPr>
                <w:rFonts w:hint="eastAsia"/>
                <w:szCs w:val="22"/>
              </w:rPr>
              <w:t>C1392</w:t>
            </w:r>
            <w:r>
              <w:rPr>
                <w:szCs w:val="22"/>
              </w:rPr>
              <w:t>豆制品制造</w:t>
            </w:r>
          </w:p>
        </w:tc>
        <w:tc>
          <w:tcPr>
            <w:tcW w:w="2366" w:type="dxa"/>
            <w:vAlign w:val="center"/>
          </w:tcPr>
          <w:p>
            <w:pPr>
              <w:adjustRightInd w:val="0"/>
              <w:snapToGrid w:val="0"/>
              <w:spacing w:line="240" w:lineRule="auto"/>
              <w:ind w:firstLine="0" w:firstLineChars="0"/>
              <w:jc w:val="center"/>
              <w:rPr>
                <w:szCs w:val="21"/>
              </w:rPr>
            </w:pPr>
            <w:bookmarkStart w:id="1" w:name="_Hlk49843745"/>
            <w:r>
              <w:rPr>
                <w:szCs w:val="21"/>
              </w:rPr>
              <w:t>建设项目</w:t>
            </w:r>
          </w:p>
          <w:p>
            <w:pPr>
              <w:adjustRightInd w:val="0"/>
              <w:snapToGrid w:val="0"/>
              <w:spacing w:line="240" w:lineRule="auto"/>
              <w:ind w:firstLine="0" w:firstLineChars="0"/>
              <w:jc w:val="center"/>
              <w:rPr>
                <w:szCs w:val="21"/>
              </w:rPr>
            </w:pPr>
            <w:r>
              <w:rPr>
                <w:szCs w:val="21"/>
              </w:rPr>
              <w:t>行业类别</w:t>
            </w:r>
            <w:bookmarkEnd w:id="1"/>
          </w:p>
        </w:tc>
        <w:tc>
          <w:tcPr>
            <w:tcW w:w="3257" w:type="dxa"/>
            <w:vAlign w:val="center"/>
          </w:tcPr>
          <w:p>
            <w:pPr>
              <w:adjustRightInd w:val="0"/>
              <w:snapToGrid w:val="0"/>
              <w:spacing w:line="240" w:lineRule="auto"/>
              <w:ind w:firstLine="0" w:firstLineChars="0"/>
              <w:rPr>
                <w:szCs w:val="21"/>
              </w:rPr>
            </w:pPr>
            <w:r>
              <w:rPr>
                <w:szCs w:val="21"/>
              </w:rPr>
              <w:t>十、</w:t>
            </w:r>
            <w:r>
              <w:rPr>
                <w:rFonts w:hint="eastAsia"/>
                <w:szCs w:val="21"/>
              </w:rPr>
              <w:t>农副食品</w:t>
            </w:r>
            <w:r>
              <w:rPr>
                <w:szCs w:val="21"/>
              </w:rPr>
              <w:t xml:space="preserve">加工业 13 </w:t>
            </w:r>
            <w:r>
              <w:rPr>
                <w:rFonts w:hint="eastAsia"/>
                <w:szCs w:val="21"/>
              </w:rPr>
              <w:t>其他</w:t>
            </w:r>
            <w:r>
              <w:rPr>
                <w:szCs w:val="21"/>
              </w:rPr>
              <w:t>农副食品加工</w:t>
            </w:r>
            <w:r>
              <w:rPr>
                <w:rFonts w:hint="eastAsia"/>
                <w:szCs w:val="21"/>
              </w:rPr>
              <w:t>139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91" w:type="dxa"/>
            <w:tcMar>
              <w:top w:w="16" w:type="dxa"/>
              <w:left w:w="16" w:type="dxa"/>
              <w:right w:w="16" w:type="dxa"/>
            </w:tcMar>
            <w:vAlign w:val="center"/>
          </w:tcPr>
          <w:p>
            <w:pPr>
              <w:adjustRightInd w:val="0"/>
              <w:snapToGrid w:val="0"/>
              <w:spacing w:line="240" w:lineRule="auto"/>
              <w:ind w:firstLine="0" w:firstLineChars="0"/>
              <w:jc w:val="center"/>
              <w:rPr>
                <w:szCs w:val="21"/>
              </w:rPr>
            </w:pPr>
            <w:r>
              <w:rPr>
                <w:szCs w:val="21"/>
              </w:rPr>
              <w:t>建设性质</w:t>
            </w:r>
          </w:p>
        </w:tc>
        <w:tc>
          <w:tcPr>
            <w:tcW w:w="2412" w:type="dxa"/>
            <w:vAlign w:val="center"/>
          </w:tcPr>
          <w:p>
            <w:pPr>
              <w:adjustRightInd w:val="0"/>
              <w:snapToGrid w:val="0"/>
              <w:spacing w:line="240" w:lineRule="auto"/>
              <w:ind w:firstLine="0" w:firstLineChars="0"/>
              <w:jc w:val="left"/>
              <w:rPr>
                <w:szCs w:val="21"/>
              </w:rPr>
            </w:pPr>
            <w:r>
              <w:rPr>
                <w:szCs w:val="21"/>
              </w:rPr>
              <w:t>■新建</w:t>
            </w:r>
          </w:p>
          <w:p>
            <w:pPr>
              <w:adjustRightInd w:val="0"/>
              <w:snapToGrid w:val="0"/>
              <w:spacing w:line="240" w:lineRule="auto"/>
              <w:ind w:firstLine="0" w:firstLineChars="0"/>
              <w:jc w:val="left"/>
              <w:rPr>
                <w:szCs w:val="21"/>
              </w:rPr>
            </w:pPr>
            <w:r>
              <w:rPr>
                <w:szCs w:val="21"/>
              </w:rPr>
              <w:t>□改建</w:t>
            </w:r>
          </w:p>
          <w:p>
            <w:pPr>
              <w:adjustRightInd w:val="0"/>
              <w:snapToGrid w:val="0"/>
              <w:spacing w:line="240" w:lineRule="auto"/>
              <w:ind w:firstLine="0" w:firstLineChars="0"/>
              <w:jc w:val="left"/>
              <w:rPr>
                <w:szCs w:val="21"/>
              </w:rPr>
            </w:pPr>
            <w:r>
              <w:rPr>
                <w:szCs w:val="21"/>
              </w:rPr>
              <w:t>□扩建</w:t>
            </w:r>
          </w:p>
          <w:p>
            <w:pPr>
              <w:adjustRightInd w:val="0"/>
              <w:snapToGrid w:val="0"/>
              <w:spacing w:line="240" w:lineRule="auto"/>
              <w:ind w:firstLine="0" w:firstLineChars="0"/>
              <w:jc w:val="left"/>
              <w:rPr>
                <w:szCs w:val="21"/>
              </w:rPr>
            </w:pPr>
            <w:r>
              <w:rPr>
                <w:szCs w:val="21"/>
              </w:rPr>
              <w:t>□技术改造</w:t>
            </w:r>
          </w:p>
        </w:tc>
        <w:tc>
          <w:tcPr>
            <w:tcW w:w="2366" w:type="dxa"/>
            <w:vAlign w:val="center"/>
          </w:tcPr>
          <w:p>
            <w:pPr>
              <w:adjustRightInd w:val="0"/>
              <w:snapToGrid w:val="0"/>
              <w:spacing w:line="240" w:lineRule="auto"/>
              <w:ind w:firstLine="0" w:firstLineChars="0"/>
              <w:jc w:val="center"/>
              <w:rPr>
                <w:szCs w:val="21"/>
              </w:rPr>
            </w:pPr>
            <w:r>
              <w:rPr>
                <w:szCs w:val="21"/>
              </w:rPr>
              <w:t>建设项目</w:t>
            </w:r>
          </w:p>
          <w:p>
            <w:pPr>
              <w:adjustRightInd w:val="0"/>
              <w:snapToGrid w:val="0"/>
              <w:spacing w:line="240" w:lineRule="auto"/>
              <w:ind w:firstLine="0" w:firstLineChars="0"/>
              <w:jc w:val="center"/>
              <w:rPr>
                <w:szCs w:val="21"/>
              </w:rPr>
            </w:pPr>
            <w:r>
              <w:rPr>
                <w:szCs w:val="21"/>
              </w:rPr>
              <w:t>申报情形</w:t>
            </w:r>
          </w:p>
        </w:tc>
        <w:tc>
          <w:tcPr>
            <w:tcW w:w="3257" w:type="dxa"/>
            <w:vAlign w:val="center"/>
          </w:tcPr>
          <w:p>
            <w:pPr>
              <w:adjustRightInd w:val="0"/>
              <w:snapToGrid w:val="0"/>
              <w:spacing w:line="240" w:lineRule="auto"/>
              <w:ind w:firstLine="0" w:firstLineChars="0"/>
              <w:jc w:val="left"/>
              <w:rPr>
                <w:szCs w:val="21"/>
              </w:rPr>
            </w:pPr>
            <w:r>
              <w:rPr>
                <w:szCs w:val="21"/>
              </w:rPr>
              <w:t xml:space="preserve">■首次申报项目             </w:t>
            </w:r>
          </w:p>
          <w:p>
            <w:pPr>
              <w:adjustRightInd w:val="0"/>
              <w:snapToGrid w:val="0"/>
              <w:spacing w:line="240" w:lineRule="auto"/>
              <w:ind w:firstLine="0" w:firstLineChars="0"/>
              <w:jc w:val="left"/>
              <w:rPr>
                <w:szCs w:val="21"/>
              </w:rPr>
            </w:pPr>
            <w:r>
              <w:rPr>
                <w:szCs w:val="21"/>
              </w:rPr>
              <w:t>□不予批准后再次申报项目</w:t>
            </w:r>
          </w:p>
          <w:p>
            <w:pPr>
              <w:adjustRightInd w:val="0"/>
              <w:snapToGrid w:val="0"/>
              <w:spacing w:line="240" w:lineRule="auto"/>
              <w:ind w:firstLine="0" w:firstLineChars="0"/>
              <w:jc w:val="left"/>
              <w:rPr>
                <w:szCs w:val="21"/>
              </w:rPr>
            </w:pPr>
            <w:r>
              <w:rPr>
                <w:szCs w:val="21"/>
              </w:rPr>
              <w:t xml:space="preserve">□超五年重新审核项目     </w:t>
            </w:r>
          </w:p>
          <w:p>
            <w:pPr>
              <w:adjustRightInd w:val="0"/>
              <w:snapToGrid w:val="0"/>
              <w:spacing w:line="240" w:lineRule="auto"/>
              <w:ind w:firstLine="0" w:firstLineChars="0"/>
              <w:jc w:val="left"/>
              <w:rPr>
                <w:szCs w:val="21"/>
              </w:rPr>
            </w:pPr>
            <w:r>
              <w:rPr>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91" w:type="dxa"/>
            <w:tcMar>
              <w:top w:w="16" w:type="dxa"/>
              <w:left w:w="16" w:type="dxa"/>
              <w:right w:w="16" w:type="dxa"/>
            </w:tcMar>
            <w:vAlign w:val="center"/>
          </w:tcPr>
          <w:p>
            <w:pPr>
              <w:adjustRightInd w:val="0"/>
              <w:snapToGrid w:val="0"/>
              <w:spacing w:line="240" w:lineRule="auto"/>
              <w:ind w:firstLine="0" w:firstLineChars="0"/>
              <w:jc w:val="center"/>
              <w:rPr>
                <w:szCs w:val="21"/>
              </w:rPr>
            </w:pPr>
            <w:r>
              <w:rPr>
                <w:szCs w:val="21"/>
              </w:rPr>
              <w:t>项目审批（核准/备案）部门（选填）</w:t>
            </w:r>
          </w:p>
        </w:tc>
        <w:tc>
          <w:tcPr>
            <w:tcW w:w="2412" w:type="dxa"/>
            <w:vAlign w:val="center"/>
          </w:tcPr>
          <w:p>
            <w:pPr>
              <w:adjustRightInd w:val="0"/>
              <w:snapToGrid w:val="0"/>
              <w:spacing w:line="240" w:lineRule="auto"/>
              <w:ind w:firstLine="0" w:firstLineChars="0"/>
              <w:jc w:val="center"/>
              <w:rPr>
                <w:szCs w:val="21"/>
              </w:rPr>
            </w:pPr>
            <w:r>
              <w:rPr>
                <w:szCs w:val="21"/>
              </w:rPr>
              <w:t>重庆市</w:t>
            </w:r>
            <w:r>
              <w:rPr>
                <w:rFonts w:hint="eastAsia"/>
                <w:szCs w:val="21"/>
              </w:rPr>
              <w:t>合川区</w:t>
            </w:r>
            <w:r>
              <w:rPr>
                <w:szCs w:val="21"/>
              </w:rPr>
              <w:t>发展和改革委员会</w:t>
            </w:r>
          </w:p>
        </w:tc>
        <w:tc>
          <w:tcPr>
            <w:tcW w:w="2366" w:type="dxa"/>
            <w:vAlign w:val="center"/>
          </w:tcPr>
          <w:p>
            <w:pPr>
              <w:adjustRightInd w:val="0"/>
              <w:snapToGrid w:val="0"/>
              <w:spacing w:line="240" w:lineRule="auto"/>
              <w:ind w:firstLine="0" w:firstLineChars="0"/>
              <w:jc w:val="center"/>
              <w:rPr>
                <w:szCs w:val="21"/>
              </w:rPr>
            </w:pPr>
            <w:r>
              <w:rPr>
                <w:szCs w:val="21"/>
              </w:rPr>
              <w:t>项目审批（核准/备案）文号（选填）</w:t>
            </w:r>
          </w:p>
        </w:tc>
        <w:tc>
          <w:tcPr>
            <w:tcW w:w="3257" w:type="dxa"/>
            <w:vAlign w:val="center"/>
          </w:tcPr>
          <w:p>
            <w:pPr>
              <w:adjustRightInd w:val="0"/>
              <w:snapToGrid w:val="0"/>
              <w:spacing w:line="240" w:lineRule="auto"/>
              <w:ind w:firstLine="0" w:firstLineChars="0"/>
              <w:jc w:val="center"/>
              <w:rPr>
                <w:szCs w:val="21"/>
              </w:rPr>
            </w:pPr>
            <w:r>
              <w:t>2401-500117-04-01-384969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91" w:type="dxa"/>
            <w:tcMar>
              <w:top w:w="16" w:type="dxa"/>
              <w:left w:w="16" w:type="dxa"/>
              <w:right w:w="16" w:type="dxa"/>
            </w:tcMar>
            <w:vAlign w:val="center"/>
          </w:tcPr>
          <w:p>
            <w:pPr>
              <w:adjustRightInd w:val="0"/>
              <w:snapToGrid w:val="0"/>
              <w:spacing w:line="240" w:lineRule="auto"/>
              <w:ind w:firstLine="0" w:firstLineChars="0"/>
              <w:jc w:val="center"/>
              <w:rPr>
                <w:szCs w:val="21"/>
              </w:rPr>
            </w:pPr>
            <w:r>
              <w:rPr>
                <w:szCs w:val="21"/>
              </w:rPr>
              <w:t>总投资（万元）</w:t>
            </w:r>
          </w:p>
        </w:tc>
        <w:tc>
          <w:tcPr>
            <w:tcW w:w="2412" w:type="dxa"/>
            <w:vAlign w:val="center"/>
          </w:tcPr>
          <w:p>
            <w:pPr>
              <w:adjustRightInd w:val="0"/>
              <w:snapToGrid w:val="0"/>
              <w:spacing w:line="240" w:lineRule="auto"/>
              <w:ind w:firstLine="0" w:firstLineChars="0"/>
              <w:jc w:val="center"/>
              <w:rPr>
                <w:szCs w:val="21"/>
              </w:rPr>
            </w:pPr>
            <w:r>
              <w:rPr>
                <w:szCs w:val="21"/>
              </w:rPr>
              <w:t>100</w:t>
            </w:r>
          </w:p>
        </w:tc>
        <w:tc>
          <w:tcPr>
            <w:tcW w:w="2366" w:type="dxa"/>
            <w:tcMar>
              <w:top w:w="16" w:type="dxa"/>
              <w:left w:w="16" w:type="dxa"/>
              <w:right w:w="16" w:type="dxa"/>
            </w:tcMar>
            <w:vAlign w:val="center"/>
          </w:tcPr>
          <w:p>
            <w:pPr>
              <w:adjustRightInd w:val="0"/>
              <w:snapToGrid w:val="0"/>
              <w:spacing w:line="240" w:lineRule="auto"/>
              <w:ind w:firstLine="0" w:firstLineChars="0"/>
              <w:jc w:val="center"/>
              <w:rPr>
                <w:szCs w:val="21"/>
              </w:rPr>
            </w:pPr>
            <w:r>
              <w:rPr>
                <w:szCs w:val="21"/>
              </w:rPr>
              <w:t>环保投资（万元）</w:t>
            </w:r>
          </w:p>
        </w:tc>
        <w:tc>
          <w:tcPr>
            <w:tcW w:w="3257" w:type="dxa"/>
            <w:vAlign w:val="center"/>
          </w:tcPr>
          <w:p>
            <w:pPr>
              <w:adjustRightInd w:val="0"/>
              <w:snapToGrid w:val="0"/>
              <w:spacing w:line="240" w:lineRule="auto"/>
              <w:ind w:firstLine="0" w:firstLineChars="0"/>
              <w:jc w:val="center"/>
              <w:rPr>
                <w:szCs w:val="21"/>
              </w:rPr>
            </w:pPr>
            <w:r>
              <w:rPr>
                <w:szCs w:val="21"/>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91" w:type="dxa"/>
            <w:tcMar>
              <w:top w:w="16" w:type="dxa"/>
              <w:left w:w="16" w:type="dxa"/>
              <w:right w:w="16" w:type="dxa"/>
            </w:tcMar>
            <w:vAlign w:val="center"/>
          </w:tcPr>
          <w:p>
            <w:pPr>
              <w:adjustRightInd w:val="0"/>
              <w:snapToGrid w:val="0"/>
              <w:spacing w:line="240" w:lineRule="auto"/>
              <w:ind w:firstLine="0" w:firstLineChars="0"/>
              <w:jc w:val="center"/>
              <w:rPr>
                <w:szCs w:val="21"/>
              </w:rPr>
            </w:pPr>
            <w:r>
              <w:rPr>
                <w:szCs w:val="21"/>
              </w:rPr>
              <w:t>环保投资占比（%）</w:t>
            </w:r>
          </w:p>
        </w:tc>
        <w:tc>
          <w:tcPr>
            <w:tcW w:w="2412" w:type="dxa"/>
            <w:vAlign w:val="center"/>
          </w:tcPr>
          <w:p>
            <w:pPr>
              <w:adjustRightInd w:val="0"/>
              <w:snapToGrid w:val="0"/>
              <w:spacing w:line="240" w:lineRule="auto"/>
              <w:ind w:firstLine="0" w:firstLineChars="0"/>
              <w:jc w:val="center"/>
              <w:rPr>
                <w:szCs w:val="21"/>
              </w:rPr>
            </w:pPr>
            <w:r>
              <w:rPr>
                <w:szCs w:val="21"/>
              </w:rPr>
              <w:t>10</w:t>
            </w:r>
          </w:p>
        </w:tc>
        <w:tc>
          <w:tcPr>
            <w:tcW w:w="2366" w:type="dxa"/>
            <w:tcMar>
              <w:top w:w="16" w:type="dxa"/>
              <w:left w:w="16" w:type="dxa"/>
              <w:right w:w="16" w:type="dxa"/>
            </w:tcMar>
            <w:vAlign w:val="center"/>
          </w:tcPr>
          <w:p>
            <w:pPr>
              <w:adjustRightInd w:val="0"/>
              <w:snapToGrid w:val="0"/>
              <w:spacing w:line="240" w:lineRule="auto"/>
              <w:ind w:firstLine="0" w:firstLineChars="0"/>
              <w:jc w:val="center"/>
              <w:rPr>
                <w:szCs w:val="21"/>
              </w:rPr>
            </w:pPr>
            <w:r>
              <w:rPr>
                <w:szCs w:val="21"/>
              </w:rPr>
              <w:t>施工工期</w:t>
            </w:r>
          </w:p>
        </w:tc>
        <w:tc>
          <w:tcPr>
            <w:tcW w:w="3257" w:type="dxa"/>
            <w:vAlign w:val="center"/>
          </w:tcPr>
          <w:p>
            <w:pPr>
              <w:adjustRightInd w:val="0"/>
              <w:snapToGrid w:val="0"/>
              <w:spacing w:line="240" w:lineRule="auto"/>
              <w:ind w:firstLine="0" w:firstLineChars="0"/>
              <w:jc w:val="center"/>
              <w:rPr>
                <w:szCs w:val="21"/>
              </w:rPr>
            </w:pPr>
            <w:r>
              <w:rPr>
                <w:szCs w:val="21"/>
              </w:rPr>
              <w:t>5个月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91" w:type="dxa"/>
            <w:tcMar>
              <w:top w:w="16" w:type="dxa"/>
              <w:left w:w="16" w:type="dxa"/>
              <w:right w:w="16" w:type="dxa"/>
            </w:tcMar>
            <w:vAlign w:val="center"/>
          </w:tcPr>
          <w:p>
            <w:pPr>
              <w:adjustRightInd w:val="0"/>
              <w:snapToGrid w:val="0"/>
              <w:spacing w:line="240" w:lineRule="auto"/>
              <w:ind w:firstLine="0" w:firstLineChars="0"/>
              <w:jc w:val="center"/>
              <w:rPr>
                <w:szCs w:val="21"/>
              </w:rPr>
            </w:pPr>
            <w:r>
              <w:rPr>
                <w:szCs w:val="21"/>
              </w:rPr>
              <w:t>是否开工建设</w:t>
            </w:r>
          </w:p>
        </w:tc>
        <w:tc>
          <w:tcPr>
            <w:tcW w:w="2412" w:type="dxa"/>
            <w:vAlign w:val="center"/>
          </w:tcPr>
          <w:p>
            <w:pPr>
              <w:adjustRightInd w:val="0"/>
              <w:snapToGrid w:val="0"/>
              <w:spacing w:line="240" w:lineRule="auto"/>
              <w:ind w:firstLine="0" w:firstLineChars="0"/>
              <w:rPr>
                <w:szCs w:val="21"/>
              </w:rPr>
            </w:pPr>
            <w:r>
              <w:rPr>
                <w:szCs w:val="21"/>
              </w:rPr>
              <w:t>□否</w:t>
            </w:r>
          </w:p>
          <w:p>
            <w:pPr>
              <w:adjustRightInd w:val="0"/>
              <w:snapToGrid w:val="0"/>
              <w:spacing w:line="240" w:lineRule="auto"/>
              <w:ind w:firstLine="0" w:firstLineChars="0"/>
              <w:rPr>
                <w:szCs w:val="21"/>
              </w:rPr>
            </w:pPr>
            <w:r>
              <w:rPr>
                <w:szCs w:val="21"/>
              </w:rPr>
              <w:t>■是：</w:t>
            </w:r>
            <w:r>
              <w:rPr>
                <w:szCs w:val="21"/>
                <w:u w:val="single"/>
              </w:rPr>
              <w:t xml:space="preserve"> </w:t>
            </w:r>
            <w:r>
              <w:rPr>
                <w:rFonts w:hint="eastAsia"/>
                <w:szCs w:val="21"/>
                <w:u w:val="single"/>
              </w:rPr>
              <w:t>项目</w:t>
            </w:r>
            <w:r>
              <w:rPr>
                <w:szCs w:val="21"/>
                <w:u w:val="single"/>
              </w:rPr>
              <w:t>主体工程已</w:t>
            </w:r>
            <w:r>
              <w:rPr>
                <w:rFonts w:hint="eastAsia"/>
                <w:szCs w:val="21"/>
                <w:u w:val="single"/>
              </w:rPr>
              <w:t>建设</w:t>
            </w:r>
            <w:r>
              <w:rPr>
                <w:szCs w:val="21"/>
                <w:u w:val="single"/>
              </w:rPr>
              <w:t xml:space="preserve">完成 </w:t>
            </w:r>
          </w:p>
        </w:tc>
        <w:tc>
          <w:tcPr>
            <w:tcW w:w="2366" w:type="dxa"/>
            <w:tcMar>
              <w:top w:w="16" w:type="dxa"/>
              <w:left w:w="16" w:type="dxa"/>
              <w:right w:w="16" w:type="dxa"/>
            </w:tcMar>
            <w:vAlign w:val="center"/>
          </w:tcPr>
          <w:p>
            <w:pPr>
              <w:adjustRightInd w:val="0"/>
              <w:snapToGrid w:val="0"/>
              <w:spacing w:line="240" w:lineRule="auto"/>
              <w:ind w:firstLine="0" w:firstLineChars="0"/>
              <w:jc w:val="center"/>
              <w:rPr>
                <w:szCs w:val="21"/>
              </w:rPr>
            </w:pPr>
            <w:r>
              <w:rPr>
                <w:spacing w:val="-6"/>
                <w:szCs w:val="21"/>
              </w:rPr>
              <w:t>用地面积（m</w:t>
            </w:r>
            <w:r>
              <w:rPr>
                <w:spacing w:val="-6"/>
                <w:szCs w:val="21"/>
                <w:vertAlign w:val="superscript"/>
              </w:rPr>
              <w:t>2</w:t>
            </w:r>
            <w:r>
              <w:rPr>
                <w:spacing w:val="-6"/>
                <w:szCs w:val="21"/>
              </w:rPr>
              <w:t>）</w:t>
            </w:r>
          </w:p>
        </w:tc>
        <w:tc>
          <w:tcPr>
            <w:tcW w:w="3257" w:type="dxa"/>
            <w:vAlign w:val="center"/>
          </w:tcPr>
          <w:p>
            <w:pPr>
              <w:adjustRightInd w:val="0"/>
              <w:snapToGrid w:val="0"/>
              <w:spacing w:line="240" w:lineRule="auto"/>
              <w:ind w:firstLine="0" w:firstLineChars="0"/>
              <w:jc w:val="center"/>
              <w:rPr>
                <w:szCs w:val="21"/>
              </w:rPr>
            </w:pPr>
            <w:r>
              <w:rPr>
                <w:szCs w:val="21"/>
              </w:rPr>
              <w:t>1682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1" w:type="dxa"/>
            <w:vAlign w:val="center"/>
          </w:tcPr>
          <w:p>
            <w:pPr>
              <w:autoSpaceDE w:val="0"/>
              <w:autoSpaceDN w:val="0"/>
              <w:adjustRightInd w:val="0"/>
              <w:snapToGrid w:val="0"/>
              <w:spacing w:line="240" w:lineRule="auto"/>
              <w:ind w:firstLine="0" w:firstLineChars="0"/>
              <w:jc w:val="center"/>
              <w:rPr>
                <w:kern w:val="0"/>
                <w:szCs w:val="21"/>
              </w:rPr>
            </w:pPr>
            <w:r>
              <w:rPr>
                <w:kern w:val="0"/>
                <w:szCs w:val="21"/>
              </w:rPr>
              <w:t>专项评价设置情况</w:t>
            </w:r>
          </w:p>
        </w:tc>
        <w:tc>
          <w:tcPr>
            <w:tcW w:w="8035" w:type="dxa"/>
            <w:gridSpan w:val="3"/>
            <w:vAlign w:val="center"/>
          </w:tcPr>
          <w:p>
            <w:pPr>
              <w:pStyle w:val="49"/>
              <w:spacing w:line="440" w:lineRule="exact"/>
              <w:ind w:firstLine="480"/>
              <w:rPr>
                <w:rFonts w:cs="Times New Roman"/>
                <w:kern w:val="2"/>
              </w:rPr>
            </w:pPr>
            <w:r>
              <w:rPr>
                <w:rFonts w:cs="Times New Roman"/>
                <w:kern w:val="2"/>
              </w:rPr>
              <w:t>根据《建设项目环境影响报告表编制技术指南（污染影响类）（试行）》，土壤、声环境不开展专项评价；本项目不涉及集中式饮用水水源和热水、矿泉水、温泉等特殊地下水资源保护区，故不开展地下水专项评价工作。对照《建设项目环境影响报告表编制技术指南（污染影响类）（试行）》中“表1专项评价设置原则表”，本项目大气、地表水、环境风险、生态、海洋专项评价情况见下表1-1。</w:t>
            </w:r>
          </w:p>
          <w:p>
            <w:pPr>
              <w:pStyle w:val="13"/>
              <w:spacing w:line="440" w:lineRule="exact"/>
              <w:jc w:val="center"/>
              <w:rPr>
                <w:rFonts w:ascii="Times New Roman" w:hAnsi="Times New Roman"/>
                <w:b/>
                <w:sz w:val="24"/>
                <w:szCs w:val="24"/>
              </w:rPr>
            </w:pPr>
            <w:r>
              <w:rPr>
                <w:rFonts w:ascii="Times New Roman" w:hAnsi="Times New Roman"/>
                <w:b/>
                <w:sz w:val="24"/>
                <w:szCs w:val="24"/>
              </w:rPr>
              <w:t>表1-1   专项评价设置原则表</w:t>
            </w:r>
          </w:p>
          <w:tbl>
            <w:tblPr>
              <w:tblStyle w:val="1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15"/>
              <w:gridCol w:w="3801"/>
              <w:gridCol w:w="35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2" w:type="pct"/>
                  <w:tcMar>
                    <w:left w:w="57" w:type="dxa"/>
                    <w:right w:w="57" w:type="dxa"/>
                  </w:tcMar>
                  <w:vAlign w:val="center"/>
                </w:tcPr>
                <w:p>
                  <w:pPr>
                    <w:pStyle w:val="13"/>
                    <w:jc w:val="center"/>
                    <w:rPr>
                      <w:rFonts w:ascii="Times New Roman" w:hAnsi="Times New Roman"/>
                      <w:szCs w:val="21"/>
                    </w:rPr>
                  </w:pPr>
                  <w:r>
                    <w:rPr>
                      <w:rFonts w:ascii="Times New Roman" w:hAnsi="Times New Roman"/>
                      <w:szCs w:val="21"/>
                    </w:rPr>
                    <w:t>专项评价的类别</w:t>
                  </w:r>
                </w:p>
              </w:tc>
              <w:tc>
                <w:tcPr>
                  <w:tcW w:w="2257" w:type="pct"/>
                  <w:tcMar>
                    <w:left w:w="57" w:type="dxa"/>
                    <w:right w:w="57" w:type="dxa"/>
                  </w:tcMar>
                  <w:vAlign w:val="center"/>
                </w:tcPr>
                <w:p>
                  <w:pPr>
                    <w:pStyle w:val="13"/>
                    <w:jc w:val="center"/>
                    <w:rPr>
                      <w:rFonts w:ascii="Times New Roman" w:hAnsi="Times New Roman"/>
                      <w:szCs w:val="21"/>
                    </w:rPr>
                  </w:pPr>
                  <w:r>
                    <w:rPr>
                      <w:rFonts w:ascii="Times New Roman" w:hAnsi="Times New Roman"/>
                      <w:szCs w:val="21"/>
                    </w:rPr>
                    <w:t>设置原则</w:t>
                  </w:r>
                </w:p>
              </w:tc>
              <w:tc>
                <w:tcPr>
                  <w:tcW w:w="2081" w:type="pct"/>
                  <w:tcMar>
                    <w:left w:w="57" w:type="dxa"/>
                    <w:right w:w="57" w:type="dxa"/>
                  </w:tcMar>
                  <w:vAlign w:val="center"/>
                </w:tcPr>
                <w:p>
                  <w:pPr>
                    <w:pStyle w:val="13"/>
                    <w:jc w:val="center"/>
                    <w:rPr>
                      <w:rFonts w:ascii="Times New Roman" w:hAnsi="Times New Roman"/>
                      <w:szCs w:val="21"/>
                    </w:rPr>
                  </w:pPr>
                  <w:r>
                    <w:rPr>
                      <w:rFonts w:ascii="Times New Roman" w:hAnsi="Times New Roman"/>
                      <w:szCs w:val="21"/>
                    </w:rPr>
                    <w:t>本项目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2" w:type="pct"/>
                  <w:tcMar>
                    <w:left w:w="57" w:type="dxa"/>
                    <w:right w:w="57" w:type="dxa"/>
                  </w:tcMar>
                  <w:vAlign w:val="center"/>
                </w:tcPr>
                <w:p>
                  <w:pPr>
                    <w:pStyle w:val="13"/>
                    <w:jc w:val="center"/>
                    <w:rPr>
                      <w:rFonts w:ascii="Times New Roman" w:hAnsi="Times New Roman"/>
                      <w:szCs w:val="21"/>
                    </w:rPr>
                  </w:pPr>
                  <w:r>
                    <w:rPr>
                      <w:rFonts w:ascii="Times New Roman" w:hAnsi="Times New Roman"/>
                      <w:szCs w:val="21"/>
                    </w:rPr>
                    <w:t>大气</w:t>
                  </w:r>
                </w:p>
              </w:tc>
              <w:tc>
                <w:tcPr>
                  <w:tcW w:w="2257" w:type="pct"/>
                  <w:tcMar>
                    <w:left w:w="57" w:type="dxa"/>
                    <w:right w:w="57" w:type="dxa"/>
                  </w:tcMar>
                  <w:vAlign w:val="center"/>
                </w:tcPr>
                <w:p>
                  <w:pPr>
                    <w:pStyle w:val="13"/>
                    <w:jc w:val="left"/>
                    <w:rPr>
                      <w:rFonts w:ascii="Times New Roman" w:hAnsi="Times New Roman"/>
                      <w:szCs w:val="21"/>
                    </w:rPr>
                  </w:pPr>
                  <w:r>
                    <w:rPr>
                      <w:rFonts w:ascii="Times New Roman" w:hAnsi="Times New Roman"/>
                      <w:szCs w:val="21"/>
                    </w:rPr>
                    <w:t>排放废气含有毒有害污染物</w:t>
                  </w:r>
                  <w:r>
                    <w:rPr>
                      <w:rFonts w:ascii="Times New Roman" w:hAnsi="Times New Roman"/>
                      <w:szCs w:val="21"/>
                      <w:vertAlign w:val="superscript"/>
                    </w:rPr>
                    <w:t>1</w:t>
                  </w:r>
                  <w:r>
                    <w:rPr>
                      <w:rFonts w:ascii="Times New Roman" w:hAnsi="Times New Roman"/>
                      <w:szCs w:val="21"/>
                    </w:rPr>
                    <w:t>、二噁英、苯并[a]芘、氰化物、氯气且厂界外500米范围内有环境空气保护目标</w:t>
                  </w:r>
                  <w:r>
                    <w:rPr>
                      <w:rFonts w:ascii="Times New Roman" w:hAnsi="Times New Roman"/>
                      <w:szCs w:val="21"/>
                      <w:vertAlign w:val="superscript"/>
                    </w:rPr>
                    <w:t>2</w:t>
                  </w:r>
                  <w:r>
                    <w:rPr>
                      <w:rFonts w:ascii="Times New Roman" w:hAnsi="Times New Roman"/>
                      <w:szCs w:val="21"/>
                    </w:rPr>
                    <w:t>的建设项目</w:t>
                  </w:r>
                </w:p>
              </w:tc>
              <w:tc>
                <w:tcPr>
                  <w:tcW w:w="2081" w:type="pct"/>
                  <w:tcMar>
                    <w:left w:w="57" w:type="dxa"/>
                    <w:right w:w="57" w:type="dxa"/>
                  </w:tcMar>
                  <w:vAlign w:val="center"/>
                </w:tcPr>
                <w:p>
                  <w:pPr>
                    <w:pStyle w:val="13"/>
                    <w:jc w:val="left"/>
                    <w:rPr>
                      <w:rFonts w:ascii="Times New Roman" w:hAnsi="Times New Roman"/>
                      <w:szCs w:val="21"/>
                    </w:rPr>
                  </w:pPr>
                  <w:r>
                    <w:rPr>
                      <w:rFonts w:ascii="Times New Roman" w:hAnsi="Times New Roman"/>
                      <w:szCs w:val="21"/>
                    </w:rPr>
                    <w:t>项目营运期有毒有害污染物</w:t>
                  </w:r>
                  <w:r>
                    <w:rPr>
                      <w:rFonts w:ascii="Times New Roman" w:hAnsi="Times New Roman"/>
                      <w:szCs w:val="21"/>
                      <w:vertAlign w:val="superscript"/>
                    </w:rPr>
                    <w:t>1</w:t>
                  </w:r>
                  <w:r>
                    <w:rPr>
                      <w:rFonts w:ascii="Times New Roman" w:hAnsi="Times New Roman"/>
                      <w:szCs w:val="21"/>
                    </w:rPr>
                    <w:t>、二噁英、苯并[a]芘、氰化物、氯气</w:t>
                  </w:r>
                  <w:r>
                    <w:rPr>
                      <w:rFonts w:hint="eastAsia" w:ascii="Times New Roman" w:hAnsi="Times New Roman"/>
                      <w:szCs w:val="21"/>
                    </w:rPr>
                    <w:t>等生产</w:t>
                  </w:r>
                  <w:r>
                    <w:rPr>
                      <w:rFonts w:ascii="Times New Roman" w:hAnsi="Times New Roman"/>
                      <w:szCs w:val="21"/>
                    </w:rPr>
                    <w:t>废气，故不设置大气专项评价。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2" w:type="pct"/>
                  <w:tcMar>
                    <w:left w:w="57" w:type="dxa"/>
                    <w:right w:w="57" w:type="dxa"/>
                  </w:tcMar>
                  <w:vAlign w:val="center"/>
                </w:tcPr>
                <w:p>
                  <w:pPr>
                    <w:pStyle w:val="13"/>
                    <w:jc w:val="center"/>
                    <w:rPr>
                      <w:rFonts w:ascii="Times New Roman" w:hAnsi="Times New Roman"/>
                      <w:szCs w:val="21"/>
                    </w:rPr>
                  </w:pPr>
                  <w:r>
                    <w:rPr>
                      <w:rFonts w:ascii="Times New Roman" w:hAnsi="Times New Roman"/>
                      <w:szCs w:val="21"/>
                    </w:rPr>
                    <w:t>地表水</w:t>
                  </w:r>
                </w:p>
              </w:tc>
              <w:tc>
                <w:tcPr>
                  <w:tcW w:w="2257" w:type="pct"/>
                  <w:tcMar>
                    <w:left w:w="57" w:type="dxa"/>
                    <w:right w:w="57" w:type="dxa"/>
                  </w:tcMar>
                  <w:vAlign w:val="center"/>
                </w:tcPr>
                <w:p>
                  <w:pPr>
                    <w:pStyle w:val="13"/>
                    <w:jc w:val="left"/>
                    <w:rPr>
                      <w:rFonts w:ascii="Times New Roman" w:hAnsi="Times New Roman"/>
                      <w:szCs w:val="21"/>
                    </w:rPr>
                  </w:pPr>
                  <w:r>
                    <w:rPr>
                      <w:rFonts w:ascii="Times New Roman" w:hAnsi="Times New Roman"/>
                      <w:szCs w:val="21"/>
                    </w:rPr>
                    <w:t>新增工业废水直排建设项目（槽罐车外送污水处理厂的除外）；新增废水直排的污水集中处理厂</w:t>
                  </w:r>
                </w:p>
              </w:tc>
              <w:tc>
                <w:tcPr>
                  <w:tcW w:w="2081" w:type="pct"/>
                  <w:tcMar>
                    <w:left w:w="57" w:type="dxa"/>
                    <w:right w:w="57" w:type="dxa"/>
                  </w:tcMar>
                  <w:vAlign w:val="center"/>
                </w:tcPr>
                <w:p>
                  <w:pPr>
                    <w:pStyle w:val="13"/>
                    <w:jc w:val="left"/>
                    <w:rPr>
                      <w:rFonts w:ascii="Times New Roman" w:hAnsi="Times New Roman"/>
                      <w:szCs w:val="21"/>
                    </w:rPr>
                  </w:pPr>
                  <w:r>
                    <w:rPr>
                      <w:rFonts w:ascii="Times New Roman" w:hAnsi="Times New Roman"/>
                      <w:bCs/>
                      <w:szCs w:val="21"/>
                      <w:lang w:val="en-US"/>
                    </w:rPr>
                    <w:t>本项目</w:t>
                  </w:r>
                  <w:r>
                    <w:rPr>
                      <w:rFonts w:hint="eastAsia" w:ascii="Times New Roman" w:hAnsi="Times New Roman"/>
                      <w:bCs/>
                      <w:szCs w:val="21"/>
                      <w:lang w:val="en-US"/>
                    </w:rPr>
                    <w:t>污</w:t>
                  </w:r>
                  <w:r>
                    <w:rPr>
                      <w:rFonts w:ascii="Times New Roman" w:hAnsi="Times New Roman"/>
                      <w:bCs/>
                      <w:szCs w:val="21"/>
                      <w:lang w:val="en-US"/>
                    </w:rPr>
                    <w:t>废水排</w:t>
                  </w:r>
                  <w:r>
                    <w:rPr>
                      <w:rFonts w:hint="eastAsia" w:ascii="Times New Roman" w:hAnsi="Times New Roman"/>
                      <w:bCs/>
                      <w:szCs w:val="21"/>
                      <w:lang w:val="en-US"/>
                    </w:rPr>
                    <w:t>入厂区污水</w:t>
                  </w:r>
                  <w:r>
                    <w:rPr>
                      <w:rFonts w:ascii="Times New Roman" w:hAnsi="Times New Roman"/>
                      <w:bCs/>
                      <w:szCs w:val="21"/>
                      <w:lang w:val="en-US"/>
                    </w:rPr>
                    <w:t>处理站处理后</w:t>
                  </w:r>
                  <w:r>
                    <w:rPr>
                      <w:rFonts w:hint="eastAsia" w:ascii="Times New Roman" w:hAnsi="Times New Roman"/>
                      <w:bCs/>
                      <w:szCs w:val="21"/>
                      <w:lang w:val="en-US"/>
                    </w:rPr>
                    <w:t>排入园区</w:t>
                  </w:r>
                  <w:r>
                    <w:rPr>
                      <w:rFonts w:ascii="Times New Roman" w:hAnsi="Times New Roman"/>
                      <w:bCs/>
                      <w:szCs w:val="21"/>
                      <w:lang w:val="en-US"/>
                    </w:rPr>
                    <w:t>污水处理</w:t>
                  </w:r>
                  <w:r>
                    <w:rPr>
                      <w:rFonts w:hint="eastAsia" w:ascii="Times New Roman" w:hAnsi="Times New Roman"/>
                      <w:bCs/>
                      <w:szCs w:val="21"/>
                      <w:lang w:val="en-US"/>
                    </w:rPr>
                    <w:t>厂</w:t>
                  </w:r>
                  <w:r>
                    <w:rPr>
                      <w:rFonts w:ascii="Times New Roman" w:hAnsi="Times New Roman"/>
                      <w:bCs/>
                      <w:szCs w:val="21"/>
                      <w:lang w:val="en-US"/>
                    </w:rPr>
                    <w:t>处理，故</w:t>
                  </w:r>
                  <w:r>
                    <w:rPr>
                      <w:rFonts w:ascii="Times New Roman" w:hAnsi="Times New Roman"/>
                      <w:szCs w:val="21"/>
                    </w:rPr>
                    <w:t>不</w:t>
                  </w:r>
                  <w:r>
                    <w:rPr>
                      <w:rFonts w:ascii="Times New Roman" w:hAnsi="Times New Roman"/>
                      <w:bCs/>
                      <w:szCs w:val="21"/>
                      <w:lang w:val="en-US"/>
                    </w:rPr>
                    <w:t>设置地表水专项评价</w:t>
                  </w: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2" w:type="pct"/>
                  <w:tcMar>
                    <w:left w:w="57" w:type="dxa"/>
                    <w:right w:w="57" w:type="dxa"/>
                  </w:tcMar>
                  <w:vAlign w:val="center"/>
                </w:tcPr>
                <w:p>
                  <w:pPr>
                    <w:pStyle w:val="13"/>
                    <w:jc w:val="center"/>
                    <w:rPr>
                      <w:rFonts w:ascii="Times New Roman" w:hAnsi="Times New Roman"/>
                      <w:szCs w:val="21"/>
                    </w:rPr>
                  </w:pPr>
                  <w:r>
                    <w:rPr>
                      <w:rFonts w:ascii="Times New Roman" w:hAnsi="Times New Roman"/>
                      <w:szCs w:val="21"/>
                    </w:rPr>
                    <w:t>环境</w:t>
                  </w:r>
                </w:p>
                <w:p>
                  <w:pPr>
                    <w:pStyle w:val="13"/>
                    <w:jc w:val="center"/>
                    <w:rPr>
                      <w:rFonts w:ascii="Times New Roman" w:hAnsi="Times New Roman"/>
                      <w:szCs w:val="21"/>
                    </w:rPr>
                  </w:pPr>
                  <w:r>
                    <w:rPr>
                      <w:rFonts w:ascii="Times New Roman" w:hAnsi="Times New Roman"/>
                      <w:szCs w:val="21"/>
                    </w:rPr>
                    <w:t>风险</w:t>
                  </w:r>
                </w:p>
              </w:tc>
              <w:tc>
                <w:tcPr>
                  <w:tcW w:w="2257" w:type="pct"/>
                  <w:tcMar>
                    <w:left w:w="57" w:type="dxa"/>
                    <w:right w:w="57" w:type="dxa"/>
                  </w:tcMar>
                  <w:vAlign w:val="center"/>
                </w:tcPr>
                <w:p>
                  <w:pPr>
                    <w:pStyle w:val="13"/>
                    <w:jc w:val="left"/>
                    <w:rPr>
                      <w:rFonts w:ascii="Times New Roman" w:hAnsi="Times New Roman"/>
                      <w:szCs w:val="21"/>
                    </w:rPr>
                  </w:pPr>
                  <w:r>
                    <w:rPr>
                      <w:rFonts w:ascii="Times New Roman" w:hAnsi="Times New Roman"/>
                      <w:szCs w:val="21"/>
                    </w:rPr>
                    <w:t>有毒有害和易燃易爆危险物质存储量超过临界量</w:t>
                  </w:r>
                  <w:r>
                    <w:rPr>
                      <w:rFonts w:ascii="Times New Roman" w:hAnsi="Times New Roman"/>
                      <w:szCs w:val="21"/>
                      <w:vertAlign w:val="superscript"/>
                    </w:rPr>
                    <w:t>3</w:t>
                  </w:r>
                  <w:r>
                    <w:rPr>
                      <w:rFonts w:ascii="Times New Roman" w:hAnsi="Times New Roman"/>
                      <w:szCs w:val="21"/>
                    </w:rPr>
                    <w:t>的建设项目</w:t>
                  </w:r>
                </w:p>
              </w:tc>
              <w:tc>
                <w:tcPr>
                  <w:tcW w:w="2081" w:type="pct"/>
                  <w:tcMar>
                    <w:left w:w="57" w:type="dxa"/>
                    <w:right w:w="57" w:type="dxa"/>
                  </w:tcMar>
                  <w:vAlign w:val="center"/>
                </w:tcPr>
                <w:p>
                  <w:pPr>
                    <w:pStyle w:val="13"/>
                    <w:jc w:val="left"/>
                    <w:rPr>
                      <w:rFonts w:ascii="Times New Roman" w:hAnsi="Times New Roman"/>
                      <w:szCs w:val="21"/>
                    </w:rPr>
                  </w:pPr>
                  <w:r>
                    <w:rPr>
                      <w:rFonts w:ascii="Times New Roman" w:hAnsi="Times New Roman"/>
                      <w:szCs w:val="21"/>
                    </w:rPr>
                    <w:t>项目</w:t>
                  </w:r>
                  <w:r>
                    <w:rPr>
                      <w:rFonts w:hint="eastAsia" w:ascii="Times New Roman" w:hAnsi="Times New Roman"/>
                      <w:szCs w:val="21"/>
                    </w:rPr>
                    <w:t>不涉及</w:t>
                  </w:r>
                  <w:r>
                    <w:rPr>
                      <w:rFonts w:ascii="Times New Roman" w:hAnsi="Times New Roman"/>
                      <w:szCs w:val="21"/>
                    </w:rPr>
                    <w:t>有毒有害和易燃易爆危险物质，故不设置环境风险专项评价。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 w:hRule="atLeast"/>
              </w:trPr>
              <w:tc>
                <w:tcPr>
                  <w:tcW w:w="662" w:type="pct"/>
                  <w:tcMar>
                    <w:left w:w="57" w:type="dxa"/>
                    <w:right w:w="57" w:type="dxa"/>
                  </w:tcMar>
                  <w:vAlign w:val="center"/>
                </w:tcPr>
                <w:p>
                  <w:pPr>
                    <w:pStyle w:val="13"/>
                    <w:jc w:val="center"/>
                    <w:rPr>
                      <w:rFonts w:ascii="Times New Roman" w:hAnsi="Times New Roman"/>
                      <w:szCs w:val="21"/>
                    </w:rPr>
                  </w:pPr>
                  <w:r>
                    <w:rPr>
                      <w:rFonts w:ascii="Times New Roman" w:hAnsi="Times New Roman"/>
                      <w:szCs w:val="21"/>
                    </w:rPr>
                    <w:t>生态</w:t>
                  </w:r>
                </w:p>
              </w:tc>
              <w:tc>
                <w:tcPr>
                  <w:tcW w:w="2257" w:type="pct"/>
                  <w:tcMar>
                    <w:left w:w="57" w:type="dxa"/>
                    <w:right w:w="57" w:type="dxa"/>
                  </w:tcMar>
                  <w:vAlign w:val="center"/>
                </w:tcPr>
                <w:p>
                  <w:pPr>
                    <w:pStyle w:val="13"/>
                    <w:jc w:val="left"/>
                    <w:rPr>
                      <w:rFonts w:ascii="Times New Roman" w:hAnsi="Times New Roman"/>
                      <w:szCs w:val="21"/>
                    </w:rPr>
                  </w:pPr>
                  <w:r>
                    <w:rPr>
                      <w:rFonts w:ascii="Times New Roman" w:hAnsi="Times New Roman"/>
                      <w:szCs w:val="21"/>
                    </w:rPr>
                    <w:t>取水口下游500米范围内有重要水生生物的自然产卵场、索饵场、越冬场和洄游通道的新增河道取水的污染类建设项目</w:t>
                  </w:r>
                </w:p>
              </w:tc>
              <w:tc>
                <w:tcPr>
                  <w:tcW w:w="2081" w:type="pct"/>
                  <w:tcMar>
                    <w:left w:w="57" w:type="dxa"/>
                    <w:right w:w="57" w:type="dxa"/>
                  </w:tcMar>
                  <w:vAlign w:val="center"/>
                </w:tcPr>
                <w:p>
                  <w:pPr>
                    <w:pStyle w:val="13"/>
                    <w:jc w:val="left"/>
                    <w:rPr>
                      <w:rFonts w:ascii="Times New Roman" w:hAnsi="Times New Roman"/>
                      <w:szCs w:val="21"/>
                    </w:rPr>
                  </w:pPr>
                  <w:r>
                    <w:rPr>
                      <w:rFonts w:ascii="Times New Roman" w:hAnsi="Times New Roman"/>
                      <w:szCs w:val="21"/>
                    </w:rPr>
                    <w:t>项目不涉及河道取水，故不设生态专项评价。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2" w:type="pct"/>
                  <w:tcMar>
                    <w:left w:w="57" w:type="dxa"/>
                    <w:right w:w="57" w:type="dxa"/>
                  </w:tcMar>
                  <w:vAlign w:val="center"/>
                </w:tcPr>
                <w:p>
                  <w:pPr>
                    <w:pStyle w:val="13"/>
                    <w:jc w:val="center"/>
                    <w:rPr>
                      <w:rFonts w:ascii="Times New Roman" w:hAnsi="Times New Roman"/>
                      <w:szCs w:val="21"/>
                    </w:rPr>
                  </w:pPr>
                  <w:r>
                    <w:rPr>
                      <w:rFonts w:ascii="Times New Roman" w:hAnsi="Times New Roman"/>
                      <w:szCs w:val="21"/>
                    </w:rPr>
                    <w:t>海洋</w:t>
                  </w:r>
                </w:p>
              </w:tc>
              <w:tc>
                <w:tcPr>
                  <w:tcW w:w="2257" w:type="pct"/>
                  <w:tcMar>
                    <w:left w:w="57" w:type="dxa"/>
                    <w:right w:w="57" w:type="dxa"/>
                  </w:tcMar>
                  <w:vAlign w:val="center"/>
                </w:tcPr>
                <w:p>
                  <w:pPr>
                    <w:pStyle w:val="13"/>
                    <w:jc w:val="left"/>
                    <w:rPr>
                      <w:rFonts w:ascii="Times New Roman" w:hAnsi="Times New Roman"/>
                      <w:szCs w:val="21"/>
                    </w:rPr>
                  </w:pPr>
                  <w:r>
                    <w:rPr>
                      <w:rFonts w:ascii="Times New Roman" w:hAnsi="Times New Roman"/>
                      <w:szCs w:val="21"/>
                    </w:rPr>
                    <w:t>直接向海排放污染物的海洋工程建设项目</w:t>
                  </w:r>
                </w:p>
              </w:tc>
              <w:tc>
                <w:tcPr>
                  <w:tcW w:w="2081" w:type="pct"/>
                  <w:tcMar>
                    <w:left w:w="57" w:type="dxa"/>
                    <w:right w:w="57" w:type="dxa"/>
                  </w:tcMar>
                  <w:vAlign w:val="center"/>
                </w:tcPr>
                <w:p>
                  <w:pPr>
                    <w:pStyle w:val="13"/>
                    <w:jc w:val="left"/>
                    <w:rPr>
                      <w:rFonts w:ascii="Times New Roman" w:hAnsi="Times New Roman"/>
                      <w:szCs w:val="21"/>
                    </w:rPr>
                  </w:pPr>
                  <w:r>
                    <w:rPr>
                      <w:rFonts w:ascii="Times New Roman" w:hAnsi="Times New Roman"/>
                      <w:szCs w:val="21"/>
                    </w:rPr>
                    <w:t>项目不属于海洋工程建设项目，故不设开展海洋专项评价。</w:t>
                  </w:r>
                </w:p>
              </w:tc>
            </w:tr>
          </w:tbl>
          <w:p>
            <w:pPr>
              <w:autoSpaceDE w:val="0"/>
              <w:autoSpaceDN w:val="0"/>
              <w:adjustRightInd w:val="0"/>
              <w:snapToGrid w:val="0"/>
              <w:spacing w:line="240" w:lineRule="auto"/>
              <w:ind w:firstLine="0" w:firstLineChars="0"/>
              <w:jc w:val="left"/>
              <w:rPr>
                <w:kern w:val="0"/>
                <w:szCs w:val="21"/>
              </w:rPr>
            </w:pPr>
            <w:r>
              <w:rPr>
                <w:sz w:val="18"/>
                <w:szCs w:val="18"/>
              </w:rPr>
              <w:t>注：1、废气中有毒有害污染物指纳入《有毒有害大气污染物名录》的污染物（不包括无排 放标准的污染物）。2、环境空气保护目标指自然保护区、风景名胜区、居住区、文化区和农村地区中人群较集中的区域。3、临界量及其计算方法可参考《建设项目环境风险评价技术导则》（HJ 169）附录B、附录C。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691" w:type="dxa"/>
            <w:vAlign w:val="center"/>
          </w:tcPr>
          <w:p>
            <w:pPr>
              <w:autoSpaceDE w:val="0"/>
              <w:autoSpaceDN w:val="0"/>
              <w:adjustRightInd w:val="0"/>
              <w:snapToGrid w:val="0"/>
              <w:spacing w:line="240" w:lineRule="auto"/>
              <w:ind w:firstLine="0" w:firstLineChars="0"/>
              <w:jc w:val="center"/>
              <w:rPr>
                <w:kern w:val="0"/>
                <w:szCs w:val="21"/>
              </w:rPr>
            </w:pPr>
            <w:r>
              <w:rPr>
                <w:szCs w:val="21"/>
              </w:rPr>
              <w:t>规划情况</w:t>
            </w:r>
          </w:p>
        </w:tc>
        <w:tc>
          <w:tcPr>
            <w:tcW w:w="8035" w:type="dxa"/>
            <w:gridSpan w:val="3"/>
            <w:vAlign w:val="center"/>
          </w:tcPr>
          <w:p>
            <w:pPr>
              <w:autoSpaceDE w:val="0"/>
              <w:autoSpaceDN w:val="0"/>
              <w:adjustRightInd w:val="0"/>
              <w:snapToGrid w:val="0"/>
              <w:spacing w:line="400" w:lineRule="exact"/>
              <w:ind w:firstLine="0" w:firstLineChars="0"/>
              <w:jc w:val="left"/>
              <w:rPr>
                <w:szCs w:val="21"/>
              </w:rPr>
            </w:pPr>
            <w:r>
              <w:rPr>
                <w:rFonts w:hint="eastAsia"/>
                <w:b/>
                <w:szCs w:val="21"/>
              </w:rPr>
              <w:t>1、</w:t>
            </w:r>
            <w:r>
              <w:rPr>
                <w:b/>
                <w:szCs w:val="21"/>
              </w:rPr>
              <w:t>规划名称：</w:t>
            </w:r>
            <w:r>
              <w:rPr>
                <w:szCs w:val="21"/>
              </w:rPr>
              <w:t>《重庆市合川工业园区南溪组团南溪片区控制性详细规划》（2016年修改）</w:t>
            </w:r>
          </w:p>
          <w:p>
            <w:pPr>
              <w:autoSpaceDE w:val="0"/>
              <w:autoSpaceDN w:val="0"/>
              <w:adjustRightInd w:val="0"/>
              <w:snapToGrid w:val="0"/>
              <w:spacing w:line="400" w:lineRule="exact"/>
              <w:ind w:firstLine="0" w:firstLineChars="0"/>
              <w:jc w:val="left"/>
              <w:rPr>
                <w:szCs w:val="21"/>
              </w:rPr>
            </w:pPr>
            <w:r>
              <w:rPr>
                <w:rFonts w:hint="eastAsia"/>
                <w:b/>
                <w:szCs w:val="21"/>
              </w:rPr>
              <w:t>2、</w:t>
            </w:r>
            <w:r>
              <w:rPr>
                <w:b/>
                <w:szCs w:val="21"/>
              </w:rPr>
              <w:t>审批机关：</w:t>
            </w:r>
            <w:r>
              <w:rPr>
                <w:szCs w:val="21"/>
              </w:rPr>
              <w:t>合川区人民政府</w:t>
            </w:r>
          </w:p>
          <w:p>
            <w:pPr>
              <w:autoSpaceDE w:val="0"/>
              <w:autoSpaceDN w:val="0"/>
              <w:adjustRightInd w:val="0"/>
              <w:snapToGrid w:val="0"/>
              <w:spacing w:line="400" w:lineRule="exact"/>
              <w:ind w:firstLine="0" w:firstLineChars="0"/>
              <w:jc w:val="left"/>
              <w:rPr>
                <w:szCs w:val="21"/>
              </w:rPr>
            </w:pPr>
            <w:r>
              <w:rPr>
                <w:rFonts w:hint="eastAsia"/>
                <w:b/>
                <w:szCs w:val="21"/>
              </w:rPr>
              <w:t>3、</w:t>
            </w:r>
            <w:r>
              <w:rPr>
                <w:b/>
                <w:szCs w:val="21"/>
              </w:rPr>
              <w:t>审批</w:t>
            </w:r>
            <w:r>
              <w:rPr>
                <w:rFonts w:hint="eastAsia"/>
                <w:b/>
                <w:szCs w:val="21"/>
              </w:rPr>
              <w:t>文件</w:t>
            </w:r>
            <w:r>
              <w:rPr>
                <w:b/>
                <w:szCs w:val="21"/>
              </w:rPr>
              <w:t>及文号：</w:t>
            </w:r>
            <w:r>
              <w:rPr>
                <w:szCs w:val="21"/>
              </w:rPr>
              <w:t>《关于重庆市合川工业园区南溪组团南溪片区控制性详细规划（修改）的批复》（合川府〔2016〕61号）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1" w:type="dxa"/>
            <w:vAlign w:val="center"/>
          </w:tcPr>
          <w:p>
            <w:pPr>
              <w:adjustRightInd w:val="0"/>
              <w:snapToGrid w:val="0"/>
              <w:ind w:firstLine="0" w:firstLineChars="0"/>
              <w:rPr>
                <w:szCs w:val="21"/>
              </w:rPr>
            </w:pPr>
            <w:r>
              <w:rPr>
                <w:szCs w:val="21"/>
              </w:rPr>
              <w:t>规划环境影响评价情况</w:t>
            </w:r>
          </w:p>
        </w:tc>
        <w:tc>
          <w:tcPr>
            <w:tcW w:w="8035" w:type="dxa"/>
            <w:gridSpan w:val="3"/>
            <w:vAlign w:val="center"/>
          </w:tcPr>
          <w:p>
            <w:pPr>
              <w:autoSpaceDE w:val="0"/>
              <w:autoSpaceDN w:val="0"/>
              <w:adjustRightInd w:val="0"/>
              <w:snapToGrid w:val="0"/>
              <w:spacing w:line="400" w:lineRule="exact"/>
              <w:ind w:firstLine="0" w:firstLineChars="0"/>
              <w:jc w:val="left"/>
              <w:rPr>
                <w:szCs w:val="21"/>
              </w:rPr>
            </w:pPr>
            <w:r>
              <w:rPr>
                <w:rFonts w:hint="eastAsia"/>
                <w:b/>
                <w:szCs w:val="21"/>
              </w:rPr>
              <w:t>1、文件名称：</w:t>
            </w:r>
            <w:r>
              <w:rPr>
                <w:rFonts w:hint="eastAsia"/>
                <w:szCs w:val="21"/>
              </w:rPr>
              <w:t>《合川工业园区南溪组团、渭沱组团B区规划环境影响报告书》</w:t>
            </w:r>
          </w:p>
          <w:p>
            <w:pPr>
              <w:autoSpaceDE w:val="0"/>
              <w:autoSpaceDN w:val="0"/>
              <w:adjustRightInd w:val="0"/>
              <w:snapToGrid w:val="0"/>
              <w:spacing w:line="400" w:lineRule="exact"/>
              <w:ind w:firstLine="0" w:firstLineChars="0"/>
              <w:jc w:val="left"/>
              <w:rPr>
                <w:szCs w:val="21"/>
              </w:rPr>
            </w:pPr>
            <w:r>
              <w:rPr>
                <w:rFonts w:hint="eastAsia"/>
                <w:b/>
                <w:szCs w:val="21"/>
              </w:rPr>
              <w:t>2、审查机关：</w:t>
            </w:r>
            <w:r>
              <w:rPr>
                <w:rFonts w:hint="eastAsia"/>
                <w:szCs w:val="21"/>
              </w:rPr>
              <w:t>重庆市生态环境局</w:t>
            </w:r>
          </w:p>
          <w:p>
            <w:pPr>
              <w:autoSpaceDE w:val="0"/>
              <w:autoSpaceDN w:val="0"/>
              <w:adjustRightInd w:val="0"/>
              <w:snapToGrid w:val="0"/>
              <w:spacing w:line="400" w:lineRule="exact"/>
              <w:ind w:firstLine="0" w:firstLineChars="0"/>
              <w:jc w:val="left"/>
            </w:pPr>
            <w:r>
              <w:rPr>
                <w:b/>
                <w:szCs w:val="21"/>
              </w:rPr>
              <w:t>3</w:t>
            </w:r>
            <w:r>
              <w:rPr>
                <w:rFonts w:hint="eastAsia"/>
                <w:b/>
                <w:szCs w:val="21"/>
              </w:rPr>
              <w:t>、审查文件及文号：</w:t>
            </w:r>
            <w:r>
              <w:rPr>
                <w:rFonts w:hint="eastAsia"/>
                <w:szCs w:val="21"/>
              </w:rPr>
              <w:t>《重庆市生态环境局关于合川工业园区南溪组团、渭沱组团B区规划环境影响报告书审查意见的函》渝环函〔2019〕</w:t>
            </w:r>
            <w:r>
              <w:rPr>
                <w:szCs w:val="21"/>
              </w:rPr>
              <w:t>1169</w:t>
            </w:r>
            <w:r>
              <w:rPr>
                <w:rFonts w:hint="eastAsia"/>
                <w:szCs w:val="21"/>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1" w:type="dxa"/>
            <w:vAlign w:val="center"/>
          </w:tcPr>
          <w:p>
            <w:pPr>
              <w:autoSpaceDE w:val="0"/>
              <w:autoSpaceDN w:val="0"/>
              <w:adjustRightInd w:val="0"/>
              <w:snapToGrid w:val="0"/>
              <w:ind w:firstLine="0" w:firstLineChars="0"/>
              <w:rPr>
                <w:kern w:val="0"/>
                <w:szCs w:val="21"/>
              </w:rPr>
            </w:pPr>
            <w:r>
              <w:rPr>
                <w:kern w:val="0"/>
                <w:szCs w:val="21"/>
              </w:rPr>
              <w:t>规划及规划环境影响评价符合性分析</w:t>
            </w:r>
          </w:p>
        </w:tc>
        <w:tc>
          <w:tcPr>
            <w:tcW w:w="8035" w:type="dxa"/>
            <w:gridSpan w:val="3"/>
            <w:vAlign w:val="center"/>
          </w:tcPr>
          <w:p>
            <w:pPr>
              <w:spacing w:line="440" w:lineRule="exact"/>
              <w:ind w:firstLine="482"/>
              <w:rPr>
                <w:b/>
              </w:rPr>
            </w:pPr>
            <w:r>
              <w:rPr>
                <w:b/>
              </w:rPr>
              <w:t>1</w:t>
            </w:r>
            <w:r>
              <w:rPr>
                <w:rFonts w:hint="eastAsia"/>
                <w:b/>
              </w:rPr>
              <w:t>、规划及规划环境影响评价符合性分析</w:t>
            </w:r>
          </w:p>
          <w:p>
            <w:pPr>
              <w:spacing w:line="440" w:lineRule="exact"/>
              <w:ind w:firstLine="482"/>
              <w:rPr>
                <w:b/>
              </w:rPr>
            </w:pPr>
            <w:r>
              <w:rPr>
                <w:rFonts w:hint="eastAsia"/>
                <w:b/>
              </w:rPr>
              <w:t>（1）与《重庆市合川工业园区南溪组团南溪片区控制性详细规划》（2016年修改）符合性分析</w:t>
            </w:r>
          </w:p>
          <w:p>
            <w:pPr>
              <w:spacing w:line="440" w:lineRule="exact"/>
              <w:ind w:firstLine="480"/>
            </w:pPr>
            <w:r>
              <w:rPr>
                <w:rFonts w:hint="eastAsia"/>
              </w:rPr>
              <w:t>南溪组团：以发展电子信息、装备制造、医药、食品为主，居住商业配套为辅的科技领先、经济繁荣、环境优美的工业园，禁止化学合成、化学原料药的生产。规划范围：规划面积为13.48km</w:t>
            </w:r>
            <w:r>
              <w:rPr>
                <w:rFonts w:hint="eastAsia"/>
                <w:vertAlign w:val="superscript"/>
              </w:rPr>
              <w:t>2</w:t>
            </w:r>
            <w:r>
              <w:rPr>
                <w:rFonts w:hint="eastAsia"/>
              </w:rPr>
              <w:t>，四至范围为：东起东津沱、南至米坊村、进士村、西至南津街街道办事处的花园村、南屏村，东至盐井镇的石庙村、建梁村。后续反正主导产业为装备制造、电子信息、康医药。</w:t>
            </w:r>
          </w:p>
          <w:p>
            <w:pPr>
              <w:spacing w:line="440" w:lineRule="exact"/>
              <w:ind w:firstLine="480"/>
              <w:rPr>
                <w:b/>
              </w:rPr>
            </w:pPr>
            <w:r>
              <w:rPr>
                <w:rFonts w:hint="eastAsia"/>
              </w:rPr>
              <w:t>项目位于南溪组团A区，主要进行苕皮和</w:t>
            </w:r>
            <w:r>
              <w:t>卤豆干的加工</w:t>
            </w:r>
            <w:r>
              <w:rPr>
                <w:rFonts w:hint="eastAsia"/>
              </w:rPr>
              <w:t>生产，不属于化学合成、化学原料药生产等禁止类</w:t>
            </w:r>
            <w:r>
              <w:t>产业</w:t>
            </w:r>
            <w:r>
              <w:rPr>
                <w:rFonts w:hint="eastAsia"/>
              </w:rPr>
              <w:t>，符合规划。</w:t>
            </w:r>
          </w:p>
          <w:p>
            <w:pPr>
              <w:spacing w:line="440" w:lineRule="exact"/>
              <w:ind w:firstLine="482"/>
              <w:rPr>
                <w:b/>
              </w:rPr>
            </w:pPr>
            <w:r>
              <w:rPr>
                <w:rFonts w:hint="eastAsia"/>
                <w:b/>
              </w:rPr>
              <w:t>（2）与</w:t>
            </w:r>
            <w:r>
              <w:rPr>
                <w:b/>
              </w:rPr>
              <w:t>《合川工业园区南溪组团、渭沱组团B区规划环境影响报告书》及其</w:t>
            </w:r>
            <w:r>
              <w:rPr>
                <w:rFonts w:hint="eastAsia"/>
                <w:b/>
              </w:rPr>
              <w:t>审查意见</w:t>
            </w:r>
            <w:r>
              <w:rPr>
                <w:b/>
              </w:rPr>
              <w:t>（渝环函[2019]1169号）</w:t>
            </w:r>
            <w:r>
              <w:rPr>
                <w:rFonts w:hint="eastAsia"/>
                <w:b/>
              </w:rPr>
              <w:t>符合性分析</w:t>
            </w:r>
          </w:p>
          <w:p>
            <w:pPr>
              <w:spacing w:line="440" w:lineRule="exact"/>
              <w:ind w:firstLine="480"/>
            </w:pPr>
            <w:r>
              <w:t>根据</w:t>
            </w:r>
            <w:bookmarkStart w:id="2" w:name="OLE_LINK6"/>
            <w:r>
              <w:t>《合川工业园区南溪组团、渭沱组团B区规划环境影响报告书》及其</w:t>
            </w:r>
            <w:r>
              <w:rPr>
                <w:rFonts w:hint="eastAsia"/>
              </w:rPr>
              <w:t>审查意见</w:t>
            </w:r>
            <w:r>
              <w:t>（渝环函[2019]1169号）</w:t>
            </w:r>
            <w:bookmarkEnd w:id="2"/>
            <w:r>
              <w:t>。与园区规划环评及其批复的符合性分析见表1-2</w:t>
            </w:r>
            <w:r>
              <w:rPr>
                <w:rFonts w:hint="eastAsia"/>
              </w:rPr>
              <w:t>、</w:t>
            </w:r>
            <w:r>
              <w:t>1-3。</w:t>
            </w:r>
          </w:p>
          <w:p>
            <w:pPr>
              <w:spacing w:line="440" w:lineRule="exact"/>
              <w:ind w:firstLine="0" w:firstLineChars="0"/>
              <w:jc w:val="center"/>
              <w:rPr>
                <w:b/>
                <w:lang w:val="zh-CN"/>
              </w:rPr>
            </w:pPr>
            <w:r>
              <w:rPr>
                <w:b/>
                <w:lang w:val="zh-CN"/>
              </w:rPr>
              <w:t>表1-2项目</w:t>
            </w:r>
            <w:r>
              <w:rPr>
                <w:b/>
              </w:rPr>
              <w:t>与南溪组团A区生态环境准入负面清单的符合性分析表</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99"/>
              <w:gridCol w:w="943"/>
              <w:gridCol w:w="4207"/>
              <w:gridCol w:w="2103"/>
              <w:gridCol w:w="5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gridSpan w:val="2"/>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分类</w:t>
                  </w:r>
                </w:p>
              </w:tc>
              <w:tc>
                <w:tcPr>
                  <w:tcW w:w="2498" w:type="pc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清单内容</w:t>
                  </w:r>
                </w:p>
              </w:tc>
              <w:tc>
                <w:tcPr>
                  <w:tcW w:w="1249" w:type="pc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项目情况</w:t>
                  </w:r>
                </w:p>
              </w:tc>
              <w:tc>
                <w:tcPr>
                  <w:tcW w:w="337" w:type="pc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gridSpan w:val="2"/>
                  <w:vMerge w:val="restar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空间布局约束</w:t>
                  </w:r>
                </w:p>
              </w:tc>
              <w:tc>
                <w:tcPr>
                  <w:tcW w:w="2498" w:type="pct"/>
                  <w:tcBorders>
                    <w:tl2br w:val="nil"/>
                    <w:tr2bl w:val="nil"/>
                  </w:tcBorders>
                  <w:vAlign w:val="center"/>
                </w:tcPr>
                <w:p>
                  <w:pPr>
                    <w:adjustRightInd w:val="0"/>
                    <w:snapToGrid w:val="0"/>
                    <w:spacing w:line="240" w:lineRule="auto"/>
                    <w:ind w:firstLine="0" w:firstLineChars="0"/>
                    <w:rPr>
                      <w:sz w:val="21"/>
                      <w:szCs w:val="21"/>
                    </w:rPr>
                  </w:pPr>
                  <w:r>
                    <w:rPr>
                      <w:sz w:val="21"/>
                      <w:szCs w:val="21"/>
                    </w:rPr>
                    <w:t>缙云山国家级风景名胜区、九峰山市级森林公园外围300m缓冲带区域原则上按照环境空气一类功能区对应要求进行管理；对临近环境空气一类功能区一侧工业用地不宜布置废气排放量大的企业，增强靠近九峰山市级森林公园一侧防护绿化；</w:t>
                  </w:r>
                </w:p>
              </w:tc>
              <w:tc>
                <w:tcPr>
                  <w:tcW w:w="1249" w:type="pct"/>
                  <w:tcBorders>
                    <w:tl2br w:val="nil"/>
                    <w:tr2bl w:val="nil"/>
                  </w:tcBorders>
                  <w:vAlign w:val="center"/>
                </w:tcPr>
                <w:p>
                  <w:pPr>
                    <w:adjustRightInd w:val="0"/>
                    <w:snapToGrid w:val="0"/>
                    <w:spacing w:line="240" w:lineRule="auto"/>
                    <w:ind w:firstLine="0" w:firstLineChars="0"/>
                    <w:jc w:val="left"/>
                    <w:rPr>
                      <w:sz w:val="21"/>
                      <w:szCs w:val="21"/>
                    </w:rPr>
                  </w:pPr>
                  <w:r>
                    <w:rPr>
                      <w:sz w:val="21"/>
                      <w:szCs w:val="21"/>
                    </w:rPr>
                    <w:t>项目所在位置位于九峰山300m缓冲带范围外，且本项目</w:t>
                  </w:r>
                  <w:r>
                    <w:rPr>
                      <w:rFonts w:hint="eastAsia"/>
                      <w:sz w:val="21"/>
                      <w:szCs w:val="21"/>
                    </w:rPr>
                    <w:t>不排放生产废气</w:t>
                  </w:r>
                  <w:r>
                    <w:rPr>
                      <w:sz w:val="21"/>
                      <w:szCs w:val="21"/>
                    </w:rPr>
                    <w:t>；</w:t>
                  </w:r>
                </w:p>
              </w:tc>
              <w:tc>
                <w:tcPr>
                  <w:tcW w:w="337" w:type="pc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gridSpan w:val="2"/>
                  <w:vMerge w:val="continue"/>
                  <w:tcBorders>
                    <w:tl2br w:val="nil"/>
                    <w:tr2bl w:val="nil"/>
                  </w:tcBorders>
                  <w:vAlign w:val="center"/>
                </w:tcPr>
                <w:p>
                  <w:pPr>
                    <w:adjustRightInd w:val="0"/>
                    <w:snapToGrid w:val="0"/>
                    <w:spacing w:line="240" w:lineRule="auto"/>
                    <w:ind w:firstLine="0" w:firstLineChars="0"/>
                    <w:jc w:val="center"/>
                    <w:rPr>
                      <w:sz w:val="21"/>
                      <w:szCs w:val="21"/>
                    </w:rPr>
                  </w:pPr>
                </w:p>
              </w:tc>
              <w:tc>
                <w:tcPr>
                  <w:tcW w:w="2498" w:type="pct"/>
                  <w:tcBorders>
                    <w:tl2br w:val="nil"/>
                    <w:tr2bl w:val="nil"/>
                  </w:tcBorders>
                  <w:vAlign w:val="center"/>
                </w:tcPr>
                <w:p>
                  <w:pPr>
                    <w:adjustRightInd w:val="0"/>
                    <w:snapToGrid w:val="0"/>
                    <w:spacing w:line="240" w:lineRule="auto"/>
                    <w:ind w:firstLine="0" w:firstLineChars="0"/>
                    <w:rPr>
                      <w:sz w:val="21"/>
                      <w:szCs w:val="21"/>
                    </w:rPr>
                  </w:pPr>
                  <w:r>
                    <w:rPr>
                      <w:sz w:val="21"/>
                      <w:szCs w:val="21"/>
                    </w:rPr>
                    <w:t>规划区内企业入驻时应优化环境防护距离设置，以防范产业园区涉生态环境“邻避”问题为出发点，将环境防护距离优化控制在园区边界或用地红线内；</w:t>
                  </w:r>
                </w:p>
              </w:tc>
              <w:tc>
                <w:tcPr>
                  <w:tcW w:w="1249" w:type="pct"/>
                  <w:tcBorders>
                    <w:tl2br w:val="nil"/>
                    <w:tr2bl w:val="nil"/>
                  </w:tcBorders>
                  <w:vAlign w:val="center"/>
                </w:tcPr>
                <w:p>
                  <w:pPr>
                    <w:adjustRightInd w:val="0"/>
                    <w:snapToGrid w:val="0"/>
                    <w:spacing w:line="240" w:lineRule="auto"/>
                    <w:ind w:firstLine="0" w:firstLineChars="0"/>
                    <w:jc w:val="left"/>
                    <w:rPr>
                      <w:sz w:val="21"/>
                      <w:szCs w:val="21"/>
                    </w:rPr>
                  </w:pPr>
                  <w:r>
                    <w:rPr>
                      <w:sz w:val="21"/>
                      <w:szCs w:val="21"/>
                    </w:rPr>
                    <w:t>项目不涉及环境防护距离；</w:t>
                  </w:r>
                </w:p>
              </w:tc>
              <w:tc>
                <w:tcPr>
                  <w:tcW w:w="337" w:type="pc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vMerge w:val="restar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污染物排放管控</w:t>
                  </w:r>
                </w:p>
              </w:tc>
              <w:tc>
                <w:tcPr>
                  <w:tcW w:w="560" w:type="pc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水污染控制措施要求</w:t>
                  </w:r>
                </w:p>
              </w:tc>
              <w:tc>
                <w:tcPr>
                  <w:tcW w:w="2498" w:type="pct"/>
                  <w:tcBorders>
                    <w:tl2br w:val="nil"/>
                    <w:tr2bl w:val="nil"/>
                  </w:tcBorders>
                  <w:vAlign w:val="center"/>
                </w:tcPr>
                <w:p>
                  <w:pPr>
                    <w:adjustRightInd w:val="0"/>
                    <w:snapToGrid w:val="0"/>
                    <w:spacing w:line="240" w:lineRule="auto"/>
                    <w:ind w:firstLine="0" w:firstLineChars="0"/>
                    <w:rPr>
                      <w:sz w:val="21"/>
                      <w:szCs w:val="21"/>
                    </w:rPr>
                  </w:pPr>
                  <w:r>
                    <w:rPr>
                      <w:sz w:val="21"/>
                      <w:szCs w:val="21"/>
                    </w:rPr>
                    <w:t>规划区废水全部进入污水处理厂处理达标后排放，水污染物达标排放率100%；</w:t>
                  </w:r>
                </w:p>
              </w:tc>
              <w:tc>
                <w:tcPr>
                  <w:tcW w:w="1249" w:type="pct"/>
                  <w:tcBorders>
                    <w:tl2br w:val="nil"/>
                    <w:tr2bl w:val="nil"/>
                  </w:tcBorders>
                  <w:vAlign w:val="center"/>
                </w:tcPr>
                <w:p>
                  <w:pPr>
                    <w:adjustRightInd w:val="0"/>
                    <w:snapToGrid w:val="0"/>
                    <w:spacing w:line="240" w:lineRule="auto"/>
                    <w:ind w:firstLine="0" w:firstLineChars="0"/>
                    <w:jc w:val="left"/>
                    <w:rPr>
                      <w:sz w:val="21"/>
                      <w:szCs w:val="21"/>
                    </w:rPr>
                  </w:pPr>
                  <w:r>
                    <w:rPr>
                      <w:sz w:val="21"/>
                      <w:szCs w:val="21"/>
                    </w:rPr>
                    <w:t>项目排放的废水最终均排至园区污水处理厂处理</w:t>
                  </w:r>
                  <w:r>
                    <w:rPr>
                      <w:rFonts w:hint="eastAsia"/>
                      <w:sz w:val="21"/>
                      <w:szCs w:val="21"/>
                    </w:rPr>
                    <w:t>；</w:t>
                  </w:r>
                </w:p>
              </w:tc>
              <w:tc>
                <w:tcPr>
                  <w:tcW w:w="337" w:type="pc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vMerge w:val="continue"/>
                  <w:tcBorders>
                    <w:tl2br w:val="nil"/>
                    <w:tr2bl w:val="nil"/>
                  </w:tcBorders>
                  <w:vAlign w:val="center"/>
                </w:tcPr>
                <w:p>
                  <w:pPr>
                    <w:adjustRightInd w:val="0"/>
                    <w:snapToGrid w:val="0"/>
                    <w:spacing w:line="240" w:lineRule="auto"/>
                    <w:ind w:firstLine="0" w:firstLineChars="0"/>
                    <w:jc w:val="center"/>
                    <w:rPr>
                      <w:sz w:val="21"/>
                      <w:szCs w:val="21"/>
                    </w:rPr>
                  </w:pPr>
                </w:p>
              </w:tc>
              <w:tc>
                <w:tcPr>
                  <w:tcW w:w="560" w:type="pc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大气污染物控制措施要求</w:t>
                  </w:r>
                </w:p>
              </w:tc>
              <w:tc>
                <w:tcPr>
                  <w:tcW w:w="2498" w:type="pct"/>
                  <w:tcBorders>
                    <w:tl2br w:val="nil"/>
                    <w:tr2bl w:val="nil"/>
                  </w:tcBorders>
                  <w:vAlign w:val="center"/>
                </w:tcPr>
                <w:p>
                  <w:pPr>
                    <w:adjustRightInd w:val="0"/>
                    <w:snapToGrid w:val="0"/>
                    <w:spacing w:line="240" w:lineRule="auto"/>
                    <w:ind w:firstLine="0" w:firstLineChars="0"/>
                    <w:rPr>
                      <w:sz w:val="21"/>
                      <w:szCs w:val="21"/>
                    </w:rPr>
                  </w:pPr>
                  <w:r>
                    <w:rPr>
                      <w:sz w:val="21"/>
                      <w:szCs w:val="21"/>
                    </w:rPr>
                    <w:t>涉及挥发性有机污染物的排放的企业应按国家及重庆市“十三五”挥发性有机物大气污染防治工作实施方案要求，采用低毒、低挥发性原辅材料，进行工艺改造，并对原辅材料储运、加工生产、废弃物处置等环节实施全过程控制；鼓励水泥、玻璃制品等行业在已达标的基础上深度治理，并持续实行水泥行业错峰生产；</w:t>
                  </w:r>
                </w:p>
              </w:tc>
              <w:tc>
                <w:tcPr>
                  <w:tcW w:w="1249" w:type="pct"/>
                  <w:tcBorders>
                    <w:tl2br w:val="nil"/>
                    <w:tr2bl w:val="nil"/>
                  </w:tcBorders>
                  <w:vAlign w:val="center"/>
                </w:tcPr>
                <w:p>
                  <w:pPr>
                    <w:adjustRightInd w:val="0"/>
                    <w:snapToGrid w:val="0"/>
                    <w:spacing w:line="240" w:lineRule="auto"/>
                    <w:ind w:firstLine="0" w:firstLineChars="0"/>
                    <w:jc w:val="left"/>
                    <w:rPr>
                      <w:sz w:val="21"/>
                      <w:szCs w:val="21"/>
                    </w:rPr>
                  </w:pPr>
                  <w:r>
                    <w:rPr>
                      <w:sz w:val="21"/>
                      <w:szCs w:val="21"/>
                    </w:rPr>
                    <w:t>项目</w:t>
                  </w:r>
                  <w:r>
                    <w:rPr>
                      <w:rFonts w:hint="eastAsia"/>
                      <w:sz w:val="21"/>
                      <w:szCs w:val="21"/>
                    </w:rPr>
                    <w:t>不涉及挥发性</w:t>
                  </w:r>
                  <w:r>
                    <w:rPr>
                      <w:sz w:val="21"/>
                      <w:szCs w:val="21"/>
                    </w:rPr>
                    <w:t>有机</w:t>
                  </w:r>
                  <w:r>
                    <w:rPr>
                      <w:rFonts w:hint="eastAsia"/>
                      <w:sz w:val="21"/>
                      <w:szCs w:val="21"/>
                    </w:rPr>
                    <w:t>污染物</w:t>
                  </w:r>
                  <w:r>
                    <w:rPr>
                      <w:sz w:val="21"/>
                      <w:szCs w:val="21"/>
                    </w:rPr>
                    <w:t>的排放</w:t>
                  </w:r>
                  <w:r>
                    <w:rPr>
                      <w:rFonts w:hint="eastAsia"/>
                      <w:sz w:val="21"/>
                      <w:szCs w:val="21"/>
                    </w:rPr>
                    <w:t>；</w:t>
                  </w:r>
                </w:p>
              </w:tc>
              <w:tc>
                <w:tcPr>
                  <w:tcW w:w="337" w:type="pc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vMerge w:val="continue"/>
                  <w:tcBorders>
                    <w:tl2br w:val="nil"/>
                    <w:tr2bl w:val="nil"/>
                  </w:tcBorders>
                  <w:vAlign w:val="center"/>
                </w:tcPr>
                <w:p>
                  <w:pPr>
                    <w:adjustRightInd w:val="0"/>
                    <w:snapToGrid w:val="0"/>
                    <w:spacing w:line="240" w:lineRule="auto"/>
                    <w:ind w:firstLine="0" w:firstLineChars="0"/>
                    <w:jc w:val="center"/>
                    <w:rPr>
                      <w:sz w:val="21"/>
                      <w:szCs w:val="21"/>
                    </w:rPr>
                  </w:pPr>
                </w:p>
              </w:tc>
              <w:tc>
                <w:tcPr>
                  <w:tcW w:w="560" w:type="pc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固体废物处置措施</w:t>
                  </w:r>
                </w:p>
              </w:tc>
              <w:tc>
                <w:tcPr>
                  <w:tcW w:w="2498" w:type="pct"/>
                  <w:tcBorders>
                    <w:tl2br w:val="nil"/>
                    <w:tr2bl w:val="nil"/>
                  </w:tcBorders>
                  <w:vAlign w:val="center"/>
                </w:tcPr>
                <w:p>
                  <w:pPr>
                    <w:adjustRightInd w:val="0"/>
                    <w:snapToGrid w:val="0"/>
                    <w:spacing w:line="240" w:lineRule="auto"/>
                    <w:ind w:firstLine="0" w:firstLineChars="0"/>
                    <w:rPr>
                      <w:sz w:val="21"/>
                      <w:szCs w:val="21"/>
                    </w:rPr>
                  </w:pPr>
                  <w:r>
                    <w:rPr>
                      <w:sz w:val="21"/>
                      <w:szCs w:val="21"/>
                    </w:rPr>
                    <w:t>工业固体废物综合利用率达到95.5%；</w:t>
                  </w:r>
                </w:p>
              </w:tc>
              <w:tc>
                <w:tcPr>
                  <w:tcW w:w="1249" w:type="pct"/>
                  <w:tcBorders>
                    <w:tl2br w:val="nil"/>
                    <w:tr2bl w:val="nil"/>
                  </w:tcBorders>
                  <w:vAlign w:val="center"/>
                </w:tcPr>
                <w:p>
                  <w:pPr>
                    <w:adjustRightInd w:val="0"/>
                    <w:snapToGrid w:val="0"/>
                    <w:spacing w:line="240" w:lineRule="auto"/>
                    <w:ind w:firstLine="0" w:firstLineChars="0"/>
                    <w:jc w:val="left"/>
                    <w:rPr>
                      <w:sz w:val="21"/>
                      <w:szCs w:val="21"/>
                    </w:rPr>
                  </w:pPr>
                  <w:r>
                    <w:rPr>
                      <w:sz w:val="21"/>
                      <w:szCs w:val="21"/>
                    </w:rPr>
                    <w:t xml:space="preserve">项目工业固体废物综合处置率达到100%； </w:t>
                  </w:r>
                </w:p>
              </w:tc>
              <w:tc>
                <w:tcPr>
                  <w:tcW w:w="337" w:type="pc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gridSpan w:val="2"/>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环境风险防控</w:t>
                  </w:r>
                </w:p>
              </w:tc>
              <w:tc>
                <w:tcPr>
                  <w:tcW w:w="2498" w:type="pct"/>
                  <w:tcBorders>
                    <w:tl2br w:val="nil"/>
                    <w:tr2bl w:val="nil"/>
                  </w:tcBorders>
                  <w:vAlign w:val="center"/>
                </w:tcPr>
                <w:p>
                  <w:pPr>
                    <w:adjustRightInd w:val="0"/>
                    <w:snapToGrid w:val="0"/>
                    <w:spacing w:line="240" w:lineRule="auto"/>
                    <w:ind w:firstLine="0" w:firstLineChars="0"/>
                    <w:rPr>
                      <w:sz w:val="21"/>
                      <w:szCs w:val="21"/>
                    </w:rPr>
                  </w:pPr>
                  <w:r>
                    <w:rPr>
                      <w:sz w:val="21"/>
                      <w:szCs w:val="21"/>
                    </w:rPr>
                    <w:t>规划区建设三级（车间、厂区、规划区）环境风险防控体系；督促规划区内各企业加强环境风险防控，建设防止环境风险物质泄漏扩散的封堵、围栏、喷淋、吸收、收集、处理等应急设施；</w:t>
                  </w:r>
                </w:p>
              </w:tc>
              <w:tc>
                <w:tcPr>
                  <w:tcW w:w="1249" w:type="pct"/>
                  <w:tcBorders>
                    <w:tl2br w:val="nil"/>
                    <w:tr2bl w:val="nil"/>
                  </w:tcBorders>
                  <w:vAlign w:val="center"/>
                </w:tcPr>
                <w:p>
                  <w:pPr>
                    <w:adjustRightInd w:val="0"/>
                    <w:snapToGrid w:val="0"/>
                    <w:spacing w:line="240" w:lineRule="auto"/>
                    <w:ind w:firstLine="0" w:firstLineChars="0"/>
                    <w:jc w:val="left"/>
                    <w:rPr>
                      <w:sz w:val="21"/>
                      <w:szCs w:val="21"/>
                    </w:rPr>
                  </w:pPr>
                  <w:r>
                    <w:rPr>
                      <w:sz w:val="21"/>
                      <w:szCs w:val="21"/>
                    </w:rPr>
                    <w:t>项目环境风险较低，采取了车间风险防控措施，同时依托园区风险防控体系；</w:t>
                  </w:r>
                </w:p>
              </w:tc>
              <w:tc>
                <w:tcPr>
                  <w:tcW w:w="337" w:type="pc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gridSpan w:val="2"/>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资源利用效率</w:t>
                  </w:r>
                </w:p>
              </w:tc>
              <w:tc>
                <w:tcPr>
                  <w:tcW w:w="2498" w:type="pct"/>
                  <w:tcBorders>
                    <w:tl2br w:val="nil"/>
                    <w:tr2bl w:val="nil"/>
                  </w:tcBorders>
                  <w:vAlign w:val="center"/>
                </w:tcPr>
                <w:p>
                  <w:pPr>
                    <w:adjustRightInd w:val="0"/>
                    <w:snapToGrid w:val="0"/>
                    <w:spacing w:line="240" w:lineRule="auto"/>
                    <w:ind w:firstLine="0" w:firstLineChars="0"/>
                    <w:rPr>
                      <w:sz w:val="21"/>
                      <w:szCs w:val="21"/>
                    </w:rPr>
                  </w:pPr>
                  <w:r>
                    <w:rPr>
                      <w:sz w:val="21"/>
                      <w:szCs w:val="21"/>
                    </w:rPr>
                    <w:t>新建和改造的工业项目清洁生产水平不得低于国家清洁生产标准的国内先进水平。新建高耗能项目单位产品（产值）能耗要达到国际先进水平；</w:t>
                  </w:r>
                </w:p>
              </w:tc>
              <w:tc>
                <w:tcPr>
                  <w:tcW w:w="1249" w:type="pct"/>
                  <w:tcBorders>
                    <w:tl2br w:val="nil"/>
                    <w:tr2bl w:val="nil"/>
                  </w:tcBorders>
                  <w:vAlign w:val="center"/>
                </w:tcPr>
                <w:p>
                  <w:pPr>
                    <w:adjustRightInd w:val="0"/>
                    <w:snapToGrid w:val="0"/>
                    <w:spacing w:line="240" w:lineRule="auto"/>
                    <w:ind w:firstLine="0" w:firstLineChars="0"/>
                    <w:jc w:val="left"/>
                    <w:rPr>
                      <w:sz w:val="21"/>
                      <w:szCs w:val="21"/>
                    </w:rPr>
                  </w:pPr>
                  <w:r>
                    <w:rPr>
                      <w:sz w:val="21"/>
                      <w:szCs w:val="21"/>
                    </w:rPr>
                    <w:t>项目清洁生产水平不低于国家清洁生产标准的国内先进水平；项目不属于高耗能项目；</w:t>
                  </w:r>
                </w:p>
              </w:tc>
              <w:tc>
                <w:tcPr>
                  <w:tcW w:w="337" w:type="pc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gridSpan w:val="2"/>
                  <w:vMerge w:val="restar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禁止准入产业</w:t>
                  </w:r>
                </w:p>
              </w:tc>
              <w:tc>
                <w:tcPr>
                  <w:tcW w:w="2498" w:type="pct"/>
                  <w:tcBorders>
                    <w:tl2br w:val="nil"/>
                    <w:tr2bl w:val="nil"/>
                  </w:tcBorders>
                  <w:vAlign w:val="center"/>
                </w:tcPr>
                <w:p>
                  <w:pPr>
                    <w:adjustRightInd w:val="0"/>
                    <w:snapToGrid w:val="0"/>
                    <w:spacing w:line="240" w:lineRule="auto"/>
                    <w:ind w:firstLine="0" w:firstLineChars="0"/>
                    <w:rPr>
                      <w:sz w:val="21"/>
                      <w:szCs w:val="21"/>
                    </w:rPr>
                  </w:pPr>
                  <w:r>
                    <w:rPr>
                      <w:sz w:val="21"/>
                      <w:szCs w:val="21"/>
                    </w:rPr>
                    <w:t>禁止《市场准入负面清单》、《关于发布长江经济带发展负面清单（指南）的通知》、《重庆市长江经济带发展负面清单实施细则（试行）》、《重庆市产业投资准入工作手册》（渝发改投[2018]541号）、《重庆市关于严格工业布局和准入的通知》（渝发改投[2018]781号）中提出的负面清单以及不予准入类项目；禁止引入资源环境绩效水平超过《重庆市工业项目环境准入规定》限值以及不符合生态建设和环境保护规划区域布局规定的工业项目；</w:t>
                  </w:r>
                </w:p>
              </w:tc>
              <w:tc>
                <w:tcPr>
                  <w:tcW w:w="1249" w:type="pct"/>
                  <w:tcBorders>
                    <w:tl2br w:val="nil"/>
                    <w:tr2bl w:val="nil"/>
                  </w:tcBorders>
                  <w:vAlign w:val="center"/>
                </w:tcPr>
                <w:p>
                  <w:pPr>
                    <w:adjustRightInd w:val="0"/>
                    <w:snapToGrid w:val="0"/>
                    <w:spacing w:line="240" w:lineRule="auto"/>
                    <w:ind w:firstLine="0" w:firstLineChars="0"/>
                    <w:jc w:val="left"/>
                    <w:rPr>
                      <w:sz w:val="21"/>
                      <w:szCs w:val="21"/>
                    </w:rPr>
                  </w:pPr>
                  <w:r>
                    <w:rPr>
                      <w:sz w:val="21"/>
                      <w:szCs w:val="21"/>
                    </w:rPr>
                    <w:t>项目不属于负面清单及不予准入类项目；</w:t>
                  </w:r>
                </w:p>
              </w:tc>
              <w:tc>
                <w:tcPr>
                  <w:tcW w:w="337" w:type="pc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gridSpan w:val="2"/>
                  <w:vMerge w:val="continue"/>
                  <w:tcBorders>
                    <w:tl2br w:val="nil"/>
                    <w:tr2bl w:val="nil"/>
                  </w:tcBorders>
                  <w:vAlign w:val="center"/>
                </w:tcPr>
                <w:p>
                  <w:pPr>
                    <w:adjustRightInd w:val="0"/>
                    <w:snapToGrid w:val="0"/>
                    <w:spacing w:line="240" w:lineRule="auto"/>
                    <w:ind w:firstLine="0" w:firstLineChars="0"/>
                    <w:jc w:val="center"/>
                    <w:rPr>
                      <w:snapToGrid w:val="0"/>
                      <w:sz w:val="21"/>
                      <w:szCs w:val="21"/>
                    </w:rPr>
                  </w:pPr>
                </w:p>
              </w:tc>
              <w:tc>
                <w:tcPr>
                  <w:tcW w:w="2498" w:type="pct"/>
                  <w:tcBorders>
                    <w:tl2br w:val="nil"/>
                    <w:tr2bl w:val="nil"/>
                  </w:tcBorders>
                  <w:vAlign w:val="center"/>
                </w:tcPr>
                <w:p>
                  <w:pPr>
                    <w:adjustRightInd w:val="0"/>
                    <w:snapToGrid w:val="0"/>
                    <w:spacing w:line="240" w:lineRule="auto"/>
                    <w:ind w:firstLine="0" w:firstLineChars="0"/>
                    <w:rPr>
                      <w:sz w:val="21"/>
                      <w:szCs w:val="21"/>
                    </w:rPr>
                  </w:pPr>
                  <w:r>
                    <w:rPr>
                      <w:sz w:val="21"/>
                      <w:szCs w:val="21"/>
                    </w:rPr>
                    <w:t>禁止新建、扩建造纸、印染、化学原料药、电镀、铅酸电池、危险废物利用和处置、排放重金属以及存在严重环境安全风险的工业项目；</w:t>
                  </w:r>
                </w:p>
              </w:tc>
              <w:tc>
                <w:tcPr>
                  <w:tcW w:w="1249" w:type="pct"/>
                  <w:tcBorders>
                    <w:tl2br w:val="nil"/>
                    <w:tr2bl w:val="nil"/>
                  </w:tcBorders>
                  <w:vAlign w:val="center"/>
                </w:tcPr>
                <w:p>
                  <w:pPr>
                    <w:adjustRightInd w:val="0"/>
                    <w:snapToGrid w:val="0"/>
                    <w:spacing w:line="240" w:lineRule="auto"/>
                    <w:ind w:firstLine="0" w:firstLineChars="0"/>
                    <w:rPr>
                      <w:sz w:val="21"/>
                      <w:szCs w:val="21"/>
                    </w:rPr>
                  </w:pPr>
                  <w:r>
                    <w:rPr>
                      <w:sz w:val="21"/>
                      <w:szCs w:val="21"/>
                    </w:rPr>
                    <w:t>项目为</w:t>
                  </w:r>
                  <w:r>
                    <w:rPr>
                      <w:rFonts w:hint="eastAsia"/>
                      <w:sz w:val="21"/>
                      <w:szCs w:val="21"/>
                    </w:rPr>
                    <w:t>苕皮、</w:t>
                  </w:r>
                  <w:r>
                    <w:rPr>
                      <w:sz w:val="21"/>
                      <w:szCs w:val="21"/>
                    </w:rPr>
                    <w:t>豆干生产项目，无重金属排放，环境风险小；</w:t>
                  </w:r>
                </w:p>
              </w:tc>
              <w:tc>
                <w:tcPr>
                  <w:tcW w:w="337" w:type="pc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gridSpan w:val="2"/>
                  <w:vMerge w:val="continue"/>
                  <w:tcBorders>
                    <w:tl2br w:val="nil"/>
                    <w:tr2bl w:val="nil"/>
                  </w:tcBorders>
                  <w:vAlign w:val="center"/>
                </w:tcPr>
                <w:p>
                  <w:pPr>
                    <w:adjustRightInd w:val="0"/>
                    <w:snapToGrid w:val="0"/>
                    <w:spacing w:line="240" w:lineRule="auto"/>
                    <w:ind w:firstLine="0" w:firstLineChars="0"/>
                    <w:jc w:val="center"/>
                    <w:rPr>
                      <w:snapToGrid w:val="0"/>
                      <w:sz w:val="21"/>
                      <w:szCs w:val="21"/>
                    </w:rPr>
                  </w:pPr>
                </w:p>
              </w:tc>
              <w:tc>
                <w:tcPr>
                  <w:tcW w:w="2498" w:type="pct"/>
                  <w:tcBorders>
                    <w:tl2br w:val="nil"/>
                    <w:tr2bl w:val="nil"/>
                  </w:tcBorders>
                  <w:vAlign w:val="center"/>
                </w:tcPr>
                <w:p>
                  <w:pPr>
                    <w:adjustRightInd w:val="0"/>
                    <w:snapToGrid w:val="0"/>
                    <w:spacing w:line="240" w:lineRule="auto"/>
                    <w:ind w:firstLine="0" w:firstLineChars="0"/>
                    <w:rPr>
                      <w:sz w:val="21"/>
                      <w:szCs w:val="21"/>
                    </w:rPr>
                  </w:pPr>
                  <w:r>
                    <w:rPr>
                      <w:sz w:val="21"/>
                      <w:szCs w:val="21"/>
                    </w:rPr>
                    <w:t>长江及主要支流1km范围内新建重化工、纺织、造纸等存在污染风险的工业项目；</w:t>
                  </w:r>
                </w:p>
              </w:tc>
              <w:tc>
                <w:tcPr>
                  <w:tcW w:w="1249" w:type="pct"/>
                  <w:tcBorders>
                    <w:tl2br w:val="nil"/>
                    <w:tr2bl w:val="nil"/>
                  </w:tcBorders>
                  <w:vAlign w:val="center"/>
                </w:tcPr>
                <w:p>
                  <w:pPr>
                    <w:adjustRightInd w:val="0"/>
                    <w:snapToGrid w:val="0"/>
                    <w:spacing w:line="240" w:lineRule="auto"/>
                    <w:ind w:firstLine="0" w:firstLineChars="0"/>
                    <w:rPr>
                      <w:sz w:val="21"/>
                      <w:szCs w:val="21"/>
                    </w:rPr>
                  </w:pPr>
                  <w:r>
                    <w:rPr>
                      <w:sz w:val="21"/>
                      <w:szCs w:val="21"/>
                    </w:rPr>
                    <w:t>项目不在长江及主要支流1km范围内，且对水环境影响小；</w:t>
                  </w:r>
                </w:p>
              </w:tc>
              <w:tc>
                <w:tcPr>
                  <w:tcW w:w="337" w:type="pc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gridSpan w:val="2"/>
                  <w:vMerge w:val="continue"/>
                  <w:tcBorders>
                    <w:tl2br w:val="nil"/>
                    <w:tr2bl w:val="nil"/>
                  </w:tcBorders>
                  <w:vAlign w:val="center"/>
                </w:tcPr>
                <w:p>
                  <w:pPr>
                    <w:adjustRightInd w:val="0"/>
                    <w:snapToGrid w:val="0"/>
                    <w:spacing w:line="240" w:lineRule="auto"/>
                    <w:ind w:firstLine="0" w:firstLineChars="0"/>
                    <w:jc w:val="center"/>
                    <w:rPr>
                      <w:snapToGrid w:val="0"/>
                      <w:sz w:val="21"/>
                      <w:szCs w:val="21"/>
                    </w:rPr>
                  </w:pPr>
                </w:p>
              </w:tc>
              <w:tc>
                <w:tcPr>
                  <w:tcW w:w="2498" w:type="pct"/>
                  <w:tcBorders>
                    <w:tl2br w:val="nil"/>
                    <w:tr2bl w:val="nil"/>
                  </w:tcBorders>
                  <w:vAlign w:val="center"/>
                </w:tcPr>
                <w:p>
                  <w:pPr>
                    <w:adjustRightInd w:val="0"/>
                    <w:snapToGrid w:val="0"/>
                    <w:spacing w:line="240" w:lineRule="auto"/>
                    <w:ind w:firstLine="0" w:firstLineChars="0"/>
                    <w:rPr>
                      <w:sz w:val="21"/>
                      <w:szCs w:val="21"/>
                    </w:rPr>
                  </w:pPr>
                  <w:r>
                    <w:rPr>
                      <w:sz w:val="21"/>
                      <w:szCs w:val="21"/>
                    </w:rPr>
                    <w:t>在嘉陵江及其一级支流汇入口上游20公里、集中式饮用水水源取水口上游20公里范围内的沿岸地区（江河50年一遇洪水位向陆域一侧1公里范围内），禁止新建、扩建排放重金属（铬、镉、汞、砷、铅等五类重金属）、剧毒物质和持久性有机污染物的工业项目；</w:t>
                  </w:r>
                </w:p>
              </w:tc>
              <w:tc>
                <w:tcPr>
                  <w:tcW w:w="1249" w:type="pct"/>
                  <w:tcBorders>
                    <w:tl2br w:val="nil"/>
                    <w:tr2bl w:val="nil"/>
                  </w:tcBorders>
                  <w:vAlign w:val="center"/>
                </w:tcPr>
                <w:p>
                  <w:pPr>
                    <w:adjustRightInd w:val="0"/>
                    <w:snapToGrid w:val="0"/>
                    <w:spacing w:line="240" w:lineRule="auto"/>
                    <w:ind w:firstLine="0" w:firstLineChars="0"/>
                    <w:rPr>
                      <w:sz w:val="21"/>
                      <w:szCs w:val="21"/>
                    </w:rPr>
                  </w:pPr>
                  <w:r>
                    <w:rPr>
                      <w:sz w:val="21"/>
                      <w:szCs w:val="21"/>
                    </w:rPr>
                    <w:t>项目不排放重金属、剧毒物质和持久性有机污染物；</w:t>
                  </w:r>
                </w:p>
              </w:tc>
              <w:tc>
                <w:tcPr>
                  <w:tcW w:w="337" w:type="pc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gridSpan w:val="2"/>
                  <w:vMerge w:val="continue"/>
                  <w:tcBorders>
                    <w:tl2br w:val="nil"/>
                    <w:tr2bl w:val="nil"/>
                  </w:tcBorders>
                  <w:vAlign w:val="center"/>
                </w:tcPr>
                <w:p>
                  <w:pPr>
                    <w:adjustRightInd w:val="0"/>
                    <w:snapToGrid w:val="0"/>
                    <w:spacing w:line="240" w:lineRule="auto"/>
                    <w:ind w:firstLine="0" w:firstLineChars="0"/>
                    <w:jc w:val="center"/>
                    <w:rPr>
                      <w:snapToGrid w:val="0"/>
                      <w:sz w:val="21"/>
                      <w:szCs w:val="21"/>
                    </w:rPr>
                  </w:pPr>
                </w:p>
              </w:tc>
              <w:tc>
                <w:tcPr>
                  <w:tcW w:w="2498" w:type="pct"/>
                  <w:tcBorders>
                    <w:tl2br w:val="nil"/>
                    <w:tr2bl w:val="nil"/>
                  </w:tcBorders>
                  <w:vAlign w:val="center"/>
                </w:tcPr>
                <w:p>
                  <w:pPr>
                    <w:adjustRightInd w:val="0"/>
                    <w:snapToGrid w:val="0"/>
                    <w:spacing w:line="240" w:lineRule="auto"/>
                    <w:ind w:firstLine="0" w:firstLineChars="0"/>
                    <w:rPr>
                      <w:sz w:val="21"/>
                      <w:szCs w:val="21"/>
                    </w:rPr>
                  </w:pPr>
                  <w:r>
                    <w:rPr>
                      <w:sz w:val="21"/>
                      <w:szCs w:val="21"/>
                    </w:rPr>
                    <w:t>禁止新建、扩建化工项目（为园区主导产业配套必需的、对环境影响小、风险可控的化工项目除外）；</w:t>
                  </w:r>
                </w:p>
              </w:tc>
              <w:tc>
                <w:tcPr>
                  <w:tcW w:w="1249" w:type="pct"/>
                  <w:tcBorders>
                    <w:tl2br w:val="nil"/>
                    <w:tr2bl w:val="nil"/>
                  </w:tcBorders>
                  <w:vAlign w:val="center"/>
                </w:tcPr>
                <w:p>
                  <w:pPr>
                    <w:adjustRightInd w:val="0"/>
                    <w:snapToGrid w:val="0"/>
                    <w:spacing w:line="240" w:lineRule="auto"/>
                    <w:ind w:firstLine="0" w:firstLineChars="0"/>
                    <w:rPr>
                      <w:sz w:val="21"/>
                      <w:szCs w:val="21"/>
                    </w:rPr>
                  </w:pPr>
                  <w:r>
                    <w:rPr>
                      <w:sz w:val="21"/>
                      <w:szCs w:val="21"/>
                    </w:rPr>
                    <w:t>项目不属于化工项目，环境影响小，风险可控；</w:t>
                  </w:r>
                </w:p>
              </w:tc>
              <w:tc>
                <w:tcPr>
                  <w:tcW w:w="337" w:type="pc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vMerge w:val="restar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限制准入产业</w:t>
                  </w:r>
                </w:p>
              </w:tc>
              <w:tc>
                <w:tcPr>
                  <w:tcW w:w="560" w:type="pct"/>
                  <w:vMerge w:val="restar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总体</w:t>
                  </w:r>
                </w:p>
              </w:tc>
              <w:tc>
                <w:tcPr>
                  <w:tcW w:w="2498" w:type="pct"/>
                  <w:tcBorders>
                    <w:tl2br w:val="nil"/>
                    <w:tr2bl w:val="nil"/>
                  </w:tcBorders>
                  <w:vAlign w:val="center"/>
                </w:tcPr>
                <w:p>
                  <w:pPr>
                    <w:adjustRightInd w:val="0"/>
                    <w:snapToGrid w:val="0"/>
                    <w:spacing w:line="240" w:lineRule="auto"/>
                    <w:ind w:firstLine="0" w:firstLineChars="0"/>
                    <w:rPr>
                      <w:sz w:val="21"/>
                      <w:szCs w:val="21"/>
                    </w:rPr>
                  </w:pPr>
                  <w:r>
                    <w:rPr>
                      <w:sz w:val="21"/>
                      <w:szCs w:val="21"/>
                    </w:rPr>
                    <w:t>项目不属于“两高一资”，不涉及重金属及有毒有害和持久性有机污染物排放；</w:t>
                  </w:r>
                </w:p>
              </w:tc>
              <w:tc>
                <w:tcPr>
                  <w:tcW w:w="1249" w:type="pct"/>
                  <w:tcBorders>
                    <w:tl2br w:val="nil"/>
                    <w:tr2bl w:val="nil"/>
                  </w:tcBorders>
                  <w:vAlign w:val="center"/>
                </w:tcPr>
                <w:p>
                  <w:pPr>
                    <w:adjustRightInd w:val="0"/>
                    <w:snapToGrid w:val="0"/>
                    <w:spacing w:line="240" w:lineRule="auto"/>
                    <w:ind w:firstLine="0" w:firstLineChars="0"/>
                    <w:rPr>
                      <w:sz w:val="21"/>
                      <w:szCs w:val="21"/>
                    </w:rPr>
                  </w:pPr>
                  <w:r>
                    <w:rPr>
                      <w:sz w:val="21"/>
                      <w:szCs w:val="21"/>
                    </w:rPr>
                    <w:t>项目不属于“两高一资”，不涉及重金属及有毒有害和持久性有机污染物排放；</w:t>
                  </w:r>
                </w:p>
              </w:tc>
              <w:tc>
                <w:tcPr>
                  <w:tcW w:w="337" w:type="pc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vMerge w:val="continue"/>
                  <w:tcBorders>
                    <w:tl2br w:val="nil"/>
                    <w:tr2bl w:val="nil"/>
                  </w:tcBorders>
                  <w:vAlign w:val="center"/>
                </w:tcPr>
                <w:p>
                  <w:pPr>
                    <w:adjustRightInd w:val="0"/>
                    <w:snapToGrid w:val="0"/>
                    <w:spacing w:line="240" w:lineRule="auto"/>
                    <w:ind w:firstLine="0" w:firstLineChars="0"/>
                    <w:jc w:val="center"/>
                    <w:rPr>
                      <w:sz w:val="21"/>
                      <w:szCs w:val="21"/>
                    </w:rPr>
                  </w:pPr>
                </w:p>
              </w:tc>
              <w:tc>
                <w:tcPr>
                  <w:tcW w:w="560" w:type="pct"/>
                  <w:vMerge w:val="continue"/>
                  <w:tcBorders>
                    <w:tl2br w:val="nil"/>
                    <w:tr2bl w:val="nil"/>
                  </w:tcBorders>
                  <w:vAlign w:val="center"/>
                </w:tcPr>
                <w:p>
                  <w:pPr>
                    <w:adjustRightInd w:val="0"/>
                    <w:snapToGrid w:val="0"/>
                    <w:spacing w:line="240" w:lineRule="auto"/>
                    <w:ind w:firstLine="0" w:firstLineChars="0"/>
                    <w:jc w:val="center"/>
                    <w:rPr>
                      <w:sz w:val="21"/>
                      <w:szCs w:val="21"/>
                    </w:rPr>
                  </w:pPr>
                </w:p>
              </w:tc>
              <w:tc>
                <w:tcPr>
                  <w:tcW w:w="2498" w:type="pct"/>
                  <w:tcBorders>
                    <w:tl2br w:val="nil"/>
                    <w:tr2bl w:val="nil"/>
                  </w:tcBorders>
                  <w:vAlign w:val="center"/>
                </w:tcPr>
                <w:p>
                  <w:pPr>
                    <w:adjustRightInd w:val="0"/>
                    <w:snapToGrid w:val="0"/>
                    <w:spacing w:line="240" w:lineRule="auto"/>
                    <w:ind w:firstLine="0" w:firstLineChars="0"/>
                    <w:rPr>
                      <w:sz w:val="21"/>
                      <w:szCs w:val="21"/>
                    </w:rPr>
                  </w:pPr>
                  <w:r>
                    <w:rPr>
                      <w:sz w:val="21"/>
                      <w:szCs w:val="21"/>
                    </w:rPr>
                    <w:t>项目不属于燃煤、重油等高污染工业项目；</w:t>
                  </w:r>
                </w:p>
              </w:tc>
              <w:tc>
                <w:tcPr>
                  <w:tcW w:w="1249" w:type="pct"/>
                  <w:tcBorders>
                    <w:tl2br w:val="nil"/>
                    <w:tr2bl w:val="nil"/>
                  </w:tcBorders>
                  <w:vAlign w:val="center"/>
                </w:tcPr>
                <w:p>
                  <w:pPr>
                    <w:adjustRightInd w:val="0"/>
                    <w:snapToGrid w:val="0"/>
                    <w:spacing w:line="240" w:lineRule="auto"/>
                    <w:ind w:firstLine="0" w:firstLineChars="0"/>
                    <w:rPr>
                      <w:sz w:val="21"/>
                      <w:szCs w:val="21"/>
                    </w:rPr>
                  </w:pPr>
                  <w:r>
                    <w:rPr>
                      <w:sz w:val="21"/>
                      <w:szCs w:val="21"/>
                    </w:rPr>
                    <w:t>项目不属于燃煤、重油等高污染工业项目；</w:t>
                  </w:r>
                </w:p>
              </w:tc>
              <w:tc>
                <w:tcPr>
                  <w:tcW w:w="337" w:type="pc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vMerge w:val="continue"/>
                  <w:tcBorders>
                    <w:tl2br w:val="nil"/>
                    <w:tr2bl w:val="nil"/>
                  </w:tcBorders>
                  <w:vAlign w:val="center"/>
                </w:tcPr>
                <w:p>
                  <w:pPr>
                    <w:adjustRightInd w:val="0"/>
                    <w:snapToGrid w:val="0"/>
                    <w:spacing w:line="240" w:lineRule="auto"/>
                    <w:ind w:firstLine="0" w:firstLineChars="0"/>
                    <w:jc w:val="center"/>
                    <w:rPr>
                      <w:sz w:val="21"/>
                      <w:szCs w:val="21"/>
                    </w:rPr>
                  </w:pPr>
                </w:p>
              </w:tc>
              <w:tc>
                <w:tcPr>
                  <w:tcW w:w="560" w:type="pct"/>
                  <w:vMerge w:val="continue"/>
                  <w:tcBorders>
                    <w:tl2br w:val="nil"/>
                    <w:tr2bl w:val="nil"/>
                  </w:tcBorders>
                  <w:vAlign w:val="center"/>
                </w:tcPr>
                <w:p>
                  <w:pPr>
                    <w:adjustRightInd w:val="0"/>
                    <w:snapToGrid w:val="0"/>
                    <w:spacing w:line="240" w:lineRule="auto"/>
                    <w:ind w:firstLine="0" w:firstLineChars="0"/>
                    <w:jc w:val="center"/>
                    <w:rPr>
                      <w:sz w:val="21"/>
                      <w:szCs w:val="21"/>
                    </w:rPr>
                  </w:pPr>
                </w:p>
              </w:tc>
              <w:tc>
                <w:tcPr>
                  <w:tcW w:w="2498" w:type="pct"/>
                  <w:tcBorders>
                    <w:tl2br w:val="nil"/>
                    <w:tr2bl w:val="nil"/>
                  </w:tcBorders>
                  <w:vAlign w:val="center"/>
                </w:tcPr>
                <w:p>
                  <w:pPr>
                    <w:adjustRightInd w:val="0"/>
                    <w:snapToGrid w:val="0"/>
                    <w:spacing w:line="240" w:lineRule="auto"/>
                    <w:ind w:firstLine="0" w:firstLineChars="0"/>
                    <w:rPr>
                      <w:sz w:val="21"/>
                      <w:szCs w:val="21"/>
                    </w:rPr>
                  </w:pPr>
                  <w:r>
                    <w:rPr>
                      <w:sz w:val="21"/>
                      <w:szCs w:val="21"/>
                    </w:rPr>
                    <w:t>项目用水、排水量小，对饮用水源无安全隐患；</w:t>
                  </w:r>
                </w:p>
              </w:tc>
              <w:tc>
                <w:tcPr>
                  <w:tcW w:w="1249" w:type="pct"/>
                  <w:tcBorders>
                    <w:tl2br w:val="nil"/>
                    <w:tr2bl w:val="nil"/>
                  </w:tcBorders>
                  <w:vAlign w:val="center"/>
                </w:tcPr>
                <w:p>
                  <w:pPr>
                    <w:adjustRightInd w:val="0"/>
                    <w:snapToGrid w:val="0"/>
                    <w:spacing w:line="240" w:lineRule="auto"/>
                    <w:ind w:firstLine="0" w:firstLineChars="0"/>
                    <w:rPr>
                      <w:sz w:val="21"/>
                      <w:szCs w:val="21"/>
                    </w:rPr>
                  </w:pPr>
                  <w:r>
                    <w:rPr>
                      <w:sz w:val="21"/>
                      <w:szCs w:val="21"/>
                    </w:rPr>
                    <w:t>项目用水、排水量小，对饮用水源无安全隐患；</w:t>
                  </w:r>
                </w:p>
              </w:tc>
              <w:tc>
                <w:tcPr>
                  <w:tcW w:w="337" w:type="pc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vMerge w:val="continue"/>
                  <w:tcBorders>
                    <w:tl2br w:val="nil"/>
                    <w:tr2bl w:val="nil"/>
                  </w:tcBorders>
                  <w:vAlign w:val="center"/>
                </w:tcPr>
                <w:p>
                  <w:pPr>
                    <w:adjustRightInd w:val="0"/>
                    <w:snapToGrid w:val="0"/>
                    <w:spacing w:line="240" w:lineRule="auto"/>
                    <w:ind w:firstLine="0" w:firstLineChars="0"/>
                    <w:jc w:val="center"/>
                    <w:rPr>
                      <w:sz w:val="21"/>
                      <w:szCs w:val="21"/>
                    </w:rPr>
                  </w:pPr>
                </w:p>
              </w:tc>
              <w:tc>
                <w:tcPr>
                  <w:tcW w:w="560" w:type="pct"/>
                  <w:vMerge w:val="continue"/>
                  <w:tcBorders>
                    <w:tl2br w:val="nil"/>
                    <w:tr2bl w:val="nil"/>
                  </w:tcBorders>
                  <w:vAlign w:val="center"/>
                </w:tcPr>
                <w:p>
                  <w:pPr>
                    <w:adjustRightInd w:val="0"/>
                    <w:snapToGrid w:val="0"/>
                    <w:spacing w:line="240" w:lineRule="auto"/>
                    <w:ind w:firstLine="0" w:firstLineChars="0"/>
                    <w:jc w:val="center"/>
                    <w:rPr>
                      <w:sz w:val="21"/>
                      <w:szCs w:val="21"/>
                    </w:rPr>
                  </w:pPr>
                </w:p>
              </w:tc>
              <w:tc>
                <w:tcPr>
                  <w:tcW w:w="2498" w:type="pct"/>
                  <w:tcBorders>
                    <w:tl2br w:val="nil"/>
                    <w:tr2bl w:val="nil"/>
                  </w:tcBorders>
                  <w:vAlign w:val="center"/>
                </w:tcPr>
                <w:p>
                  <w:pPr>
                    <w:adjustRightInd w:val="0"/>
                    <w:snapToGrid w:val="0"/>
                    <w:spacing w:line="240" w:lineRule="auto"/>
                    <w:ind w:firstLine="0" w:firstLineChars="0"/>
                    <w:rPr>
                      <w:sz w:val="21"/>
                      <w:szCs w:val="21"/>
                    </w:rPr>
                  </w:pPr>
                  <w:r>
                    <w:rPr>
                      <w:sz w:val="21"/>
                      <w:szCs w:val="21"/>
                    </w:rPr>
                    <w:t xml:space="preserve">项目所在区属于声环境3类区且不属于噪声污染的工业项目； </w:t>
                  </w:r>
                </w:p>
              </w:tc>
              <w:tc>
                <w:tcPr>
                  <w:tcW w:w="1249" w:type="pct"/>
                  <w:tcBorders>
                    <w:tl2br w:val="nil"/>
                    <w:tr2bl w:val="nil"/>
                  </w:tcBorders>
                  <w:vAlign w:val="center"/>
                </w:tcPr>
                <w:p>
                  <w:pPr>
                    <w:adjustRightInd w:val="0"/>
                    <w:snapToGrid w:val="0"/>
                    <w:spacing w:line="240" w:lineRule="auto"/>
                    <w:ind w:firstLine="0" w:firstLineChars="0"/>
                    <w:rPr>
                      <w:sz w:val="21"/>
                      <w:szCs w:val="21"/>
                    </w:rPr>
                  </w:pPr>
                  <w:r>
                    <w:rPr>
                      <w:sz w:val="21"/>
                      <w:szCs w:val="21"/>
                    </w:rPr>
                    <w:t>项目所在区属于声环境3类区且不属于噪声污染的工业项目</w:t>
                  </w:r>
                  <w:r>
                    <w:rPr>
                      <w:rFonts w:hint="eastAsia"/>
                      <w:sz w:val="21"/>
                      <w:szCs w:val="21"/>
                    </w:rPr>
                    <w:t>。</w:t>
                  </w:r>
                </w:p>
              </w:tc>
              <w:tc>
                <w:tcPr>
                  <w:tcW w:w="337" w:type="pct"/>
                  <w:tcBorders>
                    <w:tl2br w:val="nil"/>
                    <w:tr2bl w:val="nil"/>
                  </w:tcBorders>
                  <w:vAlign w:val="center"/>
                </w:tcPr>
                <w:p>
                  <w:pPr>
                    <w:adjustRightInd w:val="0"/>
                    <w:snapToGrid w:val="0"/>
                    <w:spacing w:line="240" w:lineRule="auto"/>
                    <w:ind w:firstLine="0" w:firstLineChars="0"/>
                    <w:jc w:val="center"/>
                    <w:rPr>
                      <w:sz w:val="21"/>
                      <w:szCs w:val="21"/>
                    </w:rPr>
                  </w:pPr>
                  <w:r>
                    <w:rPr>
                      <w:sz w:val="21"/>
                      <w:szCs w:val="21"/>
                    </w:rPr>
                    <w:t>符合</w:t>
                  </w:r>
                </w:p>
              </w:tc>
            </w:tr>
          </w:tbl>
          <w:p>
            <w:pPr>
              <w:spacing w:before="120" w:beforeLines="50"/>
              <w:ind w:firstLine="0" w:firstLineChars="0"/>
              <w:jc w:val="center"/>
              <w:rPr>
                <w:b/>
                <w:kern w:val="0"/>
                <w:szCs w:val="21"/>
              </w:rPr>
            </w:pPr>
            <w:r>
              <w:rPr>
                <w:b/>
                <w:kern w:val="0"/>
                <w:szCs w:val="21"/>
              </w:rPr>
              <w:t>表1-3与《关于重庆市合川工业园区</w:t>
            </w:r>
            <w:r>
              <w:rPr>
                <w:rFonts w:hint="eastAsia"/>
                <w:b/>
                <w:kern w:val="0"/>
                <w:szCs w:val="21"/>
              </w:rPr>
              <w:t>南溪组团</w:t>
            </w:r>
            <w:r>
              <w:rPr>
                <w:b/>
                <w:kern w:val="0"/>
                <w:szCs w:val="21"/>
              </w:rPr>
              <w:t>、渭沱组团B</w:t>
            </w:r>
            <w:r>
              <w:rPr>
                <w:rFonts w:hint="eastAsia"/>
                <w:b/>
                <w:kern w:val="0"/>
                <w:szCs w:val="21"/>
              </w:rPr>
              <w:t>区</w:t>
            </w:r>
            <w:r>
              <w:rPr>
                <w:b/>
                <w:kern w:val="0"/>
                <w:szCs w:val="21"/>
              </w:rPr>
              <w:t>规划环境影响报告书审查意见的函》（渝环函〔2019〕1169号）的符合性分析表</w:t>
            </w:r>
          </w:p>
          <w:tbl>
            <w:tblPr>
              <w:tblStyle w:val="18"/>
              <w:tblW w:w="493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53"/>
              <w:gridCol w:w="4907"/>
              <w:gridCol w:w="2004"/>
              <w:gridCol w:w="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3" w:type="pct"/>
                  <w:vAlign w:val="center"/>
                </w:tcPr>
                <w:p>
                  <w:pPr>
                    <w:spacing w:line="240" w:lineRule="auto"/>
                    <w:ind w:firstLine="0" w:firstLineChars="0"/>
                    <w:jc w:val="center"/>
                    <w:rPr>
                      <w:bCs/>
                      <w:sz w:val="21"/>
                      <w:szCs w:val="21"/>
                    </w:rPr>
                  </w:pPr>
                  <w:r>
                    <w:rPr>
                      <w:bCs/>
                      <w:sz w:val="21"/>
                      <w:szCs w:val="21"/>
                    </w:rPr>
                    <w:t>序号</w:t>
                  </w:r>
                </w:p>
              </w:tc>
              <w:tc>
                <w:tcPr>
                  <w:tcW w:w="2951" w:type="pct"/>
                  <w:vAlign w:val="center"/>
                </w:tcPr>
                <w:p>
                  <w:pPr>
                    <w:autoSpaceDE w:val="0"/>
                    <w:autoSpaceDN w:val="0"/>
                    <w:spacing w:line="240" w:lineRule="auto"/>
                    <w:ind w:firstLine="0" w:firstLineChars="0"/>
                    <w:jc w:val="center"/>
                    <w:rPr>
                      <w:kern w:val="0"/>
                      <w:sz w:val="21"/>
                      <w:szCs w:val="21"/>
                    </w:rPr>
                  </w:pPr>
                  <w:r>
                    <w:rPr>
                      <w:kern w:val="0"/>
                      <w:sz w:val="21"/>
                      <w:szCs w:val="21"/>
                    </w:rPr>
                    <w:t>渝环函〔2019〕1169号</w:t>
                  </w:r>
                </w:p>
              </w:tc>
              <w:tc>
                <w:tcPr>
                  <w:tcW w:w="1205" w:type="pct"/>
                  <w:vAlign w:val="center"/>
                </w:tcPr>
                <w:p>
                  <w:pPr>
                    <w:spacing w:line="240" w:lineRule="auto"/>
                    <w:ind w:firstLine="0" w:firstLineChars="0"/>
                    <w:jc w:val="center"/>
                    <w:rPr>
                      <w:bCs/>
                      <w:sz w:val="21"/>
                      <w:szCs w:val="21"/>
                    </w:rPr>
                  </w:pPr>
                  <w:r>
                    <w:rPr>
                      <w:rFonts w:hint="eastAsia"/>
                      <w:bCs/>
                      <w:sz w:val="21"/>
                      <w:szCs w:val="21"/>
                    </w:rPr>
                    <w:t>项目</w:t>
                  </w:r>
                  <w:r>
                    <w:rPr>
                      <w:bCs/>
                      <w:sz w:val="21"/>
                      <w:szCs w:val="21"/>
                    </w:rPr>
                    <w:t>情况</w:t>
                  </w:r>
                </w:p>
              </w:tc>
              <w:tc>
                <w:tcPr>
                  <w:tcW w:w="511" w:type="pct"/>
                  <w:vAlign w:val="center"/>
                </w:tcPr>
                <w:p>
                  <w:pPr>
                    <w:spacing w:line="240" w:lineRule="auto"/>
                    <w:ind w:firstLine="0" w:firstLineChars="0"/>
                    <w:jc w:val="center"/>
                    <w:rPr>
                      <w:bCs/>
                      <w:sz w:val="21"/>
                      <w:szCs w:val="21"/>
                    </w:rPr>
                  </w:pPr>
                  <w:r>
                    <w:rPr>
                      <w:bCs/>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4"/>
                  <w:vAlign w:val="center"/>
                </w:tcPr>
                <w:p>
                  <w:pPr>
                    <w:spacing w:line="240" w:lineRule="auto"/>
                    <w:ind w:firstLine="0" w:firstLineChars="0"/>
                    <w:jc w:val="center"/>
                    <w:rPr>
                      <w:bCs/>
                      <w:sz w:val="21"/>
                      <w:szCs w:val="21"/>
                    </w:rPr>
                  </w:pPr>
                  <w:r>
                    <w:rPr>
                      <w:bCs/>
                      <w:sz w:val="21"/>
                      <w:szCs w:val="21"/>
                    </w:rPr>
                    <w:t>（一）加强空间管制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3" w:type="pct"/>
                  <w:vAlign w:val="center"/>
                </w:tcPr>
                <w:p>
                  <w:pPr>
                    <w:spacing w:line="240" w:lineRule="auto"/>
                    <w:ind w:firstLine="0" w:firstLineChars="0"/>
                    <w:jc w:val="center"/>
                    <w:rPr>
                      <w:bCs/>
                      <w:sz w:val="21"/>
                      <w:szCs w:val="21"/>
                    </w:rPr>
                  </w:pPr>
                  <w:r>
                    <w:rPr>
                      <w:rFonts w:hint="eastAsia"/>
                      <w:bCs/>
                      <w:sz w:val="21"/>
                      <w:szCs w:val="21"/>
                    </w:rPr>
                    <w:t>1</w:t>
                  </w:r>
                </w:p>
              </w:tc>
              <w:tc>
                <w:tcPr>
                  <w:tcW w:w="2951" w:type="pct"/>
                  <w:vAlign w:val="center"/>
                </w:tcPr>
                <w:p>
                  <w:pPr>
                    <w:autoSpaceDE w:val="0"/>
                    <w:autoSpaceDN w:val="0"/>
                    <w:spacing w:line="240" w:lineRule="auto"/>
                    <w:ind w:firstLine="0" w:firstLineChars="0"/>
                    <w:jc w:val="left"/>
                    <w:rPr>
                      <w:kern w:val="0"/>
                      <w:sz w:val="21"/>
                      <w:szCs w:val="21"/>
                    </w:rPr>
                  </w:pPr>
                  <w:r>
                    <w:rPr>
                      <w:kern w:val="0"/>
                      <w:sz w:val="21"/>
                      <w:szCs w:val="21"/>
                    </w:rPr>
                    <w:t>规划区后续开发建设时应在嘉陵江沿岸布置不少于50m的绿化缓冲带。嘉陵江及其一级支流汇入口上游20公里、集中式饮用水水源取水口上游2公里范围内的沿岸地区（江河50年一遇洪水位向陆域一侧1公里范围内），禁止新建、扩建排放重金属（铬、镉、汞、砷、铅）、剧毒物质和持久性有机污染物的工业项目。南溪组团A区、C区环境空气质量一类区（缙云山风景名胜区、九峰山市级森林公园）300米缓冲带内现有企业大气污染物排放量不得增加，规划未实施的地块不得引进有工艺废气排放的企业。规划区内企业环境防护距离应优化控制在规划区边界或用地红线以内。南溪组团A区、C区超出城市总体规划建设用地范围的地块暂不开发，未来按照国土空间规划的建设用地范围进行开发管理。</w:t>
                  </w:r>
                </w:p>
              </w:tc>
              <w:tc>
                <w:tcPr>
                  <w:tcW w:w="1205" w:type="pct"/>
                  <w:vAlign w:val="center"/>
                </w:tcPr>
                <w:p>
                  <w:pPr>
                    <w:spacing w:line="240" w:lineRule="auto"/>
                    <w:ind w:firstLine="0" w:firstLineChars="0"/>
                    <w:jc w:val="left"/>
                    <w:rPr>
                      <w:bCs/>
                      <w:sz w:val="21"/>
                      <w:szCs w:val="21"/>
                    </w:rPr>
                  </w:pPr>
                  <w:r>
                    <w:rPr>
                      <w:bCs/>
                      <w:sz w:val="21"/>
                      <w:szCs w:val="21"/>
                    </w:rPr>
                    <w:t>项目位于南溪组团A区，项目不属于嘉陵江50m范围内的绿化缓冲带；项目建成后不排放重金属（铬、镉、汞、砷、铅）、剧毒物质和持久性有机污染物；项目不在九峰山市级森林公园300m缓冲带范围之内，位于规划的工业园区内。</w:t>
                  </w:r>
                </w:p>
              </w:tc>
              <w:tc>
                <w:tcPr>
                  <w:tcW w:w="511" w:type="pct"/>
                  <w:vAlign w:val="center"/>
                </w:tcPr>
                <w:p>
                  <w:pPr>
                    <w:spacing w:line="240" w:lineRule="auto"/>
                    <w:ind w:firstLine="0" w:firstLineChars="0"/>
                    <w:jc w:val="center"/>
                    <w:rPr>
                      <w:bCs/>
                      <w:sz w:val="21"/>
                      <w:szCs w:val="21"/>
                    </w:rPr>
                  </w:pPr>
                  <w:r>
                    <w:rPr>
                      <w:rFonts w:hint="eastAsia"/>
                      <w:bCs/>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5000" w:type="pct"/>
                  <w:gridSpan w:val="4"/>
                  <w:vAlign w:val="center"/>
                </w:tcPr>
                <w:p>
                  <w:pPr>
                    <w:spacing w:line="240" w:lineRule="auto"/>
                    <w:ind w:firstLine="0" w:firstLineChars="0"/>
                    <w:jc w:val="center"/>
                    <w:rPr>
                      <w:bCs/>
                      <w:sz w:val="21"/>
                      <w:szCs w:val="21"/>
                    </w:rPr>
                  </w:pPr>
                  <w:r>
                    <w:rPr>
                      <w:sz w:val="21"/>
                      <w:szCs w:val="21"/>
                    </w:rPr>
                    <w:t>（</w:t>
                  </w:r>
                  <w:r>
                    <w:rPr>
                      <w:rFonts w:hint="eastAsia"/>
                      <w:sz w:val="21"/>
                      <w:szCs w:val="21"/>
                    </w:rPr>
                    <w:t>二</w:t>
                  </w:r>
                  <w:r>
                    <w:rPr>
                      <w:sz w:val="21"/>
                      <w:szCs w:val="21"/>
                    </w:rPr>
                    <w:t>）严格环境准入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3" w:type="pct"/>
                  <w:vAlign w:val="center"/>
                </w:tcPr>
                <w:p>
                  <w:pPr>
                    <w:spacing w:line="240" w:lineRule="auto"/>
                    <w:ind w:firstLine="0" w:firstLineChars="0"/>
                    <w:jc w:val="center"/>
                    <w:rPr>
                      <w:bCs/>
                      <w:sz w:val="21"/>
                      <w:szCs w:val="21"/>
                    </w:rPr>
                  </w:pPr>
                  <w:r>
                    <w:rPr>
                      <w:bCs/>
                      <w:sz w:val="21"/>
                      <w:szCs w:val="21"/>
                    </w:rPr>
                    <w:t>2</w:t>
                  </w:r>
                </w:p>
              </w:tc>
              <w:tc>
                <w:tcPr>
                  <w:tcW w:w="2951" w:type="pct"/>
                  <w:vAlign w:val="center"/>
                </w:tcPr>
                <w:p>
                  <w:pPr>
                    <w:spacing w:line="240" w:lineRule="auto"/>
                    <w:ind w:firstLine="0" w:firstLineChars="0"/>
                    <w:jc w:val="left"/>
                    <w:rPr>
                      <w:bCs/>
                      <w:sz w:val="21"/>
                      <w:szCs w:val="21"/>
                    </w:rPr>
                  </w:pPr>
                  <w:r>
                    <w:rPr>
                      <w:rFonts w:hint="eastAsia"/>
                      <w:bCs/>
                      <w:sz w:val="21"/>
                      <w:szCs w:val="21"/>
                    </w:rPr>
                    <w:t>强化规划环评与合川区“三线一单”(生态保护红线、环境质量底线、资源利用上线，生态环境准入清单）的联动，主要管控措施应符合合川区“三线一单”要求。规划区应优化产业发展方向，落实生态环境准入清单，严格建设项目环境准入。坚持源头防控，倡导循环经济，提高清洁生产水平，从源头控制和减少污染物的产排量，按照清洁生产的要求，不断提升现有工业企业清洁生产水平，新建、改扩建项目清洁生产</w:t>
                  </w:r>
                  <w:r>
                    <w:rPr>
                      <w:bCs/>
                      <w:sz w:val="21"/>
                      <w:szCs w:val="21"/>
                    </w:rPr>
                    <w:t>水平不得低于国内先进水平</w:t>
                  </w:r>
                  <w:r>
                    <w:rPr>
                      <w:rFonts w:hint="eastAsia"/>
                      <w:bCs/>
                      <w:sz w:val="21"/>
                      <w:szCs w:val="21"/>
                    </w:rPr>
                    <w:t>。</w:t>
                  </w:r>
                </w:p>
              </w:tc>
              <w:tc>
                <w:tcPr>
                  <w:tcW w:w="1205" w:type="pct"/>
                  <w:vAlign w:val="center"/>
                </w:tcPr>
                <w:p>
                  <w:pPr>
                    <w:spacing w:line="240" w:lineRule="auto"/>
                    <w:ind w:firstLine="0" w:firstLineChars="0"/>
                    <w:jc w:val="left"/>
                    <w:rPr>
                      <w:bCs/>
                      <w:sz w:val="21"/>
                      <w:szCs w:val="21"/>
                    </w:rPr>
                  </w:pPr>
                  <w:r>
                    <w:rPr>
                      <w:rFonts w:hint="eastAsia"/>
                      <w:bCs/>
                      <w:sz w:val="21"/>
                      <w:szCs w:val="21"/>
                    </w:rPr>
                    <w:t>本</w:t>
                  </w:r>
                  <w:r>
                    <w:rPr>
                      <w:bCs/>
                      <w:sz w:val="21"/>
                      <w:szCs w:val="21"/>
                    </w:rPr>
                    <w:t>项目符合合川区“三线一单”要求，主要能源为清洁能源电</w:t>
                  </w:r>
                  <w:r>
                    <w:rPr>
                      <w:rFonts w:hint="eastAsia"/>
                      <w:bCs/>
                      <w:sz w:val="21"/>
                      <w:szCs w:val="21"/>
                    </w:rPr>
                    <w:t>和</w:t>
                  </w:r>
                  <w:r>
                    <w:rPr>
                      <w:bCs/>
                      <w:sz w:val="21"/>
                      <w:szCs w:val="21"/>
                    </w:rPr>
                    <w:t>蒸汽</w:t>
                  </w:r>
                  <w:r>
                    <w:rPr>
                      <w:rFonts w:hint="eastAsia"/>
                      <w:bCs/>
                      <w:sz w:val="21"/>
                      <w:szCs w:val="21"/>
                    </w:rPr>
                    <w:t>，</w:t>
                  </w:r>
                  <w:r>
                    <w:rPr>
                      <w:bCs/>
                      <w:sz w:val="21"/>
                      <w:szCs w:val="21"/>
                    </w:rPr>
                    <w:t>项目</w:t>
                  </w:r>
                  <w:r>
                    <w:rPr>
                      <w:rFonts w:hint="eastAsia"/>
                      <w:bCs/>
                      <w:sz w:val="21"/>
                      <w:szCs w:val="21"/>
                    </w:rPr>
                    <w:t>清洁</w:t>
                  </w:r>
                  <w:r>
                    <w:rPr>
                      <w:bCs/>
                      <w:sz w:val="21"/>
                      <w:szCs w:val="21"/>
                    </w:rPr>
                    <w:t>生产水平能达到国内先进水平。</w:t>
                  </w:r>
                </w:p>
              </w:tc>
              <w:tc>
                <w:tcPr>
                  <w:tcW w:w="511" w:type="pct"/>
                  <w:vAlign w:val="center"/>
                </w:tcPr>
                <w:p>
                  <w:pPr>
                    <w:spacing w:line="240" w:lineRule="auto"/>
                    <w:ind w:firstLine="0" w:firstLineChars="0"/>
                    <w:jc w:val="center"/>
                    <w:rPr>
                      <w:bCs/>
                      <w:sz w:val="21"/>
                      <w:szCs w:val="21"/>
                    </w:rPr>
                  </w:pPr>
                  <w:r>
                    <w:rPr>
                      <w:rFonts w:hint="eastAsia"/>
                      <w:bCs/>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4"/>
                  <w:vAlign w:val="center"/>
                </w:tcPr>
                <w:p>
                  <w:pPr>
                    <w:spacing w:line="240" w:lineRule="auto"/>
                    <w:ind w:firstLine="0" w:firstLineChars="0"/>
                    <w:jc w:val="center"/>
                    <w:rPr>
                      <w:bCs/>
                      <w:sz w:val="21"/>
                      <w:szCs w:val="21"/>
                    </w:rPr>
                  </w:pPr>
                  <w:r>
                    <w:rPr>
                      <w:bCs/>
                      <w:sz w:val="21"/>
                      <w:szCs w:val="21"/>
                    </w:rPr>
                    <w:t>（</w:t>
                  </w:r>
                  <w:r>
                    <w:rPr>
                      <w:rFonts w:hint="eastAsia"/>
                      <w:bCs/>
                      <w:sz w:val="21"/>
                      <w:szCs w:val="21"/>
                    </w:rPr>
                    <w:t>三</w:t>
                  </w:r>
                  <w:r>
                    <w:rPr>
                      <w:bCs/>
                      <w:sz w:val="21"/>
                      <w:szCs w:val="21"/>
                    </w:rPr>
                    <w:t>）</w:t>
                  </w:r>
                  <w:r>
                    <w:rPr>
                      <w:rFonts w:hint="eastAsia"/>
                      <w:bCs/>
                      <w:sz w:val="21"/>
                      <w:szCs w:val="21"/>
                    </w:rPr>
                    <w:t>加强</w:t>
                  </w:r>
                  <w:r>
                    <w:rPr>
                      <w:bCs/>
                      <w:sz w:val="21"/>
                      <w:szCs w:val="21"/>
                    </w:rPr>
                    <w:t>大气污染防治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3" w:type="pct"/>
                  <w:vAlign w:val="center"/>
                </w:tcPr>
                <w:p>
                  <w:pPr>
                    <w:spacing w:line="240" w:lineRule="auto"/>
                    <w:ind w:firstLine="0" w:firstLineChars="0"/>
                    <w:jc w:val="center"/>
                    <w:rPr>
                      <w:bCs/>
                      <w:sz w:val="21"/>
                      <w:szCs w:val="21"/>
                    </w:rPr>
                  </w:pPr>
                  <w:r>
                    <w:rPr>
                      <w:bCs/>
                      <w:sz w:val="21"/>
                      <w:szCs w:val="21"/>
                    </w:rPr>
                    <w:t>3</w:t>
                  </w:r>
                </w:p>
              </w:tc>
              <w:tc>
                <w:tcPr>
                  <w:tcW w:w="2951" w:type="pct"/>
                </w:tcPr>
                <w:p>
                  <w:pPr>
                    <w:spacing w:line="240" w:lineRule="auto"/>
                    <w:ind w:firstLine="0" w:firstLineChars="0"/>
                    <w:rPr>
                      <w:bCs/>
                      <w:sz w:val="21"/>
                      <w:szCs w:val="21"/>
                    </w:rPr>
                  </w:pPr>
                  <w:r>
                    <w:rPr>
                      <w:rFonts w:hint="eastAsia"/>
                      <w:bCs/>
                      <w:sz w:val="21"/>
                      <w:szCs w:val="21"/>
                    </w:rPr>
                    <w:t>加强现有企业大气污染治理和监管，确保各类大气污染物持续稳定达标排放。通过工艺改进、清洁生产、完善措施等手段减少废气无组织排放。鼓励规划区内企业以天然气、电等为能源，除现有的水泥厂、合川盐化外禁止燃煤；规划区内水泥生产等企业应当按照市政府及有关部门关于错峰生产的调度要求，限产停产；排放挥发性有机物的企业其废气收集和处理必须满足国家及重庆市“十三五”挥发性有机物污染防治工作方案的相关要求。南溪组团B区应控制砷化镓芯片外延工序生产规模，采取严格的废气收集及处理措施，最大程度减少重金属废气排放对周边环境的影响。</w:t>
                  </w:r>
                </w:p>
              </w:tc>
              <w:tc>
                <w:tcPr>
                  <w:tcW w:w="1205" w:type="pct"/>
                  <w:vAlign w:val="center"/>
                </w:tcPr>
                <w:p>
                  <w:pPr>
                    <w:spacing w:line="240" w:lineRule="auto"/>
                    <w:ind w:firstLine="0" w:firstLineChars="0"/>
                    <w:jc w:val="left"/>
                    <w:rPr>
                      <w:bCs/>
                      <w:sz w:val="21"/>
                      <w:szCs w:val="21"/>
                    </w:rPr>
                  </w:pPr>
                  <w:r>
                    <w:rPr>
                      <w:bCs/>
                      <w:sz w:val="21"/>
                      <w:szCs w:val="21"/>
                    </w:rPr>
                    <w:t>本项目</w:t>
                  </w:r>
                  <w:r>
                    <w:rPr>
                      <w:rFonts w:hint="eastAsia"/>
                      <w:bCs/>
                      <w:sz w:val="21"/>
                      <w:szCs w:val="21"/>
                    </w:rPr>
                    <w:t>不涉及</w:t>
                  </w:r>
                  <w:r>
                    <w:rPr>
                      <w:bCs/>
                      <w:sz w:val="21"/>
                      <w:szCs w:val="21"/>
                    </w:rPr>
                    <w:t>生产废气的排放</w:t>
                  </w:r>
                  <w:r>
                    <w:rPr>
                      <w:rFonts w:hint="eastAsia"/>
                      <w:bCs/>
                      <w:sz w:val="21"/>
                      <w:szCs w:val="21"/>
                    </w:rPr>
                    <w:t>；项目</w:t>
                  </w:r>
                  <w:r>
                    <w:rPr>
                      <w:bCs/>
                      <w:sz w:val="21"/>
                      <w:szCs w:val="21"/>
                    </w:rPr>
                    <w:t>使用的主要能源</w:t>
                  </w:r>
                  <w:r>
                    <w:rPr>
                      <w:rFonts w:hint="eastAsia"/>
                      <w:bCs/>
                      <w:sz w:val="21"/>
                      <w:szCs w:val="21"/>
                    </w:rPr>
                    <w:t>为</w:t>
                  </w:r>
                  <w:r>
                    <w:rPr>
                      <w:bCs/>
                      <w:sz w:val="21"/>
                      <w:szCs w:val="21"/>
                    </w:rPr>
                    <w:t>电和蒸汽</w:t>
                  </w:r>
                  <w:r>
                    <w:rPr>
                      <w:rFonts w:hint="eastAsia"/>
                      <w:bCs/>
                      <w:sz w:val="21"/>
                      <w:szCs w:val="21"/>
                    </w:rPr>
                    <w:t>。</w:t>
                  </w:r>
                </w:p>
              </w:tc>
              <w:tc>
                <w:tcPr>
                  <w:tcW w:w="511" w:type="pct"/>
                  <w:vAlign w:val="center"/>
                </w:tcPr>
                <w:p>
                  <w:pPr>
                    <w:spacing w:line="240" w:lineRule="auto"/>
                    <w:ind w:firstLine="0" w:firstLineChars="0"/>
                    <w:jc w:val="center"/>
                    <w:rPr>
                      <w:bCs/>
                      <w:sz w:val="21"/>
                      <w:szCs w:val="21"/>
                    </w:rPr>
                  </w:pPr>
                  <w:r>
                    <w:rPr>
                      <w:rFonts w:hint="eastAsia"/>
                      <w:bCs/>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5000" w:type="pct"/>
                  <w:gridSpan w:val="4"/>
                  <w:vAlign w:val="center"/>
                </w:tcPr>
                <w:p>
                  <w:pPr>
                    <w:spacing w:line="240" w:lineRule="auto"/>
                    <w:ind w:firstLine="0" w:firstLineChars="0"/>
                    <w:jc w:val="center"/>
                    <w:rPr>
                      <w:bCs/>
                      <w:sz w:val="21"/>
                      <w:szCs w:val="21"/>
                    </w:rPr>
                  </w:pPr>
                  <w:r>
                    <w:rPr>
                      <w:bCs/>
                      <w:sz w:val="21"/>
                      <w:szCs w:val="21"/>
                    </w:rPr>
                    <w:t>（四）加强水环境保护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3" w:type="pct"/>
                  <w:vAlign w:val="center"/>
                </w:tcPr>
                <w:p>
                  <w:pPr>
                    <w:spacing w:line="240" w:lineRule="auto"/>
                    <w:ind w:firstLine="0" w:firstLineChars="0"/>
                    <w:jc w:val="center"/>
                    <w:rPr>
                      <w:bCs/>
                      <w:sz w:val="21"/>
                      <w:szCs w:val="21"/>
                    </w:rPr>
                  </w:pPr>
                  <w:r>
                    <w:rPr>
                      <w:bCs/>
                      <w:sz w:val="21"/>
                      <w:szCs w:val="21"/>
                    </w:rPr>
                    <w:t>4</w:t>
                  </w:r>
                </w:p>
              </w:tc>
              <w:tc>
                <w:tcPr>
                  <w:tcW w:w="2951" w:type="pct"/>
                  <w:vAlign w:val="center"/>
                </w:tcPr>
                <w:p>
                  <w:pPr>
                    <w:spacing w:line="240" w:lineRule="auto"/>
                    <w:ind w:firstLine="0" w:firstLineChars="0"/>
                    <w:rPr>
                      <w:bCs/>
                      <w:sz w:val="21"/>
                      <w:szCs w:val="21"/>
                    </w:rPr>
                  </w:pPr>
                  <w:r>
                    <w:rPr>
                      <w:rFonts w:hint="eastAsia"/>
                      <w:bCs/>
                      <w:sz w:val="21"/>
                      <w:szCs w:val="21"/>
                    </w:rPr>
                    <w:t>提高废水回用率，减少废水污染物排放。加强现有企业废水排放监管，确保规划区废水经污水处理厂处理达标后排放。规划区禁止含重金属(汞、铬、镉、铅、砷)废水排放。南溪组团B区污水处理厂应尽快进行提标改造，增设电子工业特征水污染物处理工艺。渭沱组团污水处理厂加快建设进度，确保渭沱组团B区生产废水、生活污水能进入污水处理厂集中处理达标后外排。</w:t>
                  </w:r>
                </w:p>
              </w:tc>
              <w:tc>
                <w:tcPr>
                  <w:tcW w:w="1205" w:type="pct"/>
                  <w:vAlign w:val="center"/>
                </w:tcPr>
                <w:p>
                  <w:pPr>
                    <w:spacing w:line="240" w:lineRule="auto"/>
                    <w:ind w:firstLine="0" w:firstLineChars="0"/>
                    <w:jc w:val="left"/>
                    <w:rPr>
                      <w:bCs/>
                      <w:sz w:val="21"/>
                      <w:szCs w:val="21"/>
                    </w:rPr>
                  </w:pPr>
                  <w:r>
                    <w:rPr>
                      <w:rFonts w:hint="eastAsia"/>
                      <w:bCs/>
                      <w:sz w:val="21"/>
                      <w:szCs w:val="21"/>
                    </w:rPr>
                    <w:t>本项目不</w:t>
                  </w:r>
                  <w:r>
                    <w:rPr>
                      <w:bCs/>
                      <w:sz w:val="21"/>
                      <w:szCs w:val="21"/>
                    </w:rPr>
                    <w:t>排放五类重点重金属、剧毒物质和持久性有机污染物</w:t>
                  </w:r>
                  <w:r>
                    <w:rPr>
                      <w:rFonts w:hint="eastAsia"/>
                      <w:bCs/>
                      <w:sz w:val="21"/>
                      <w:szCs w:val="21"/>
                    </w:rPr>
                    <w:t>，项目</w:t>
                  </w:r>
                  <w:r>
                    <w:rPr>
                      <w:bCs/>
                      <w:sz w:val="21"/>
                      <w:szCs w:val="21"/>
                    </w:rPr>
                    <w:t>生产</w:t>
                  </w:r>
                  <w:r>
                    <w:rPr>
                      <w:rFonts w:hint="eastAsia"/>
                      <w:bCs/>
                      <w:sz w:val="21"/>
                      <w:szCs w:val="21"/>
                    </w:rPr>
                    <w:t>综合</w:t>
                  </w:r>
                  <w:r>
                    <w:rPr>
                      <w:bCs/>
                      <w:sz w:val="21"/>
                      <w:szCs w:val="21"/>
                    </w:rPr>
                    <w:t>废水经自建污水处理设施处理达标后与生活污水</w:t>
                  </w:r>
                  <w:r>
                    <w:rPr>
                      <w:rFonts w:hint="eastAsia"/>
                      <w:bCs/>
                      <w:sz w:val="21"/>
                      <w:szCs w:val="21"/>
                    </w:rPr>
                    <w:t>排入厂区现有污水处理</w:t>
                  </w:r>
                  <w:r>
                    <w:rPr>
                      <w:bCs/>
                      <w:sz w:val="21"/>
                      <w:szCs w:val="21"/>
                    </w:rPr>
                    <w:t>站处理后排入园区污水处理厂。</w:t>
                  </w:r>
                </w:p>
              </w:tc>
              <w:tc>
                <w:tcPr>
                  <w:tcW w:w="511" w:type="pct"/>
                  <w:vAlign w:val="center"/>
                </w:tcPr>
                <w:p>
                  <w:pPr>
                    <w:spacing w:line="240" w:lineRule="auto"/>
                    <w:ind w:firstLine="0" w:firstLineChars="0"/>
                    <w:jc w:val="center"/>
                    <w:rPr>
                      <w:bCs/>
                      <w:sz w:val="21"/>
                      <w:szCs w:val="21"/>
                    </w:rPr>
                  </w:pPr>
                  <w:r>
                    <w:rPr>
                      <w:rFonts w:hint="eastAsia"/>
                      <w:bCs/>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4"/>
                  <w:vAlign w:val="center"/>
                </w:tcPr>
                <w:p>
                  <w:pPr>
                    <w:spacing w:line="240" w:lineRule="auto"/>
                    <w:ind w:firstLine="0" w:firstLineChars="0"/>
                    <w:jc w:val="center"/>
                    <w:rPr>
                      <w:bCs/>
                      <w:sz w:val="21"/>
                      <w:szCs w:val="21"/>
                    </w:rPr>
                  </w:pPr>
                  <w:r>
                    <w:rPr>
                      <w:bCs/>
                      <w:sz w:val="21"/>
                      <w:szCs w:val="21"/>
                    </w:rPr>
                    <w:t>（</w:t>
                  </w:r>
                  <w:r>
                    <w:rPr>
                      <w:rFonts w:hint="eastAsia"/>
                      <w:bCs/>
                      <w:sz w:val="21"/>
                      <w:szCs w:val="21"/>
                    </w:rPr>
                    <w:t>五</w:t>
                  </w:r>
                  <w:r>
                    <w:rPr>
                      <w:bCs/>
                      <w:sz w:val="21"/>
                      <w:szCs w:val="21"/>
                    </w:rPr>
                    <w:t>）重视地下水污染防控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3" w:type="pct"/>
                  <w:vAlign w:val="center"/>
                </w:tcPr>
                <w:p>
                  <w:pPr>
                    <w:spacing w:line="240" w:lineRule="auto"/>
                    <w:ind w:firstLine="0" w:firstLineChars="0"/>
                    <w:jc w:val="center"/>
                    <w:rPr>
                      <w:bCs/>
                      <w:sz w:val="21"/>
                      <w:szCs w:val="21"/>
                    </w:rPr>
                  </w:pPr>
                  <w:r>
                    <w:rPr>
                      <w:bCs/>
                      <w:sz w:val="21"/>
                      <w:szCs w:val="21"/>
                    </w:rPr>
                    <w:t>5</w:t>
                  </w:r>
                </w:p>
              </w:tc>
              <w:tc>
                <w:tcPr>
                  <w:tcW w:w="2951" w:type="pct"/>
                  <w:vAlign w:val="center"/>
                </w:tcPr>
                <w:p>
                  <w:pPr>
                    <w:spacing w:line="240" w:lineRule="auto"/>
                    <w:ind w:firstLine="0" w:firstLineChars="0"/>
                    <w:rPr>
                      <w:bCs/>
                      <w:sz w:val="21"/>
                      <w:szCs w:val="21"/>
                    </w:rPr>
                  </w:pPr>
                  <w:r>
                    <w:rPr>
                      <w:rFonts w:hint="eastAsia"/>
                      <w:bCs/>
                      <w:sz w:val="21"/>
                      <w:szCs w:val="21"/>
                    </w:rPr>
                    <w:t>采取源头控制为主的原则，落实分区、分级防渗措施，防止规划实施对区域地下水环境的污染。按监测计划，应定期开展地下水跟踪监测工作，根据监测结果，督促</w:t>
                  </w:r>
                  <w:r>
                    <w:rPr>
                      <w:bCs/>
                      <w:sz w:val="21"/>
                      <w:szCs w:val="21"/>
                    </w:rPr>
                    <w:t>相关企业完善相应的</w:t>
                  </w:r>
                  <w:r>
                    <w:rPr>
                      <w:rFonts w:hint="eastAsia"/>
                      <w:bCs/>
                      <w:sz w:val="21"/>
                      <w:szCs w:val="21"/>
                    </w:rPr>
                    <w:t>地下水</w:t>
                  </w:r>
                  <w:r>
                    <w:rPr>
                      <w:bCs/>
                      <w:sz w:val="21"/>
                      <w:szCs w:val="21"/>
                    </w:rPr>
                    <w:t>污染防控措施。</w:t>
                  </w:r>
                </w:p>
              </w:tc>
              <w:tc>
                <w:tcPr>
                  <w:tcW w:w="1205" w:type="pct"/>
                  <w:vAlign w:val="center"/>
                </w:tcPr>
                <w:p>
                  <w:pPr>
                    <w:spacing w:line="240" w:lineRule="auto"/>
                    <w:ind w:firstLine="0" w:firstLineChars="0"/>
                    <w:jc w:val="left"/>
                    <w:rPr>
                      <w:sz w:val="21"/>
                      <w:szCs w:val="21"/>
                    </w:rPr>
                  </w:pPr>
                  <w:r>
                    <w:rPr>
                      <w:rFonts w:hint="eastAsia"/>
                      <w:sz w:val="21"/>
                      <w:szCs w:val="18"/>
                    </w:rPr>
                    <w:t>本</w:t>
                  </w:r>
                  <w:r>
                    <w:rPr>
                      <w:sz w:val="21"/>
                      <w:szCs w:val="21"/>
                    </w:rPr>
                    <w:t>项目</w:t>
                  </w:r>
                  <w:r>
                    <w:rPr>
                      <w:rFonts w:hint="eastAsia"/>
                      <w:sz w:val="21"/>
                      <w:szCs w:val="21"/>
                    </w:rPr>
                    <w:t>车间地面</w:t>
                  </w:r>
                  <w:r>
                    <w:rPr>
                      <w:sz w:val="21"/>
                      <w:szCs w:val="21"/>
                    </w:rPr>
                    <w:t>进行了硬化防渗处理。</w:t>
                  </w:r>
                </w:p>
              </w:tc>
              <w:tc>
                <w:tcPr>
                  <w:tcW w:w="511" w:type="pct"/>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5000" w:type="pct"/>
                  <w:gridSpan w:val="4"/>
                  <w:vAlign w:val="center"/>
                </w:tcPr>
                <w:p>
                  <w:pPr>
                    <w:spacing w:line="240" w:lineRule="auto"/>
                    <w:ind w:firstLine="0" w:firstLineChars="0"/>
                    <w:jc w:val="center"/>
                    <w:rPr>
                      <w:sz w:val="21"/>
                      <w:szCs w:val="21"/>
                    </w:rPr>
                  </w:pPr>
                  <w:r>
                    <w:rPr>
                      <w:sz w:val="21"/>
                      <w:szCs w:val="21"/>
                    </w:rPr>
                    <w:t>（</w:t>
                  </w:r>
                  <w:r>
                    <w:rPr>
                      <w:rFonts w:hint="eastAsia"/>
                      <w:sz w:val="21"/>
                      <w:szCs w:val="21"/>
                    </w:rPr>
                    <w:t>六</w:t>
                  </w:r>
                  <w:r>
                    <w:rPr>
                      <w:sz w:val="21"/>
                      <w:szCs w:val="21"/>
                    </w:rPr>
                    <w:t>）强化噪声污染防控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3" w:type="pct"/>
                  <w:vAlign w:val="center"/>
                </w:tcPr>
                <w:p>
                  <w:pPr>
                    <w:spacing w:line="240" w:lineRule="auto"/>
                    <w:ind w:firstLine="0" w:firstLineChars="0"/>
                    <w:jc w:val="center"/>
                    <w:rPr>
                      <w:bCs/>
                      <w:sz w:val="21"/>
                      <w:szCs w:val="21"/>
                    </w:rPr>
                  </w:pPr>
                  <w:r>
                    <w:rPr>
                      <w:bCs/>
                      <w:sz w:val="21"/>
                      <w:szCs w:val="21"/>
                    </w:rPr>
                    <w:t>6</w:t>
                  </w:r>
                </w:p>
              </w:tc>
              <w:tc>
                <w:tcPr>
                  <w:tcW w:w="2951" w:type="pct"/>
                  <w:vAlign w:val="center"/>
                </w:tcPr>
                <w:p>
                  <w:pPr>
                    <w:spacing w:line="240" w:lineRule="auto"/>
                    <w:ind w:firstLine="0" w:firstLineChars="0"/>
                    <w:rPr>
                      <w:bCs/>
                      <w:sz w:val="21"/>
                      <w:szCs w:val="21"/>
                    </w:rPr>
                  </w:pPr>
                  <w:r>
                    <w:rPr>
                      <w:rFonts w:hint="eastAsia"/>
                      <w:bCs/>
                      <w:sz w:val="21"/>
                      <w:szCs w:val="21"/>
                    </w:rPr>
                    <w:t>合理布局噪声源，高噪声源应尽量远离居住区布置。加强规划区现有企业噪声治理，采用低噪声设备，采取消声、隔声、减震等措施，确保厂界噪声达标，尽量减少对周边居民的影响。</w:t>
                  </w:r>
                </w:p>
              </w:tc>
              <w:tc>
                <w:tcPr>
                  <w:tcW w:w="1205" w:type="pct"/>
                  <w:vAlign w:val="center"/>
                </w:tcPr>
                <w:p>
                  <w:pPr>
                    <w:spacing w:line="240" w:lineRule="auto"/>
                    <w:ind w:firstLine="0" w:firstLineChars="0"/>
                    <w:jc w:val="left"/>
                    <w:rPr>
                      <w:sz w:val="21"/>
                      <w:szCs w:val="21"/>
                    </w:rPr>
                  </w:pPr>
                  <w:r>
                    <w:rPr>
                      <w:rFonts w:hint="eastAsia"/>
                      <w:sz w:val="21"/>
                      <w:szCs w:val="18"/>
                    </w:rPr>
                    <w:t>本</w:t>
                  </w:r>
                  <w:r>
                    <w:rPr>
                      <w:sz w:val="21"/>
                      <w:szCs w:val="21"/>
                    </w:rPr>
                    <w:t>项目通过合理布局、减震隔声等措施后，经预测厂界噪声能够达标</w:t>
                  </w:r>
                  <w:r>
                    <w:rPr>
                      <w:rFonts w:hint="eastAsia"/>
                      <w:sz w:val="21"/>
                      <w:szCs w:val="21"/>
                    </w:rPr>
                    <w:t>。</w:t>
                  </w:r>
                </w:p>
              </w:tc>
              <w:tc>
                <w:tcPr>
                  <w:tcW w:w="511" w:type="pct"/>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4"/>
                  <w:vAlign w:val="center"/>
                </w:tcPr>
                <w:p>
                  <w:pPr>
                    <w:spacing w:line="240" w:lineRule="auto"/>
                    <w:ind w:firstLine="0" w:firstLineChars="0"/>
                    <w:jc w:val="center"/>
                    <w:rPr>
                      <w:sz w:val="21"/>
                      <w:szCs w:val="21"/>
                    </w:rPr>
                  </w:pPr>
                  <w:r>
                    <w:rPr>
                      <w:rFonts w:hint="eastAsia"/>
                      <w:sz w:val="21"/>
                      <w:szCs w:val="21"/>
                    </w:rPr>
                    <w:t>（七）</w:t>
                  </w:r>
                  <w:r>
                    <w:rPr>
                      <w:rFonts w:hint="eastAsia"/>
                      <w:bCs/>
                      <w:sz w:val="21"/>
                      <w:szCs w:val="21"/>
                    </w:rPr>
                    <w:t>加强土壤和固体废物污染防治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3" w:type="pct"/>
                  <w:vAlign w:val="center"/>
                </w:tcPr>
                <w:p>
                  <w:pPr>
                    <w:spacing w:line="240" w:lineRule="auto"/>
                    <w:ind w:firstLine="0" w:firstLineChars="0"/>
                    <w:jc w:val="center"/>
                    <w:rPr>
                      <w:bCs/>
                      <w:sz w:val="21"/>
                      <w:szCs w:val="21"/>
                    </w:rPr>
                  </w:pPr>
                  <w:r>
                    <w:rPr>
                      <w:bCs/>
                      <w:sz w:val="21"/>
                      <w:szCs w:val="21"/>
                    </w:rPr>
                    <w:t>7</w:t>
                  </w:r>
                </w:p>
              </w:tc>
              <w:tc>
                <w:tcPr>
                  <w:tcW w:w="2951" w:type="pct"/>
                  <w:vAlign w:val="center"/>
                </w:tcPr>
                <w:p>
                  <w:pPr>
                    <w:spacing w:line="240" w:lineRule="auto"/>
                    <w:ind w:firstLine="0" w:firstLineChars="0"/>
                    <w:rPr>
                      <w:bCs/>
                      <w:sz w:val="21"/>
                      <w:szCs w:val="21"/>
                    </w:rPr>
                  </w:pPr>
                  <w:r>
                    <w:rPr>
                      <w:rFonts w:hint="eastAsia"/>
                      <w:bCs/>
                      <w:sz w:val="21"/>
                      <w:szCs w:val="21"/>
                    </w:rPr>
                    <w:t>按照《重庆市贯彻落实土壤污染防治行动计划工作方案》和土壤污染防治目标责任书相关要求，有效防控土壤环境风险，防范建设用地新增污染。加强工业固体废物综合利用和处置，统筹解决好一般工业固体废物处置配套不足的问题，结合工业园区各组团发展需求，科学论证，加紧规划设置一般工业固体废物处置场或工业固体废物综合利用和处置设施。规划区内土地利用性质调整，应按相关规定要求开展土壤调查和风险评估,经评估确定为污染地块的，应当在土地转让前开展治理修复。</w:t>
                  </w:r>
                </w:p>
              </w:tc>
              <w:tc>
                <w:tcPr>
                  <w:tcW w:w="1205" w:type="pct"/>
                  <w:vAlign w:val="center"/>
                </w:tcPr>
                <w:p>
                  <w:pPr>
                    <w:spacing w:line="240" w:lineRule="auto"/>
                    <w:ind w:firstLine="0" w:firstLineChars="0"/>
                    <w:jc w:val="left"/>
                    <w:rPr>
                      <w:sz w:val="21"/>
                      <w:szCs w:val="21"/>
                    </w:rPr>
                  </w:pPr>
                  <w:r>
                    <w:rPr>
                      <w:rFonts w:hint="eastAsia"/>
                      <w:sz w:val="21"/>
                      <w:szCs w:val="21"/>
                    </w:rPr>
                    <w:t>本项目</w:t>
                  </w:r>
                  <w:r>
                    <w:rPr>
                      <w:sz w:val="21"/>
                      <w:szCs w:val="21"/>
                    </w:rPr>
                    <w:t>一般固体废物交</w:t>
                  </w:r>
                  <w:r>
                    <w:rPr>
                      <w:rFonts w:hint="eastAsia"/>
                      <w:sz w:val="21"/>
                      <w:szCs w:val="21"/>
                    </w:rPr>
                    <w:t>物资</w:t>
                  </w:r>
                  <w:r>
                    <w:rPr>
                      <w:sz w:val="21"/>
                      <w:szCs w:val="21"/>
                    </w:rPr>
                    <w:t>回收单位处理，处理固体废物合理</w:t>
                  </w:r>
                  <w:r>
                    <w:rPr>
                      <w:rFonts w:hint="eastAsia"/>
                      <w:sz w:val="21"/>
                      <w:szCs w:val="21"/>
                    </w:rPr>
                    <w:t>。</w:t>
                  </w:r>
                </w:p>
              </w:tc>
              <w:tc>
                <w:tcPr>
                  <w:tcW w:w="511" w:type="pct"/>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5000" w:type="pct"/>
                  <w:gridSpan w:val="4"/>
                  <w:vAlign w:val="center"/>
                </w:tcPr>
                <w:p>
                  <w:pPr>
                    <w:spacing w:line="240" w:lineRule="auto"/>
                    <w:ind w:firstLine="0" w:firstLineChars="0"/>
                    <w:jc w:val="center"/>
                    <w:rPr>
                      <w:sz w:val="21"/>
                      <w:szCs w:val="21"/>
                    </w:rPr>
                  </w:pPr>
                  <w:r>
                    <w:rPr>
                      <w:sz w:val="21"/>
                      <w:szCs w:val="21"/>
                    </w:rPr>
                    <w:t>（八）强化环境风险防范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3" w:type="pct"/>
                  <w:vAlign w:val="center"/>
                </w:tcPr>
                <w:p>
                  <w:pPr>
                    <w:spacing w:line="240" w:lineRule="auto"/>
                    <w:ind w:firstLine="0" w:firstLineChars="0"/>
                    <w:jc w:val="center"/>
                    <w:rPr>
                      <w:bCs/>
                      <w:sz w:val="21"/>
                      <w:szCs w:val="21"/>
                    </w:rPr>
                  </w:pPr>
                  <w:r>
                    <w:rPr>
                      <w:rFonts w:hint="eastAsia"/>
                      <w:bCs/>
                      <w:sz w:val="21"/>
                      <w:szCs w:val="21"/>
                    </w:rPr>
                    <w:t>8</w:t>
                  </w:r>
                </w:p>
              </w:tc>
              <w:tc>
                <w:tcPr>
                  <w:tcW w:w="2951" w:type="pct"/>
                  <w:vAlign w:val="center"/>
                </w:tcPr>
                <w:p>
                  <w:pPr>
                    <w:spacing w:line="240" w:lineRule="auto"/>
                    <w:ind w:firstLine="0" w:firstLineChars="0"/>
                    <w:rPr>
                      <w:bCs/>
                      <w:sz w:val="21"/>
                      <w:szCs w:val="21"/>
                    </w:rPr>
                  </w:pPr>
                  <w:r>
                    <w:rPr>
                      <w:bCs/>
                      <w:sz w:val="21"/>
                      <w:szCs w:val="21"/>
                    </w:rPr>
                    <w:t>进一步完善环境风险防范体系建设，相关企业尤其是涉及危化品的企业应严格落实各项环境风险防范措施，防范突发性环境风险事故。建立健全园区级风险防控体系，完善环境风险应急预案，加强对企业环境风险源的监督管理。强化事故废水应急收集及处理措施，完善园区“三级”环境风险防控体系，确保事故废水不对大口蛉县级自然保护区造成影响。应加快实施盐井水厂、方溪水厂损迁关闭进度，确保居民饮用水安全。</w:t>
                  </w:r>
                </w:p>
              </w:tc>
              <w:tc>
                <w:tcPr>
                  <w:tcW w:w="1205" w:type="pct"/>
                  <w:vAlign w:val="center"/>
                </w:tcPr>
                <w:p>
                  <w:pPr>
                    <w:spacing w:line="240" w:lineRule="auto"/>
                    <w:ind w:firstLine="0" w:firstLineChars="0"/>
                    <w:jc w:val="left"/>
                    <w:rPr>
                      <w:sz w:val="21"/>
                      <w:szCs w:val="21"/>
                    </w:rPr>
                  </w:pPr>
                  <w:r>
                    <w:rPr>
                      <w:rFonts w:hint="eastAsia"/>
                      <w:sz w:val="21"/>
                      <w:szCs w:val="21"/>
                    </w:rPr>
                    <w:t>本项目</w:t>
                  </w:r>
                  <w:r>
                    <w:rPr>
                      <w:sz w:val="21"/>
                      <w:szCs w:val="21"/>
                    </w:rPr>
                    <w:t>属于农副产品加工制造，</w:t>
                  </w:r>
                  <w:r>
                    <w:rPr>
                      <w:rFonts w:hint="eastAsia"/>
                      <w:sz w:val="21"/>
                      <w:szCs w:val="21"/>
                    </w:rPr>
                    <w:t>不涉及</w:t>
                  </w:r>
                  <w:r>
                    <w:rPr>
                      <w:sz w:val="21"/>
                      <w:szCs w:val="21"/>
                    </w:rPr>
                    <w:t>危化品</w:t>
                  </w:r>
                  <w:r>
                    <w:rPr>
                      <w:rFonts w:hint="eastAsia"/>
                      <w:sz w:val="21"/>
                      <w:szCs w:val="21"/>
                    </w:rPr>
                    <w:t>，</w:t>
                  </w:r>
                  <w:r>
                    <w:rPr>
                      <w:sz w:val="21"/>
                      <w:szCs w:val="21"/>
                    </w:rPr>
                    <w:t>项目车间进行了</w:t>
                  </w:r>
                  <w:r>
                    <w:rPr>
                      <w:rFonts w:hint="eastAsia"/>
                      <w:sz w:val="21"/>
                      <w:szCs w:val="21"/>
                    </w:rPr>
                    <w:t>硬化</w:t>
                  </w:r>
                  <w:r>
                    <w:rPr>
                      <w:sz w:val="21"/>
                      <w:szCs w:val="21"/>
                    </w:rPr>
                    <w:t>防渗处理，</w:t>
                  </w:r>
                  <w:r>
                    <w:rPr>
                      <w:rFonts w:hint="eastAsia"/>
                      <w:sz w:val="21"/>
                      <w:szCs w:val="21"/>
                    </w:rPr>
                    <w:t>本评价</w:t>
                  </w:r>
                  <w:r>
                    <w:rPr>
                      <w:sz w:val="21"/>
                      <w:szCs w:val="21"/>
                    </w:rPr>
                    <w:t>提出了风险防范要求，能够有效的防范突发性环境风险事故。</w:t>
                  </w:r>
                </w:p>
              </w:tc>
              <w:tc>
                <w:tcPr>
                  <w:tcW w:w="511" w:type="pct"/>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4"/>
                  <w:vAlign w:val="center"/>
                </w:tcPr>
                <w:p>
                  <w:pPr>
                    <w:spacing w:line="240" w:lineRule="auto"/>
                    <w:ind w:firstLine="0" w:firstLineChars="0"/>
                    <w:jc w:val="center"/>
                    <w:rPr>
                      <w:sz w:val="21"/>
                      <w:szCs w:val="21"/>
                    </w:rPr>
                  </w:pPr>
                  <w:r>
                    <w:rPr>
                      <w:sz w:val="21"/>
                      <w:szCs w:val="21"/>
                    </w:rPr>
                    <w:t>（九）建立健全园区管理机构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3" w:type="pct"/>
                  <w:vAlign w:val="center"/>
                </w:tcPr>
                <w:p>
                  <w:pPr>
                    <w:spacing w:line="240" w:lineRule="auto"/>
                    <w:ind w:firstLine="0" w:firstLineChars="0"/>
                    <w:jc w:val="center"/>
                    <w:rPr>
                      <w:bCs/>
                      <w:sz w:val="21"/>
                      <w:szCs w:val="21"/>
                    </w:rPr>
                  </w:pPr>
                  <w:r>
                    <w:rPr>
                      <w:bCs/>
                      <w:sz w:val="21"/>
                      <w:szCs w:val="21"/>
                    </w:rPr>
                    <w:t>9</w:t>
                  </w:r>
                </w:p>
              </w:tc>
              <w:tc>
                <w:tcPr>
                  <w:tcW w:w="2951" w:type="pct"/>
                  <w:vAlign w:val="center"/>
                </w:tcPr>
                <w:p>
                  <w:pPr>
                    <w:pStyle w:val="59"/>
                    <w:adjustRightInd/>
                    <w:snapToGrid/>
                    <w:jc w:val="both"/>
                    <w:rPr>
                      <w:sz w:val="21"/>
                      <w:szCs w:val="21"/>
                    </w:rPr>
                  </w:pPr>
                  <w:r>
                    <w:rPr>
                      <w:sz w:val="21"/>
                      <w:szCs w:val="21"/>
                    </w:rPr>
                    <w:t>合川工业园区以及合川信息安全产业服务中心应成立专门管理机构，加强环境管理。</w:t>
                  </w:r>
                </w:p>
              </w:tc>
              <w:tc>
                <w:tcPr>
                  <w:tcW w:w="1205" w:type="pct"/>
                  <w:vAlign w:val="center"/>
                </w:tcPr>
                <w:p>
                  <w:pPr>
                    <w:pStyle w:val="59"/>
                    <w:adjustRightInd/>
                    <w:snapToGrid/>
                    <w:jc w:val="both"/>
                    <w:rPr>
                      <w:sz w:val="21"/>
                      <w:szCs w:val="21"/>
                    </w:rPr>
                  </w:pPr>
                  <w:r>
                    <w:rPr>
                      <w:kern w:val="0"/>
                      <w:sz w:val="21"/>
                      <w:szCs w:val="21"/>
                    </w:rPr>
                    <w:t>项目满足园区对环境管理的要求。</w:t>
                  </w:r>
                </w:p>
              </w:tc>
              <w:tc>
                <w:tcPr>
                  <w:tcW w:w="511" w:type="pct"/>
                  <w:vAlign w:val="center"/>
                </w:tcPr>
                <w:p>
                  <w:pPr>
                    <w:pStyle w:val="59"/>
                    <w:adjustRightInd/>
                    <w:snapToGrid/>
                    <w:rPr>
                      <w:kern w:val="0"/>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5000" w:type="pct"/>
                  <w:gridSpan w:val="4"/>
                  <w:vAlign w:val="center"/>
                </w:tcPr>
                <w:p>
                  <w:pPr>
                    <w:spacing w:line="240" w:lineRule="auto"/>
                    <w:ind w:firstLine="0" w:firstLineChars="0"/>
                    <w:jc w:val="center"/>
                    <w:rPr>
                      <w:sz w:val="21"/>
                      <w:szCs w:val="21"/>
                    </w:rPr>
                  </w:pPr>
                  <w:r>
                    <w:rPr>
                      <w:sz w:val="21"/>
                      <w:szCs w:val="21"/>
                    </w:rPr>
                    <w:t>（十）加强环境管理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3" w:type="pct"/>
                  <w:vAlign w:val="center"/>
                </w:tcPr>
                <w:p>
                  <w:pPr>
                    <w:spacing w:line="240" w:lineRule="auto"/>
                    <w:ind w:firstLine="0" w:firstLineChars="0"/>
                    <w:jc w:val="center"/>
                    <w:rPr>
                      <w:bCs/>
                      <w:sz w:val="21"/>
                      <w:szCs w:val="21"/>
                    </w:rPr>
                  </w:pPr>
                  <w:r>
                    <w:rPr>
                      <w:rFonts w:hint="eastAsia"/>
                      <w:bCs/>
                      <w:sz w:val="21"/>
                      <w:szCs w:val="21"/>
                    </w:rPr>
                    <w:t>10</w:t>
                  </w:r>
                </w:p>
              </w:tc>
              <w:tc>
                <w:tcPr>
                  <w:tcW w:w="2951" w:type="pct"/>
                  <w:vAlign w:val="center"/>
                </w:tcPr>
                <w:p>
                  <w:pPr>
                    <w:pStyle w:val="59"/>
                    <w:adjustRightInd/>
                    <w:snapToGrid/>
                    <w:jc w:val="both"/>
                    <w:rPr>
                      <w:sz w:val="21"/>
                      <w:szCs w:val="21"/>
                    </w:rPr>
                  </w:pPr>
                  <w:r>
                    <w:rPr>
                      <w:sz w:val="21"/>
                      <w:szCs w:val="21"/>
                    </w:rPr>
                    <w:t>严格执行环境影响评价和环保”三同时”制度。本次规划环境影响评价及其审查意见将是各规划区开发建设中环境保护管理的依据。规划后续实施过程中，各规划区应尽快建立起环境质量跟踪监测体系，落实跟踪监测计划，并桉照规定要求适时开展环境影响跟踪评价，提出改进措施。</w:t>
                  </w:r>
                </w:p>
              </w:tc>
              <w:tc>
                <w:tcPr>
                  <w:tcW w:w="1205" w:type="pct"/>
                  <w:vAlign w:val="center"/>
                </w:tcPr>
                <w:p>
                  <w:pPr>
                    <w:pStyle w:val="59"/>
                    <w:adjustRightInd/>
                    <w:snapToGrid/>
                    <w:jc w:val="both"/>
                    <w:rPr>
                      <w:sz w:val="21"/>
                      <w:szCs w:val="21"/>
                    </w:rPr>
                  </w:pPr>
                  <w:r>
                    <w:rPr>
                      <w:kern w:val="0"/>
                      <w:sz w:val="21"/>
                      <w:szCs w:val="21"/>
                    </w:rPr>
                    <w:t>本次评价对项目的例行监测、环境管理均</w:t>
                  </w:r>
                  <w:r>
                    <w:rPr>
                      <w:sz w:val="21"/>
                      <w:szCs w:val="21"/>
                    </w:rPr>
                    <w:t>得出</w:t>
                  </w:r>
                  <w:r>
                    <w:rPr>
                      <w:kern w:val="0"/>
                      <w:sz w:val="21"/>
                      <w:szCs w:val="21"/>
                    </w:rPr>
                    <w:t>了相关要求，满足园区对环境管理的要求。</w:t>
                  </w:r>
                </w:p>
              </w:tc>
              <w:tc>
                <w:tcPr>
                  <w:tcW w:w="511" w:type="pct"/>
                  <w:vAlign w:val="center"/>
                </w:tcPr>
                <w:p>
                  <w:pPr>
                    <w:pStyle w:val="59"/>
                    <w:adjustRightInd/>
                    <w:snapToGrid/>
                    <w:rPr>
                      <w:kern w:val="0"/>
                      <w:sz w:val="21"/>
                      <w:szCs w:val="21"/>
                    </w:rPr>
                  </w:pPr>
                  <w:r>
                    <w:rPr>
                      <w:sz w:val="21"/>
                      <w:szCs w:val="21"/>
                    </w:rPr>
                    <w:t>符合</w:t>
                  </w:r>
                </w:p>
              </w:tc>
            </w:tr>
          </w:tbl>
          <w:p>
            <w:pPr>
              <w:spacing w:before="120" w:beforeLines="50"/>
              <w:ind w:firstLine="480"/>
              <w:rPr>
                <w:szCs w:val="21"/>
              </w:rPr>
            </w:pPr>
            <w:r>
              <w:t>拟建项目位于重庆市合川区工业园区</w:t>
            </w:r>
            <w:r>
              <w:rPr>
                <w:rFonts w:hint="eastAsia"/>
              </w:rPr>
              <w:t>南溪组团</w:t>
            </w:r>
            <w:r>
              <w:t>A区，不在缙云山风景名胜区合川辖区部分、九峰山市级森林公园300m缓冲带内</w:t>
            </w:r>
            <w:r>
              <w:rPr>
                <w:rFonts w:hint="eastAsia"/>
              </w:rPr>
              <w:t>，</w:t>
            </w:r>
            <w:r>
              <w:t>距离</w:t>
            </w:r>
            <w:r>
              <w:rPr>
                <w:rFonts w:hint="eastAsia"/>
              </w:rPr>
              <w:t>分别</w:t>
            </w:r>
            <w:r>
              <w:t>为2</w:t>
            </w:r>
            <w:r>
              <w:rPr>
                <w:rFonts w:hint="eastAsia"/>
              </w:rPr>
              <w:t>.</w:t>
            </w:r>
            <w:r>
              <w:t>3km和</w:t>
            </w:r>
            <w:r>
              <w:rPr>
                <w:rFonts w:hint="eastAsia"/>
              </w:rPr>
              <w:t>2.</w:t>
            </w:r>
            <w:r>
              <w:t>9km。符合《合川工业园区南溪组团、渭沱组团B区规划环境影响报告书》</w:t>
            </w:r>
            <w:r>
              <w:rPr>
                <w:rFonts w:hint="eastAsia"/>
              </w:rPr>
              <w:t>及其</w:t>
            </w:r>
            <w:r>
              <w:t>审查意见的</w:t>
            </w:r>
            <w:r>
              <w:rPr>
                <w:rFonts w:hint="eastAsia"/>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1" w:type="dxa"/>
            <w:vAlign w:val="center"/>
          </w:tcPr>
          <w:p>
            <w:pPr>
              <w:autoSpaceDE w:val="0"/>
              <w:autoSpaceDN w:val="0"/>
              <w:adjustRightInd w:val="0"/>
              <w:snapToGrid w:val="0"/>
              <w:ind w:firstLine="0" w:firstLineChars="0"/>
              <w:rPr>
                <w:kern w:val="0"/>
                <w:szCs w:val="21"/>
              </w:rPr>
            </w:pPr>
            <w:r>
              <w:rPr>
                <w:kern w:val="0"/>
                <w:szCs w:val="21"/>
              </w:rPr>
              <w:t>其他符合性分析</w:t>
            </w:r>
          </w:p>
        </w:tc>
        <w:tc>
          <w:tcPr>
            <w:tcW w:w="8035" w:type="dxa"/>
            <w:gridSpan w:val="3"/>
            <w:vAlign w:val="center"/>
          </w:tcPr>
          <w:p>
            <w:pPr>
              <w:autoSpaceDE w:val="0"/>
              <w:autoSpaceDN w:val="0"/>
              <w:adjustRightInd w:val="0"/>
              <w:snapToGrid w:val="0"/>
              <w:ind w:firstLine="482"/>
              <w:rPr>
                <w:b/>
                <w:kern w:val="0"/>
                <w:szCs w:val="21"/>
              </w:rPr>
            </w:pPr>
            <w:r>
              <w:rPr>
                <w:b/>
                <w:bCs/>
              </w:rPr>
              <w:t>1、</w:t>
            </w:r>
            <w:r>
              <w:rPr>
                <w:b/>
                <w:kern w:val="0"/>
                <w:szCs w:val="21"/>
              </w:rPr>
              <w:t>与</w:t>
            </w:r>
            <w:r>
              <w:rPr>
                <w:rFonts w:hint="eastAsia"/>
                <w:b/>
                <w:kern w:val="0"/>
                <w:szCs w:val="21"/>
              </w:rPr>
              <w:t>《建设项目环评“三线一单”符合性分析技术要点（试行）》</w:t>
            </w:r>
            <w:r>
              <w:rPr>
                <w:b/>
                <w:kern w:val="0"/>
                <w:szCs w:val="21"/>
              </w:rPr>
              <w:t>的符合性分析</w:t>
            </w:r>
          </w:p>
          <w:p>
            <w:pPr>
              <w:autoSpaceDE w:val="0"/>
              <w:autoSpaceDN w:val="0"/>
              <w:adjustRightInd w:val="0"/>
              <w:snapToGrid w:val="0"/>
              <w:ind w:firstLine="480"/>
              <w:rPr>
                <w:kern w:val="0"/>
                <w:szCs w:val="21"/>
              </w:rPr>
            </w:pPr>
            <w:r>
              <w:rPr>
                <w:rFonts w:hint="eastAsia"/>
                <w:kern w:val="0"/>
                <w:szCs w:val="21"/>
              </w:rPr>
              <w:t>项目位于</w:t>
            </w:r>
            <w:r>
              <w:rPr>
                <w:szCs w:val="21"/>
              </w:rPr>
              <w:t>合川工业园区南溪A组团</w:t>
            </w:r>
            <w:r>
              <w:rPr>
                <w:rFonts w:hint="eastAsia"/>
                <w:kern w:val="0"/>
                <w:szCs w:val="21"/>
              </w:rPr>
              <w:t>。</w:t>
            </w:r>
            <w:r>
              <w:rPr>
                <w:kern w:val="0"/>
                <w:szCs w:val="21"/>
              </w:rPr>
              <w:t>根据重庆市三线一单智检服务平台出具的《三线一单检测分析报告》，</w:t>
            </w:r>
            <w:r>
              <w:rPr>
                <w:rFonts w:hint="eastAsia"/>
                <w:kern w:val="0"/>
                <w:szCs w:val="21"/>
              </w:rPr>
              <w:t>项目所处位置</w:t>
            </w:r>
            <w:r>
              <w:rPr>
                <w:kern w:val="0"/>
                <w:szCs w:val="21"/>
              </w:rPr>
              <w:t>（</w:t>
            </w:r>
            <w:r>
              <w:rPr>
                <w:kern w:val="0"/>
                <w:szCs w:val="21"/>
              </w:rPr>
              <mc:AlternateContent>
                <mc:Choice Requires="wps">
                  <w:drawing>
                    <wp:inline distT="0" distB="0" distL="0" distR="0">
                      <wp:extent cx="109220" cy="120650"/>
                      <wp:effectExtent l="10160" t="15240" r="13970" b="16510"/>
                      <wp:docPr id="3" name="等腰三角形 3"/>
                      <wp:cNvGraphicFramePr/>
                      <a:graphic xmlns:a="http://schemas.openxmlformats.org/drawingml/2006/main">
                        <a:graphicData uri="http://schemas.microsoft.com/office/word/2010/wordprocessingShape">
                          <wps:wsp>
                            <wps:cNvSpPr/>
                            <wps:spPr>
                              <a:xfrm>
                                <a:off x="0" y="0"/>
                                <a:ext cx="109537" cy="120770"/>
                              </a:xfrm>
                              <a:prstGeom prst="triangle">
                                <a:avLst/>
                              </a:prstGeom>
                              <a:solidFill>
                                <a:srgbClr val="FF0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inline>
                  </w:drawing>
                </mc:Choice>
                <mc:Fallback>
                  <w:pict>
                    <v:shape id="_x0000_s1026" o:spid="_x0000_s1026" o:spt="5" type="#_x0000_t5" style="height:9.5pt;width:8.6pt;v-text-anchor:middle;" fillcolor="#FF0000" filled="t" stroked="t" coordsize="21600,21600" o:gfxdata="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WAAAAZHJzL1BLAQIUABQAAAAIAIdO4kCSGXE6zwAAAAMBAAAPAAAAAAAAAAEAIAAAADgA&#10;AABkcnMvZG93bnJldi54bWxQSwECFAAUAAAACACHTuJAUCm42m4CAADBBAAADgAAAAAAAAABACAA&#10;AAA0AQAAZHJzL2Uyb0RvYy54bWxQSwUGAAAAAAYABgBZAQAAFAYAAAAA&#10;" adj="10800">
                      <v:fill on="t" focussize="0,0"/>
                      <v:stroke weight="1pt" color="#0070C0 [3204]" miterlimit="8" joinstyle="miter"/>
                      <v:imagedata o:title=""/>
                      <o:lock v:ext="edit" aspectratio="f"/>
                      <w10:wrap type="none"/>
                      <w10:anchorlock/>
                    </v:shape>
                  </w:pict>
                </mc:Fallback>
              </mc:AlternateContent>
            </w:r>
            <w:r>
              <w:rPr>
                <w:kern w:val="0"/>
                <w:szCs w:val="21"/>
              </w:rPr>
              <w:t>）</w:t>
            </w:r>
            <w:r>
              <w:rPr>
                <w:rFonts w:hint="eastAsia"/>
                <w:kern w:val="0"/>
                <w:szCs w:val="21"/>
              </w:rPr>
              <w:t>属于“合川区重点管控单元-小安溪临渡”，为重点管控单元，环境管控单元编码</w:t>
            </w:r>
            <w:r>
              <w:rPr>
                <w:kern w:val="0"/>
                <w:szCs w:val="21"/>
              </w:rPr>
              <w:t>ZH50011720003</w:t>
            </w:r>
            <w:r>
              <w:rPr>
                <w:rFonts w:hint="eastAsia"/>
                <w:kern w:val="0"/>
                <w:szCs w:val="21"/>
              </w:rPr>
              <w:t>。</w:t>
            </w:r>
          </w:p>
          <w:p>
            <w:pPr>
              <w:autoSpaceDE w:val="0"/>
              <w:autoSpaceDN w:val="0"/>
              <w:adjustRightInd w:val="0"/>
              <w:snapToGrid w:val="0"/>
              <w:spacing w:line="240" w:lineRule="auto"/>
              <w:ind w:firstLine="0" w:firstLineChars="0"/>
              <w:rPr>
                <w:kern w:val="0"/>
                <w:sz w:val="21"/>
                <w:szCs w:val="21"/>
              </w:rPr>
            </w:pPr>
            <w:r>
              <w:drawing>
                <wp:inline distT="0" distB="0" distL="0" distR="0">
                  <wp:extent cx="5007610" cy="3545205"/>
                  <wp:effectExtent l="0" t="0" r="2540" b="17145"/>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17"/>
                          <a:stretch>
                            <a:fillRect/>
                          </a:stretch>
                        </pic:blipFill>
                        <pic:spPr>
                          <a:xfrm>
                            <a:off x="0" y="0"/>
                            <a:ext cx="5029353" cy="3560695"/>
                          </a:xfrm>
                          <a:prstGeom prst="rect">
                            <a:avLst/>
                          </a:prstGeom>
                        </pic:spPr>
                      </pic:pic>
                    </a:graphicData>
                  </a:graphic>
                </wp:inline>
              </w:drawing>
            </w:r>
          </w:p>
          <w:p>
            <w:pPr>
              <w:autoSpaceDE w:val="0"/>
              <w:autoSpaceDN w:val="0"/>
              <w:adjustRightInd w:val="0"/>
              <w:snapToGrid w:val="0"/>
              <w:spacing w:line="400" w:lineRule="exact"/>
              <w:ind w:firstLine="0" w:firstLineChars="0"/>
              <w:jc w:val="center"/>
              <w:rPr>
                <w:b/>
                <w:bCs/>
                <w:kern w:val="0"/>
                <w:szCs w:val="21"/>
              </w:rPr>
            </w:pPr>
            <w:r>
              <w:rPr>
                <w:b/>
                <w:bCs/>
                <w:kern w:val="0"/>
                <w:szCs w:val="21"/>
              </w:rPr>
              <w:t>表1-4 项目与</w:t>
            </w:r>
            <w:r>
              <w:rPr>
                <w:rFonts w:hint="eastAsia"/>
                <w:b/>
                <w:bCs/>
                <w:kern w:val="0"/>
                <w:szCs w:val="21"/>
              </w:rPr>
              <w:t>“三线</w:t>
            </w:r>
            <w:r>
              <w:rPr>
                <w:b/>
                <w:bCs/>
                <w:kern w:val="0"/>
                <w:szCs w:val="21"/>
              </w:rPr>
              <w:t>一单</w:t>
            </w:r>
            <w:r>
              <w:rPr>
                <w:rFonts w:hint="eastAsia"/>
                <w:b/>
                <w:bCs/>
                <w:kern w:val="0"/>
                <w:szCs w:val="21"/>
              </w:rPr>
              <w:t>”</w:t>
            </w:r>
            <w:r>
              <w:rPr>
                <w:b/>
                <w:bCs/>
                <w:kern w:val="0"/>
                <w:szCs w:val="21"/>
              </w:rPr>
              <w:t>管控要求符合性分析</w:t>
            </w:r>
          </w:p>
          <w:tbl>
            <w:tblPr>
              <w:tblStyle w:val="19"/>
              <w:tblW w:w="81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91"/>
              <w:gridCol w:w="997"/>
              <w:gridCol w:w="3101"/>
              <w:gridCol w:w="2205"/>
              <w:gridCol w:w="8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935" w:type="dxa"/>
                  <w:gridSpan w:val="2"/>
                  <w:vAlign w:val="center"/>
                </w:tcPr>
                <w:p>
                  <w:pPr>
                    <w:pStyle w:val="47"/>
                    <w:jc w:val="center"/>
                    <w:rPr>
                      <w:color w:val="auto"/>
                      <w:sz w:val="21"/>
                      <w:szCs w:val="21"/>
                    </w:rPr>
                  </w:pPr>
                  <w:r>
                    <w:rPr>
                      <w:rFonts w:hint="eastAsia" w:hAnsi="宋体"/>
                      <w:bCs/>
                      <w:color w:val="auto"/>
                      <w:kern w:val="2"/>
                      <w:sz w:val="21"/>
                      <w:szCs w:val="21"/>
                      <w:lang w:bidi="ar"/>
                    </w:rPr>
                    <w:t>环境管控单元编码</w:t>
                  </w:r>
                </w:p>
              </w:tc>
              <w:tc>
                <w:tcPr>
                  <w:tcW w:w="3131" w:type="dxa"/>
                  <w:vAlign w:val="center"/>
                </w:tcPr>
                <w:p>
                  <w:pPr>
                    <w:suppressAutoHyphens/>
                    <w:snapToGrid w:val="0"/>
                    <w:spacing w:line="240" w:lineRule="auto"/>
                    <w:ind w:firstLine="0" w:firstLineChars="0"/>
                    <w:jc w:val="center"/>
                    <w:rPr>
                      <w:rFonts w:eastAsia="方正黑体_GBK"/>
                      <w:bCs/>
                      <w:szCs w:val="21"/>
                    </w:rPr>
                  </w:pPr>
                  <w:r>
                    <w:rPr>
                      <w:rFonts w:hint="eastAsia" w:ascii="宋体" w:hAnsi="宋体" w:cs="宋体"/>
                      <w:bCs/>
                      <w:sz w:val="21"/>
                      <w:szCs w:val="21"/>
                      <w:lang w:bidi="ar"/>
                    </w:rPr>
                    <w:t>环境管控单元名称</w:t>
                  </w:r>
                </w:p>
              </w:tc>
              <w:tc>
                <w:tcPr>
                  <w:tcW w:w="3074" w:type="dxa"/>
                  <w:gridSpan w:val="2"/>
                  <w:vAlign w:val="center"/>
                </w:tcPr>
                <w:p>
                  <w:pPr>
                    <w:suppressAutoHyphens/>
                    <w:snapToGrid w:val="0"/>
                    <w:spacing w:line="240" w:lineRule="auto"/>
                    <w:ind w:firstLine="0" w:firstLineChars="0"/>
                    <w:jc w:val="center"/>
                    <w:rPr>
                      <w:rFonts w:eastAsia="方正黑体_GBK"/>
                      <w:bCs/>
                      <w:szCs w:val="21"/>
                    </w:rPr>
                  </w:pPr>
                  <w:r>
                    <w:rPr>
                      <w:rFonts w:hint="eastAsia" w:ascii="宋体" w:hAnsi="宋体" w:cs="宋体"/>
                      <w:bCs/>
                      <w:sz w:val="21"/>
                      <w:szCs w:val="21"/>
                      <w:lang w:bidi="ar"/>
                    </w:rPr>
                    <w:t>环境管控单元类型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935" w:type="dxa"/>
                  <w:gridSpan w:val="2"/>
                  <w:vAlign w:val="center"/>
                </w:tcPr>
                <w:p>
                  <w:pPr>
                    <w:pStyle w:val="47"/>
                    <w:jc w:val="center"/>
                    <w:rPr>
                      <w:rFonts w:ascii="Times New Roman" w:cs="Times New Roman"/>
                      <w:bCs/>
                      <w:color w:val="auto"/>
                      <w:kern w:val="2"/>
                      <w:sz w:val="21"/>
                      <w:szCs w:val="21"/>
                      <w:lang w:bidi="ar"/>
                    </w:rPr>
                  </w:pPr>
                  <w:r>
                    <w:rPr>
                      <w:rFonts w:ascii="Times New Roman" w:cs="Times New Roman"/>
                      <w:color w:val="auto"/>
                      <w:sz w:val="21"/>
                      <w:szCs w:val="21"/>
                    </w:rPr>
                    <w:t>ZH50011720003</w:t>
                  </w:r>
                </w:p>
              </w:tc>
              <w:tc>
                <w:tcPr>
                  <w:tcW w:w="3131" w:type="dxa"/>
                  <w:vAlign w:val="center"/>
                </w:tcPr>
                <w:p>
                  <w:pPr>
                    <w:pStyle w:val="47"/>
                    <w:jc w:val="center"/>
                    <w:rPr>
                      <w:rFonts w:hAnsi="宋体"/>
                      <w:bCs/>
                      <w:color w:val="auto"/>
                      <w:kern w:val="2"/>
                      <w:sz w:val="21"/>
                      <w:szCs w:val="21"/>
                      <w:lang w:bidi="ar"/>
                    </w:rPr>
                  </w:pPr>
                  <w:r>
                    <w:rPr>
                      <w:rFonts w:hint="eastAsia" w:hAnsi="宋体"/>
                      <w:bCs/>
                      <w:color w:val="auto"/>
                      <w:kern w:val="2"/>
                      <w:sz w:val="21"/>
                      <w:szCs w:val="21"/>
                      <w:lang w:bidi="ar"/>
                    </w:rPr>
                    <w:t>小安溪临渡</w:t>
                  </w:r>
                </w:p>
              </w:tc>
              <w:tc>
                <w:tcPr>
                  <w:tcW w:w="3074" w:type="dxa"/>
                  <w:gridSpan w:val="2"/>
                  <w:vAlign w:val="center"/>
                </w:tcPr>
                <w:p>
                  <w:pPr>
                    <w:pStyle w:val="47"/>
                    <w:jc w:val="center"/>
                    <w:rPr>
                      <w:rFonts w:hAnsi="宋体"/>
                      <w:bCs/>
                      <w:color w:val="auto"/>
                      <w:kern w:val="2"/>
                      <w:sz w:val="21"/>
                      <w:szCs w:val="21"/>
                      <w:lang w:bidi="ar"/>
                    </w:rPr>
                  </w:pPr>
                  <w:r>
                    <w:rPr>
                      <w:rFonts w:hint="eastAsia" w:hAnsi="宋体"/>
                      <w:bCs/>
                      <w:color w:val="auto"/>
                      <w:kern w:val="2"/>
                      <w:sz w:val="21"/>
                      <w:szCs w:val="21"/>
                      <w:lang w:bidi="ar"/>
                    </w:rPr>
                    <w:t>合川区重点管控单元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Align w:val="center"/>
                </w:tcPr>
                <w:p>
                  <w:pPr>
                    <w:suppressAutoHyphens/>
                    <w:snapToGrid w:val="0"/>
                    <w:spacing w:line="240" w:lineRule="auto"/>
                    <w:ind w:firstLine="0" w:firstLineChars="0"/>
                    <w:jc w:val="center"/>
                    <w:rPr>
                      <w:bCs/>
                      <w:szCs w:val="21"/>
                    </w:rPr>
                  </w:pPr>
                  <w:r>
                    <w:rPr>
                      <w:bCs/>
                      <w:sz w:val="21"/>
                      <w:szCs w:val="21"/>
                      <w:lang w:bidi="ar"/>
                    </w:rPr>
                    <w:t>管控要求层级</w:t>
                  </w:r>
                </w:p>
              </w:tc>
              <w:tc>
                <w:tcPr>
                  <w:tcW w:w="971" w:type="dxa"/>
                  <w:vAlign w:val="center"/>
                </w:tcPr>
                <w:p>
                  <w:pPr>
                    <w:suppressAutoHyphens/>
                    <w:snapToGrid w:val="0"/>
                    <w:spacing w:line="240" w:lineRule="auto"/>
                    <w:ind w:firstLine="0" w:firstLineChars="0"/>
                    <w:jc w:val="center"/>
                    <w:rPr>
                      <w:bCs/>
                      <w:szCs w:val="21"/>
                    </w:rPr>
                  </w:pPr>
                  <w:r>
                    <w:rPr>
                      <w:bCs/>
                      <w:sz w:val="21"/>
                      <w:szCs w:val="21"/>
                      <w:lang w:bidi="ar"/>
                    </w:rPr>
                    <w:t>管控类型</w:t>
                  </w:r>
                </w:p>
              </w:tc>
              <w:tc>
                <w:tcPr>
                  <w:tcW w:w="3131" w:type="dxa"/>
                  <w:vAlign w:val="center"/>
                </w:tcPr>
                <w:p>
                  <w:pPr>
                    <w:suppressAutoHyphens/>
                    <w:snapToGrid w:val="0"/>
                    <w:spacing w:line="240" w:lineRule="auto"/>
                    <w:ind w:firstLine="0" w:firstLineChars="0"/>
                    <w:jc w:val="center"/>
                    <w:rPr>
                      <w:bCs/>
                      <w:szCs w:val="21"/>
                    </w:rPr>
                  </w:pPr>
                  <w:r>
                    <w:rPr>
                      <w:bCs/>
                      <w:sz w:val="21"/>
                      <w:szCs w:val="21"/>
                      <w:lang w:bidi="ar"/>
                    </w:rPr>
                    <w:t>管控要求</w:t>
                  </w:r>
                </w:p>
              </w:tc>
              <w:tc>
                <w:tcPr>
                  <w:tcW w:w="2223" w:type="dxa"/>
                  <w:vAlign w:val="center"/>
                </w:tcPr>
                <w:p>
                  <w:pPr>
                    <w:suppressAutoHyphens/>
                    <w:snapToGrid w:val="0"/>
                    <w:spacing w:line="240" w:lineRule="auto"/>
                    <w:ind w:firstLine="0" w:firstLineChars="0"/>
                    <w:jc w:val="center"/>
                    <w:rPr>
                      <w:bCs/>
                      <w:szCs w:val="21"/>
                    </w:rPr>
                  </w:pPr>
                  <w:r>
                    <w:rPr>
                      <w:bCs/>
                      <w:sz w:val="21"/>
                      <w:szCs w:val="21"/>
                      <w:lang w:bidi="ar"/>
                    </w:rPr>
                    <w:t>建设项目相关情况</w:t>
                  </w:r>
                </w:p>
              </w:tc>
              <w:tc>
                <w:tcPr>
                  <w:tcW w:w="851" w:type="dxa"/>
                  <w:vAlign w:val="center"/>
                </w:tcPr>
                <w:p>
                  <w:pPr>
                    <w:suppressAutoHyphens/>
                    <w:snapToGrid w:val="0"/>
                    <w:spacing w:line="240" w:lineRule="auto"/>
                    <w:ind w:firstLine="0" w:firstLineChars="0"/>
                    <w:jc w:val="center"/>
                    <w:rPr>
                      <w:bCs/>
                      <w:szCs w:val="21"/>
                    </w:rPr>
                  </w:pPr>
                  <w:r>
                    <w:rPr>
                      <w:bCs/>
                      <w:sz w:val="21"/>
                      <w:szCs w:val="21"/>
                      <w:lang w:bidi="ar"/>
                    </w:rPr>
                    <w:t>符合性分析结论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64" w:type="dxa"/>
                  <w:vMerge w:val="restart"/>
                  <w:vAlign w:val="center"/>
                </w:tcPr>
                <w:p>
                  <w:pPr>
                    <w:pStyle w:val="47"/>
                    <w:jc w:val="center"/>
                    <w:rPr>
                      <w:rFonts w:ascii="Times New Roman" w:cs="Times New Roman"/>
                      <w:color w:val="auto"/>
                      <w:sz w:val="21"/>
                      <w:szCs w:val="21"/>
                    </w:rPr>
                  </w:pPr>
                  <w:r>
                    <w:rPr>
                      <w:rFonts w:hint="eastAsia" w:ascii="Times New Roman" w:cs="Times New Roman"/>
                      <w:color w:val="auto"/>
                      <w:sz w:val="21"/>
                      <w:szCs w:val="21"/>
                    </w:rPr>
                    <w:t>全市总体管控要求</w:t>
                  </w:r>
                </w:p>
              </w:tc>
              <w:tc>
                <w:tcPr>
                  <w:tcW w:w="971" w:type="dxa"/>
                  <w:vMerge w:val="restart"/>
                  <w:vAlign w:val="center"/>
                </w:tcPr>
                <w:p>
                  <w:pPr>
                    <w:suppressAutoHyphens/>
                    <w:snapToGrid w:val="0"/>
                    <w:spacing w:line="240" w:lineRule="auto"/>
                    <w:ind w:firstLine="0" w:firstLineChars="0"/>
                    <w:jc w:val="center"/>
                    <w:rPr>
                      <w:szCs w:val="21"/>
                    </w:rPr>
                  </w:pPr>
                  <w:r>
                    <w:rPr>
                      <w:sz w:val="21"/>
                      <w:szCs w:val="21"/>
                      <w:lang w:bidi="ar"/>
                    </w:rPr>
                    <w:t>空间布局约束</w:t>
                  </w:r>
                </w:p>
              </w:tc>
              <w:tc>
                <w:tcPr>
                  <w:tcW w:w="3131" w:type="dxa"/>
                  <w:vAlign w:val="center"/>
                </w:tcPr>
                <w:p>
                  <w:pPr>
                    <w:suppressAutoHyphens/>
                    <w:snapToGrid w:val="0"/>
                    <w:spacing w:line="240" w:lineRule="auto"/>
                    <w:ind w:firstLine="0" w:firstLineChars="0"/>
                    <w:rPr>
                      <w:szCs w:val="21"/>
                    </w:rPr>
                  </w:pPr>
                  <w:r>
                    <w:rPr>
                      <w:rFonts w:hint="eastAsia"/>
                      <w:sz w:val="21"/>
                      <w:szCs w:val="21"/>
                    </w:rPr>
                    <w:t>1.</w:t>
                  </w:r>
                  <w:r>
                    <w:rPr>
                      <w:sz w:val="21"/>
                      <w:szCs w:val="21"/>
                    </w:rPr>
                    <w:t>严格执行《产业结构调整指导目录》、《重庆市产业投资准入工作手册》、《重庆市工业项目环境准入规定》、《重庆市长江经济带发展负面清单指南实施细则（试行）》等文件要求，优化重点区域、流域、产业的空间布局。对不符合准入要求的既有项目，依法依规实施整改、退出等分类治理方案</w:t>
                  </w:r>
                  <w:r>
                    <w:rPr>
                      <w:rFonts w:hint="eastAsia"/>
                      <w:sz w:val="21"/>
                      <w:szCs w:val="21"/>
                    </w:rPr>
                    <w:t>。</w:t>
                  </w:r>
                </w:p>
              </w:tc>
              <w:tc>
                <w:tcPr>
                  <w:tcW w:w="2223" w:type="dxa"/>
                  <w:vAlign w:val="center"/>
                </w:tcPr>
                <w:p>
                  <w:pPr>
                    <w:suppressAutoHyphens/>
                    <w:snapToGrid w:val="0"/>
                    <w:spacing w:line="240" w:lineRule="auto"/>
                    <w:ind w:firstLine="0" w:firstLineChars="0"/>
                    <w:rPr>
                      <w:szCs w:val="21"/>
                    </w:rPr>
                  </w:pPr>
                  <w:r>
                    <w:rPr>
                      <w:sz w:val="21"/>
                      <w:szCs w:val="21"/>
                      <w:lang w:bidi="ar"/>
                    </w:rPr>
                    <w:t>本项目</w:t>
                  </w:r>
                  <w:r>
                    <w:rPr>
                      <w:sz w:val="21"/>
                      <w:szCs w:val="21"/>
                    </w:rPr>
                    <w:t>位于合川工业园区南溪A组团</w:t>
                  </w:r>
                  <w:r>
                    <w:rPr>
                      <w:sz w:val="21"/>
                      <w:szCs w:val="21"/>
                      <w:lang w:bidi="ar"/>
                    </w:rPr>
                    <w:t>，项目</w:t>
                  </w:r>
                  <w:r>
                    <w:rPr>
                      <w:rFonts w:hint="eastAsia"/>
                      <w:sz w:val="21"/>
                      <w:szCs w:val="21"/>
                      <w:lang w:bidi="ar"/>
                    </w:rPr>
                    <w:t>主要建设苕皮</w:t>
                  </w:r>
                  <w:r>
                    <w:rPr>
                      <w:sz w:val="21"/>
                      <w:szCs w:val="21"/>
                      <w:lang w:bidi="ar"/>
                    </w:rPr>
                    <w:t>、豆干生产线和配套环保设施</w:t>
                  </w:r>
                  <w:r>
                    <w:rPr>
                      <w:sz w:val="21"/>
                      <w:szCs w:val="21"/>
                    </w:rPr>
                    <w:t>，</w:t>
                  </w:r>
                  <w:r>
                    <w:rPr>
                      <w:sz w:val="21"/>
                      <w:szCs w:val="21"/>
                      <w:lang w:bidi="ar"/>
                    </w:rPr>
                    <w:t>符合《产业结构调整指导目录》、《重庆市产业投资准入工作手册》、《重庆市工业项目环境准入规定》、《重庆市长江经济带发展负面清单指南实施细则（试行）》等文件要求</w:t>
                  </w:r>
                  <w:r>
                    <w:rPr>
                      <w:rFonts w:hint="eastAsia"/>
                      <w:sz w:val="21"/>
                      <w:szCs w:val="21"/>
                      <w:lang w:bidi="ar"/>
                    </w:rPr>
                    <w:t>。</w:t>
                  </w:r>
                </w:p>
              </w:tc>
              <w:tc>
                <w:tcPr>
                  <w:tcW w:w="851" w:type="dxa"/>
                  <w:vAlign w:val="center"/>
                </w:tcPr>
                <w:p>
                  <w:pPr>
                    <w:suppressAutoHyphens/>
                    <w:snapToGrid w:val="0"/>
                    <w:spacing w:line="240" w:lineRule="auto"/>
                    <w:ind w:firstLine="0" w:firstLineChars="0"/>
                    <w:jc w:val="center"/>
                    <w:rPr>
                      <w:szCs w:val="21"/>
                    </w:rPr>
                  </w:pPr>
                  <w:r>
                    <w:rPr>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continue"/>
                  <w:vAlign w:val="center"/>
                </w:tcPr>
                <w:p>
                  <w:pPr>
                    <w:pStyle w:val="47"/>
                    <w:jc w:val="center"/>
                    <w:rPr>
                      <w:rFonts w:ascii="Times New Roman" w:cs="Times New Roman"/>
                      <w:color w:val="auto"/>
                      <w:sz w:val="21"/>
                      <w:szCs w:val="21"/>
                    </w:rPr>
                  </w:pPr>
                </w:p>
              </w:tc>
              <w:tc>
                <w:tcPr>
                  <w:tcW w:w="971" w:type="dxa"/>
                  <w:vMerge w:val="continue"/>
                  <w:vAlign w:val="center"/>
                </w:tcPr>
                <w:p>
                  <w:pPr>
                    <w:suppressAutoHyphens/>
                    <w:snapToGrid w:val="0"/>
                    <w:ind w:firstLine="480"/>
                    <w:jc w:val="center"/>
                    <w:rPr>
                      <w:szCs w:val="21"/>
                      <w:lang w:bidi="ar"/>
                    </w:rPr>
                  </w:pPr>
                </w:p>
              </w:tc>
              <w:tc>
                <w:tcPr>
                  <w:tcW w:w="3131" w:type="dxa"/>
                  <w:vAlign w:val="center"/>
                </w:tcPr>
                <w:p>
                  <w:pPr>
                    <w:suppressAutoHyphens/>
                    <w:snapToGrid w:val="0"/>
                    <w:spacing w:line="240" w:lineRule="auto"/>
                    <w:ind w:firstLine="0" w:firstLineChars="0"/>
                    <w:rPr>
                      <w:szCs w:val="21"/>
                    </w:rPr>
                  </w:pPr>
                  <w:r>
                    <w:rPr>
                      <w:sz w:val="21"/>
                      <w:szCs w:val="21"/>
                    </w:rPr>
                    <w:t>2.禁止在长江干流及主要支流岸线1公里范围内新建重化工、纺织、造纸等存在污染风险的工业项目，禁止在长江干支流1公里范围内新建、扩建化工园区和化工项目。5公里范围内除经国家和市政府批准设立、仍在建设的工业园区外，不再新布局工业园区（不包括现有工业园区拓展）。新建有污染物排放的工业项目应进入工业园区或工业集中区，不得在工业园区（集聚区）以外区域实施单纯增加产能的技改（扩建）项目</w:t>
                  </w:r>
                  <w:r>
                    <w:rPr>
                      <w:rFonts w:hint="eastAsia"/>
                      <w:sz w:val="21"/>
                      <w:szCs w:val="21"/>
                    </w:rPr>
                    <w:t>。</w:t>
                  </w:r>
                </w:p>
              </w:tc>
              <w:tc>
                <w:tcPr>
                  <w:tcW w:w="2223" w:type="dxa"/>
                  <w:vAlign w:val="center"/>
                </w:tcPr>
                <w:p>
                  <w:pPr>
                    <w:suppressAutoHyphens/>
                    <w:snapToGrid w:val="0"/>
                    <w:spacing w:line="240" w:lineRule="auto"/>
                    <w:ind w:firstLine="0" w:firstLineChars="0"/>
                    <w:rPr>
                      <w:szCs w:val="21"/>
                      <w:lang w:bidi="ar"/>
                    </w:rPr>
                  </w:pPr>
                  <w:r>
                    <w:rPr>
                      <w:sz w:val="21"/>
                      <w:szCs w:val="21"/>
                      <w:lang w:bidi="ar"/>
                    </w:rPr>
                    <w:t>本项目</w:t>
                  </w:r>
                  <w:r>
                    <w:rPr>
                      <w:sz w:val="21"/>
                      <w:szCs w:val="21"/>
                    </w:rPr>
                    <w:t>位于合川工业园区南溪A组团</w:t>
                  </w:r>
                  <w:r>
                    <w:rPr>
                      <w:sz w:val="21"/>
                      <w:szCs w:val="21"/>
                      <w:lang w:bidi="ar"/>
                    </w:rPr>
                    <w:t>，不属于重化工、纺织、造纸等存在污染风险的工业项目。</w:t>
                  </w:r>
                </w:p>
              </w:tc>
              <w:tc>
                <w:tcPr>
                  <w:tcW w:w="851" w:type="dxa"/>
                  <w:vAlign w:val="center"/>
                </w:tcPr>
                <w:p>
                  <w:pPr>
                    <w:suppressAutoHyphens/>
                    <w:snapToGrid w:val="0"/>
                    <w:spacing w:line="240" w:lineRule="auto"/>
                    <w:ind w:firstLine="0" w:firstLineChars="0"/>
                    <w:jc w:val="center"/>
                    <w:rPr>
                      <w:szCs w:val="21"/>
                      <w:lang w:bidi="ar"/>
                    </w:rPr>
                  </w:pPr>
                  <w:r>
                    <w:rPr>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continue"/>
                  <w:vAlign w:val="center"/>
                </w:tcPr>
                <w:p>
                  <w:pPr>
                    <w:pStyle w:val="47"/>
                    <w:jc w:val="center"/>
                    <w:rPr>
                      <w:rFonts w:ascii="Times New Roman" w:cs="Times New Roman"/>
                      <w:color w:val="auto"/>
                      <w:sz w:val="21"/>
                      <w:szCs w:val="21"/>
                    </w:rPr>
                  </w:pPr>
                </w:p>
              </w:tc>
              <w:tc>
                <w:tcPr>
                  <w:tcW w:w="971" w:type="dxa"/>
                  <w:vMerge w:val="continue"/>
                  <w:vAlign w:val="center"/>
                </w:tcPr>
                <w:p>
                  <w:pPr>
                    <w:suppressAutoHyphens/>
                    <w:snapToGrid w:val="0"/>
                    <w:ind w:firstLine="480"/>
                    <w:jc w:val="center"/>
                    <w:rPr>
                      <w:szCs w:val="21"/>
                      <w:lang w:bidi="ar"/>
                    </w:rPr>
                  </w:pPr>
                </w:p>
              </w:tc>
              <w:tc>
                <w:tcPr>
                  <w:tcW w:w="3131" w:type="dxa"/>
                  <w:vAlign w:val="center"/>
                </w:tcPr>
                <w:p>
                  <w:pPr>
                    <w:suppressAutoHyphens/>
                    <w:snapToGrid w:val="0"/>
                    <w:spacing w:line="240" w:lineRule="auto"/>
                    <w:ind w:firstLine="0" w:firstLineChars="0"/>
                    <w:rPr>
                      <w:sz w:val="21"/>
                      <w:szCs w:val="21"/>
                    </w:rPr>
                  </w:pPr>
                  <w:r>
                    <w:rPr>
                      <w:sz w:val="21"/>
                      <w:szCs w:val="21"/>
                    </w:rPr>
                    <w:t>3.在长江鱼嘴以上江段及其一级支流汇入口上游20公里、嘉陵江及其一级支流汇入口上游20公里、集中式饮用水水源取水口上游20公里范围内的沿岸地区（江河50年一遇洪水位向陆域一侧1公里范围内），禁止新建、扩建排放重点重金属（铬、镉、汞、砷、铅等五类重金属）、剧毒物质和持久性有机污染物的工业项目</w:t>
                  </w:r>
                  <w:r>
                    <w:rPr>
                      <w:rFonts w:hint="eastAsia"/>
                      <w:sz w:val="21"/>
                      <w:szCs w:val="21"/>
                    </w:rPr>
                    <w:t>。</w:t>
                  </w:r>
                </w:p>
              </w:tc>
              <w:tc>
                <w:tcPr>
                  <w:tcW w:w="2223" w:type="dxa"/>
                  <w:vAlign w:val="center"/>
                </w:tcPr>
                <w:p>
                  <w:pPr>
                    <w:suppressAutoHyphens/>
                    <w:snapToGrid w:val="0"/>
                    <w:spacing w:line="240" w:lineRule="auto"/>
                    <w:ind w:firstLine="0" w:firstLineChars="0"/>
                    <w:rPr>
                      <w:sz w:val="21"/>
                      <w:szCs w:val="21"/>
                    </w:rPr>
                  </w:pPr>
                  <w:r>
                    <w:rPr>
                      <w:sz w:val="21"/>
                      <w:szCs w:val="21"/>
                    </w:rPr>
                    <w:t>本项目不排放重点重金属（铬、镉、汞、砷、铅等五类重金属）、剧毒物质和持久性有机污染物。</w:t>
                  </w:r>
                </w:p>
              </w:tc>
              <w:tc>
                <w:tcPr>
                  <w:tcW w:w="851" w:type="dxa"/>
                  <w:vAlign w:val="center"/>
                </w:tcPr>
                <w:p>
                  <w:pPr>
                    <w:suppressAutoHyphens/>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continue"/>
                  <w:vAlign w:val="center"/>
                </w:tcPr>
                <w:p>
                  <w:pPr>
                    <w:pStyle w:val="47"/>
                    <w:jc w:val="center"/>
                    <w:rPr>
                      <w:rFonts w:ascii="Times New Roman" w:cs="Times New Roman"/>
                      <w:color w:val="auto"/>
                      <w:sz w:val="21"/>
                      <w:szCs w:val="21"/>
                    </w:rPr>
                  </w:pPr>
                </w:p>
              </w:tc>
              <w:tc>
                <w:tcPr>
                  <w:tcW w:w="971" w:type="dxa"/>
                  <w:vMerge w:val="continue"/>
                  <w:vAlign w:val="center"/>
                </w:tcPr>
                <w:p>
                  <w:pPr>
                    <w:suppressAutoHyphens/>
                    <w:snapToGrid w:val="0"/>
                    <w:ind w:firstLine="480"/>
                    <w:jc w:val="center"/>
                    <w:rPr>
                      <w:szCs w:val="21"/>
                      <w:lang w:bidi="ar"/>
                    </w:rPr>
                  </w:pPr>
                </w:p>
              </w:tc>
              <w:tc>
                <w:tcPr>
                  <w:tcW w:w="3131" w:type="dxa"/>
                  <w:vAlign w:val="center"/>
                </w:tcPr>
                <w:p>
                  <w:pPr>
                    <w:suppressAutoHyphens/>
                    <w:snapToGrid w:val="0"/>
                    <w:spacing w:line="240" w:lineRule="auto"/>
                    <w:ind w:firstLine="0" w:firstLineChars="0"/>
                    <w:rPr>
                      <w:sz w:val="21"/>
                      <w:szCs w:val="21"/>
                    </w:rPr>
                  </w:pPr>
                  <w:r>
                    <w:rPr>
                      <w:sz w:val="21"/>
                      <w:szCs w:val="21"/>
                    </w:rPr>
                    <w:t>4.严格执行相关行业企业布局选址要求，优化环境防护距离设置，按要求设置生态隔离带，防范工业园区（工业集聚区）涉生态环境“</w:t>
                  </w:r>
                  <w:r>
                    <w:rPr>
                      <w:rFonts w:hint="eastAsia"/>
                      <w:sz w:val="21"/>
                      <w:szCs w:val="21"/>
                    </w:rPr>
                    <w:t>邻</w:t>
                  </w:r>
                  <w:r>
                    <w:rPr>
                      <w:sz w:val="21"/>
                      <w:szCs w:val="21"/>
                    </w:rPr>
                    <w:t>避”问题，将环境防护距离优化控制在园区边界或用地红线以内</w:t>
                  </w:r>
                  <w:r>
                    <w:rPr>
                      <w:rFonts w:hint="eastAsia"/>
                      <w:sz w:val="21"/>
                      <w:szCs w:val="21"/>
                    </w:rPr>
                    <w:t>。</w:t>
                  </w:r>
                </w:p>
              </w:tc>
              <w:tc>
                <w:tcPr>
                  <w:tcW w:w="2223" w:type="dxa"/>
                  <w:vAlign w:val="center"/>
                </w:tcPr>
                <w:p>
                  <w:pPr>
                    <w:suppressAutoHyphens/>
                    <w:snapToGrid w:val="0"/>
                    <w:spacing w:line="240" w:lineRule="auto"/>
                    <w:ind w:firstLine="0" w:firstLineChars="0"/>
                    <w:rPr>
                      <w:sz w:val="21"/>
                      <w:szCs w:val="21"/>
                    </w:rPr>
                  </w:pPr>
                  <w:r>
                    <w:rPr>
                      <w:sz w:val="21"/>
                      <w:szCs w:val="21"/>
                    </w:rPr>
                    <w:t>本项目位于合川工业园区南溪A组团，周边均为工业企业。</w:t>
                  </w:r>
                </w:p>
              </w:tc>
              <w:tc>
                <w:tcPr>
                  <w:tcW w:w="851" w:type="dxa"/>
                  <w:vAlign w:val="center"/>
                </w:tcPr>
                <w:p>
                  <w:pPr>
                    <w:suppressAutoHyphens/>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64" w:type="dxa"/>
                  <w:vMerge w:val="continue"/>
                  <w:vAlign w:val="center"/>
                </w:tcPr>
                <w:p>
                  <w:pPr>
                    <w:pStyle w:val="47"/>
                    <w:jc w:val="center"/>
                    <w:rPr>
                      <w:rFonts w:ascii="Times New Roman" w:cs="Times New Roman"/>
                      <w:color w:val="auto"/>
                      <w:sz w:val="21"/>
                      <w:szCs w:val="21"/>
                    </w:rPr>
                  </w:pPr>
                </w:p>
              </w:tc>
              <w:tc>
                <w:tcPr>
                  <w:tcW w:w="971" w:type="dxa"/>
                  <w:vMerge w:val="continue"/>
                  <w:vAlign w:val="center"/>
                </w:tcPr>
                <w:p>
                  <w:pPr>
                    <w:suppressAutoHyphens/>
                    <w:snapToGrid w:val="0"/>
                    <w:ind w:firstLine="480"/>
                    <w:jc w:val="center"/>
                    <w:rPr>
                      <w:szCs w:val="21"/>
                      <w:lang w:bidi="ar"/>
                    </w:rPr>
                  </w:pPr>
                </w:p>
              </w:tc>
              <w:tc>
                <w:tcPr>
                  <w:tcW w:w="3131" w:type="dxa"/>
                  <w:vAlign w:val="center"/>
                </w:tcPr>
                <w:p>
                  <w:pPr>
                    <w:suppressAutoHyphens/>
                    <w:snapToGrid w:val="0"/>
                    <w:spacing w:line="240" w:lineRule="auto"/>
                    <w:ind w:firstLine="0" w:firstLineChars="0"/>
                    <w:rPr>
                      <w:sz w:val="21"/>
                      <w:szCs w:val="21"/>
                    </w:rPr>
                  </w:pPr>
                  <w:r>
                    <w:rPr>
                      <w:sz w:val="21"/>
                      <w:szCs w:val="21"/>
                    </w:rPr>
                    <w:t>5.加快布局分散的企业向园区集中，鼓励现有工业项目、化工项目分别搬入工业集聚区、化工产业集聚区</w:t>
                  </w:r>
                  <w:r>
                    <w:rPr>
                      <w:rFonts w:hint="eastAsia"/>
                      <w:sz w:val="21"/>
                      <w:szCs w:val="21"/>
                    </w:rPr>
                    <w:t>。</w:t>
                  </w:r>
                </w:p>
              </w:tc>
              <w:tc>
                <w:tcPr>
                  <w:tcW w:w="2223" w:type="dxa"/>
                  <w:vAlign w:val="center"/>
                </w:tcPr>
                <w:p>
                  <w:pPr>
                    <w:suppressAutoHyphens/>
                    <w:snapToGrid w:val="0"/>
                    <w:spacing w:line="240" w:lineRule="auto"/>
                    <w:ind w:firstLine="0" w:firstLineChars="0"/>
                    <w:rPr>
                      <w:sz w:val="21"/>
                      <w:szCs w:val="21"/>
                    </w:rPr>
                  </w:pPr>
                  <w:r>
                    <w:rPr>
                      <w:sz w:val="21"/>
                      <w:szCs w:val="21"/>
                    </w:rPr>
                    <w:t>本项目位于合川工业园区南溪A组团。</w:t>
                  </w:r>
                </w:p>
              </w:tc>
              <w:tc>
                <w:tcPr>
                  <w:tcW w:w="851" w:type="dxa"/>
                  <w:vAlign w:val="center"/>
                </w:tcPr>
                <w:p>
                  <w:pPr>
                    <w:suppressAutoHyphens/>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continue"/>
                  <w:vAlign w:val="center"/>
                </w:tcPr>
                <w:p>
                  <w:pPr>
                    <w:pStyle w:val="47"/>
                    <w:jc w:val="center"/>
                    <w:rPr>
                      <w:rFonts w:ascii="Times New Roman" w:cs="Times New Roman"/>
                      <w:color w:val="auto"/>
                      <w:sz w:val="21"/>
                      <w:szCs w:val="21"/>
                    </w:rPr>
                  </w:pPr>
                </w:p>
              </w:tc>
              <w:tc>
                <w:tcPr>
                  <w:tcW w:w="971" w:type="dxa"/>
                  <w:vMerge w:val="continue"/>
                  <w:vAlign w:val="center"/>
                </w:tcPr>
                <w:p>
                  <w:pPr>
                    <w:suppressAutoHyphens/>
                    <w:snapToGrid w:val="0"/>
                    <w:ind w:firstLine="480"/>
                    <w:jc w:val="center"/>
                    <w:rPr>
                      <w:szCs w:val="21"/>
                      <w:lang w:bidi="ar"/>
                    </w:rPr>
                  </w:pPr>
                </w:p>
              </w:tc>
              <w:tc>
                <w:tcPr>
                  <w:tcW w:w="3131" w:type="dxa"/>
                  <w:vAlign w:val="center"/>
                </w:tcPr>
                <w:p>
                  <w:pPr>
                    <w:suppressAutoHyphens/>
                    <w:snapToGrid w:val="0"/>
                    <w:spacing w:line="240" w:lineRule="auto"/>
                    <w:ind w:firstLine="0" w:firstLineChars="0"/>
                    <w:rPr>
                      <w:sz w:val="21"/>
                      <w:szCs w:val="21"/>
                    </w:rPr>
                  </w:pPr>
                  <w:r>
                    <w:rPr>
                      <w:rFonts w:hint="eastAsia"/>
                      <w:sz w:val="21"/>
                      <w:szCs w:val="21"/>
                    </w:rPr>
                    <w:t>6.优化城</w:t>
                  </w:r>
                  <w:r>
                    <w:rPr>
                      <w:sz w:val="21"/>
                      <w:szCs w:val="21"/>
                    </w:rPr>
                    <w:t>镇功能布局，开发活动限制在资源环境承载能力之内。科学确定城镇开发强度，提高城镇土地利用效率、建成区人口密度，划定城镇开发边界，从严供给城市建设用地，推动城镇化发展由外延扩张式向内涵提升式转变。精心维护自然山水和城乡人居环境，凸显历史文化底蕴，充分塑造和着力体现重庆的山水自然人文特色。</w:t>
                  </w:r>
                </w:p>
              </w:tc>
              <w:tc>
                <w:tcPr>
                  <w:tcW w:w="2223" w:type="dxa"/>
                  <w:vAlign w:val="center"/>
                </w:tcPr>
                <w:p>
                  <w:pPr>
                    <w:suppressAutoHyphens/>
                    <w:snapToGrid w:val="0"/>
                    <w:spacing w:line="240" w:lineRule="auto"/>
                    <w:ind w:firstLine="0" w:firstLineChars="0"/>
                    <w:rPr>
                      <w:sz w:val="21"/>
                      <w:szCs w:val="21"/>
                    </w:rPr>
                  </w:pPr>
                  <w:r>
                    <w:rPr>
                      <w:sz w:val="21"/>
                      <w:szCs w:val="21"/>
                    </w:rPr>
                    <w:t>本项目</w:t>
                  </w:r>
                  <w:r>
                    <w:rPr>
                      <w:rFonts w:hint="eastAsia"/>
                      <w:sz w:val="21"/>
                      <w:szCs w:val="21"/>
                    </w:rPr>
                    <w:t>不涉及。</w:t>
                  </w:r>
                </w:p>
              </w:tc>
              <w:tc>
                <w:tcPr>
                  <w:tcW w:w="851" w:type="dxa"/>
                  <w:vAlign w:val="center"/>
                </w:tcPr>
                <w:p>
                  <w:pPr>
                    <w:suppressAutoHyphens/>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continue"/>
                </w:tcPr>
                <w:p>
                  <w:pPr>
                    <w:pStyle w:val="47"/>
                    <w:rPr>
                      <w:rFonts w:ascii="Times New Roman" w:cs="Times New Roman"/>
                      <w:color w:val="auto"/>
                      <w:sz w:val="21"/>
                      <w:szCs w:val="21"/>
                    </w:rPr>
                  </w:pPr>
                </w:p>
              </w:tc>
              <w:tc>
                <w:tcPr>
                  <w:tcW w:w="971" w:type="dxa"/>
                  <w:vMerge w:val="restart"/>
                  <w:vAlign w:val="center"/>
                </w:tcPr>
                <w:p>
                  <w:pPr>
                    <w:suppressAutoHyphens/>
                    <w:snapToGrid w:val="0"/>
                    <w:spacing w:line="240" w:lineRule="auto"/>
                    <w:ind w:firstLine="0" w:firstLineChars="0"/>
                    <w:rPr>
                      <w:sz w:val="21"/>
                      <w:szCs w:val="21"/>
                    </w:rPr>
                  </w:pPr>
                  <w:r>
                    <w:rPr>
                      <w:sz w:val="21"/>
                      <w:szCs w:val="21"/>
                    </w:rPr>
                    <w:t>污染物排放管控</w:t>
                  </w:r>
                </w:p>
              </w:tc>
              <w:tc>
                <w:tcPr>
                  <w:tcW w:w="3131" w:type="dxa"/>
                  <w:vAlign w:val="center"/>
                </w:tcPr>
                <w:p>
                  <w:pPr>
                    <w:suppressAutoHyphens/>
                    <w:snapToGrid w:val="0"/>
                    <w:spacing w:line="240" w:lineRule="auto"/>
                    <w:ind w:firstLine="0" w:firstLineChars="0"/>
                    <w:rPr>
                      <w:sz w:val="21"/>
                      <w:szCs w:val="21"/>
                    </w:rPr>
                  </w:pPr>
                  <w:r>
                    <w:rPr>
                      <w:sz w:val="21"/>
                      <w:szCs w:val="21"/>
                    </w:rPr>
                    <w:t>1.未达到国家环境质量标准的重点区域、流域的有关地方人民政府，应当制定限期达标规划，并采取措施按期达标。</w:t>
                  </w:r>
                </w:p>
              </w:tc>
              <w:tc>
                <w:tcPr>
                  <w:tcW w:w="2223" w:type="dxa"/>
                  <w:vAlign w:val="center"/>
                </w:tcPr>
                <w:p>
                  <w:pPr>
                    <w:suppressAutoHyphens/>
                    <w:snapToGrid w:val="0"/>
                    <w:spacing w:line="240" w:lineRule="auto"/>
                    <w:ind w:firstLine="0" w:firstLineChars="0"/>
                    <w:rPr>
                      <w:sz w:val="21"/>
                      <w:szCs w:val="21"/>
                    </w:rPr>
                  </w:pPr>
                  <w:r>
                    <w:rPr>
                      <w:rFonts w:hint="eastAsia"/>
                      <w:sz w:val="21"/>
                      <w:szCs w:val="21"/>
                    </w:rPr>
                    <w:t>合川</w:t>
                  </w:r>
                  <w:r>
                    <w:rPr>
                      <w:sz w:val="21"/>
                      <w:szCs w:val="21"/>
                    </w:rPr>
                    <w:t>区为环境空气</w:t>
                  </w:r>
                  <w:r>
                    <w:rPr>
                      <w:rFonts w:hint="eastAsia"/>
                      <w:sz w:val="21"/>
                      <w:szCs w:val="21"/>
                    </w:rPr>
                    <w:t>不达标</w:t>
                  </w:r>
                  <w:r>
                    <w:rPr>
                      <w:sz w:val="21"/>
                      <w:szCs w:val="21"/>
                    </w:rPr>
                    <w:t>区，</w:t>
                  </w:r>
                  <w:r>
                    <w:rPr>
                      <w:rFonts w:hint="eastAsia"/>
                      <w:sz w:val="21"/>
                      <w:szCs w:val="21"/>
                    </w:rPr>
                    <w:t>合川区</w:t>
                  </w:r>
                  <w:r>
                    <w:rPr>
                      <w:sz w:val="21"/>
                      <w:szCs w:val="21"/>
                    </w:rPr>
                    <w:t>人民政府</w:t>
                  </w:r>
                  <w:r>
                    <w:rPr>
                      <w:rFonts w:hint="eastAsia"/>
                      <w:sz w:val="21"/>
                      <w:szCs w:val="21"/>
                    </w:rPr>
                    <w:t>制定</w:t>
                  </w:r>
                  <w:r>
                    <w:rPr>
                      <w:sz w:val="21"/>
                      <w:szCs w:val="21"/>
                    </w:rPr>
                    <w:t>有限期达标规划</w:t>
                  </w:r>
                  <w:r>
                    <w:rPr>
                      <w:rFonts w:hint="eastAsia"/>
                      <w:sz w:val="21"/>
                      <w:szCs w:val="21"/>
                    </w:rPr>
                    <w:t>。</w:t>
                  </w:r>
                </w:p>
              </w:tc>
              <w:tc>
                <w:tcPr>
                  <w:tcW w:w="851" w:type="dxa"/>
                  <w:vAlign w:val="center"/>
                </w:tcPr>
                <w:p>
                  <w:pPr>
                    <w:suppressAutoHyphens/>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continue"/>
                </w:tcPr>
                <w:p>
                  <w:pPr>
                    <w:pStyle w:val="47"/>
                    <w:rPr>
                      <w:rFonts w:ascii="Times New Roman" w:cs="Times New Roman"/>
                      <w:color w:val="auto"/>
                      <w:sz w:val="21"/>
                      <w:szCs w:val="21"/>
                    </w:rPr>
                  </w:pPr>
                </w:p>
              </w:tc>
              <w:tc>
                <w:tcPr>
                  <w:tcW w:w="971" w:type="dxa"/>
                  <w:vMerge w:val="continue"/>
                  <w:vAlign w:val="center"/>
                </w:tcPr>
                <w:p>
                  <w:pPr>
                    <w:suppressAutoHyphens/>
                    <w:snapToGrid w:val="0"/>
                    <w:spacing w:line="240" w:lineRule="auto"/>
                    <w:ind w:firstLine="0" w:firstLineChars="0"/>
                    <w:rPr>
                      <w:sz w:val="21"/>
                      <w:szCs w:val="21"/>
                    </w:rPr>
                  </w:pPr>
                </w:p>
              </w:tc>
              <w:tc>
                <w:tcPr>
                  <w:tcW w:w="3131" w:type="dxa"/>
                  <w:vAlign w:val="center"/>
                </w:tcPr>
                <w:p>
                  <w:pPr>
                    <w:suppressAutoHyphens/>
                    <w:snapToGrid w:val="0"/>
                    <w:spacing w:line="240" w:lineRule="auto"/>
                    <w:ind w:firstLine="0" w:firstLineChars="0"/>
                    <w:rPr>
                      <w:sz w:val="21"/>
                      <w:szCs w:val="21"/>
                    </w:rPr>
                  </w:pPr>
                  <w:r>
                    <w:rPr>
                      <w:sz w:val="21"/>
                      <w:szCs w:val="21"/>
                    </w:rPr>
                    <w:t>2.巩固“十一小”（不符合国家产业政策的小型造纸、制革、印染、染料、炼焦、炼硫、炼砷、炼油、电镀、农药、涉磷生产和使用等企业）取缔成果，防止死灰复燃。巩固“十一大”（造纸、焦化、氮肥、有色金属、印染、农副产品及食品加工、原料药制造(生化制药)、制革、农药、电镀以及涉磷产品等）企业污染整治成果</w:t>
                  </w:r>
                  <w:r>
                    <w:rPr>
                      <w:rFonts w:hint="eastAsia"/>
                      <w:sz w:val="21"/>
                      <w:szCs w:val="21"/>
                    </w:rPr>
                    <w:t>。</w:t>
                  </w:r>
                </w:p>
              </w:tc>
              <w:tc>
                <w:tcPr>
                  <w:tcW w:w="2223" w:type="dxa"/>
                  <w:vAlign w:val="center"/>
                </w:tcPr>
                <w:p>
                  <w:pPr>
                    <w:suppressAutoHyphens/>
                    <w:snapToGrid w:val="0"/>
                    <w:spacing w:line="240" w:lineRule="auto"/>
                    <w:ind w:firstLine="0" w:firstLineChars="0"/>
                    <w:rPr>
                      <w:sz w:val="21"/>
                      <w:szCs w:val="21"/>
                    </w:rPr>
                  </w:pPr>
                  <w:r>
                    <w:rPr>
                      <w:sz w:val="21"/>
                      <w:szCs w:val="21"/>
                    </w:rPr>
                    <w:t>本项目</w:t>
                  </w:r>
                  <w:r>
                    <w:rPr>
                      <w:rFonts w:hint="eastAsia"/>
                      <w:sz w:val="21"/>
                      <w:szCs w:val="21"/>
                    </w:rPr>
                    <w:t>为</w:t>
                  </w:r>
                  <w:r>
                    <w:rPr>
                      <w:sz w:val="21"/>
                      <w:szCs w:val="21"/>
                    </w:rPr>
                    <w:t>豆制品和淀粉制品类生产项目</w:t>
                  </w:r>
                  <w:r>
                    <w:rPr>
                      <w:rFonts w:hint="eastAsia"/>
                      <w:sz w:val="21"/>
                      <w:szCs w:val="21"/>
                    </w:rPr>
                    <w:t>，</w:t>
                  </w:r>
                  <w:r>
                    <w:rPr>
                      <w:sz w:val="21"/>
                      <w:szCs w:val="21"/>
                    </w:rPr>
                    <w:t>不属于</w:t>
                  </w:r>
                  <w:r>
                    <w:rPr>
                      <w:rFonts w:hint="eastAsia"/>
                      <w:sz w:val="21"/>
                      <w:szCs w:val="21"/>
                    </w:rPr>
                    <w:t>“</w:t>
                  </w:r>
                  <w:r>
                    <w:rPr>
                      <w:sz w:val="21"/>
                      <w:szCs w:val="21"/>
                    </w:rPr>
                    <w:t>十一小</w:t>
                  </w:r>
                  <w:r>
                    <w:rPr>
                      <w:rFonts w:hint="eastAsia"/>
                      <w:sz w:val="21"/>
                      <w:szCs w:val="21"/>
                    </w:rPr>
                    <w:t>”</w:t>
                  </w:r>
                  <w:r>
                    <w:rPr>
                      <w:sz w:val="21"/>
                      <w:szCs w:val="21"/>
                    </w:rPr>
                    <w:t>企业</w:t>
                  </w:r>
                  <w:r>
                    <w:rPr>
                      <w:rFonts w:hint="eastAsia"/>
                      <w:sz w:val="21"/>
                      <w:szCs w:val="21"/>
                    </w:rPr>
                    <w:t>，项目生产废水进行预处理达标后排入厂区污水处理站。</w:t>
                  </w:r>
                </w:p>
              </w:tc>
              <w:tc>
                <w:tcPr>
                  <w:tcW w:w="851" w:type="dxa"/>
                  <w:vAlign w:val="center"/>
                </w:tcPr>
                <w:p>
                  <w:pPr>
                    <w:suppressAutoHyphens/>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64" w:type="dxa"/>
                  <w:vMerge w:val="continue"/>
                </w:tcPr>
                <w:p>
                  <w:pPr>
                    <w:pStyle w:val="47"/>
                    <w:rPr>
                      <w:rFonts w:ascii="Times New Roman" w:cs="Times New Roman"/>
                      <w:color w:val="auto"/>
                      <w:sz w:val="21"/>
                      <w:szCs w:val="21"/>
                    </w:rPr>
                  </w:pPr>
                </w:p>
              </w:tc>
              <w:tc>
                <w:tcPr>
                  <w:tcW w:w="971" w:type="dxa"/>
                  <w:vMerge w:val="continue"/>
                  <w:vAlign w:val="center"/>
                </w:tcPr>
                <w:p>
                  <w:pPr>
                    <w:suppressAutoHyphens/>
                    <w:snapToGrid w:val="0"/>
                    <w:spacing w:line="240" w:lineRule="auto"/>
                    <w:ind w:firstLine="0" w:firstLineChars="0"/>
                    <w:rPr>
                      <w:sz w:val="21"/>
                      <w:szCs w:val="21"/>
                    </w:rPr>
                  </w:pPr>
                </w:p>
              </w:tc>
              <w:tc>
                <w:tcPr>
                  <w:tcW w:w="3131" w:type="dxa"/>
                  <w:vAlign w:val="center"/>
                </w:tcPr>
                <w:p>
                  <w:pPr>
                    <w:suppressAutoHyphens/>
                    <w:snapToGrid w:val="0"/>
                    <w:spacing w:line="240" w:lineRule="auto"/>
                    <w:ind w:firstLine="0" w:firstLineChars="0"/>
                    <w:rPr>
                      <w:sz w:val="21"/>
                      <w:szCs w:val="21"/>
                    </w:rPr>
                  </w:pPr>
                  <w:r>
                    <w:rPr>
                      <w:sz w:val="21"/>
                      <w:szCs w:val="21"/>
                    </w:rPr>
                    <w:t>3.城区及江津区、合川区、璧山区、铜梁区二氧化硫、氮氧化物、颗粒物、挥发性有机物严格执行大气污染物特别排放限值，并逐步将执行范围扩大到重点控制区重点行业</w:t>
                  </w:r>
                  <w:r>
                    <w:rPr>
                      <w:rFonts w:hint="eastAsia"/>
                      <w:sz w:val="21"/>
                      <w:szCs w:val="21"/>
                    </w:rPr>
                    <w:t>。</w:t>
                  </w:r>
                </w:p>
              </w:tc>
              <w:tc>
                <w:tcPr>
                  <w:tcW w:w="2223" w:type="dxa"/>
                  <w:vAlign w:val="center"/>
                </w:tcPr>
                <w:p>
                  <w:pPr>
                    <w:suppressAutoHyphens/>
                    <w:snapToGrid w:val="0"/>
                    <w:spacing w:line="240" w:lineRule="auto"/>
                    <w:ind w:firstLine="0" w:firstLineChars="0"/>
                    <w:rPr>
                      <w:sz w:val="21"/>
                      <w:szCs w:val="21"/>
                    </w:rPr>
                  </w:pPr>
                  <w:r>
                    <w:rPr>
                      <w:sz w:val="21"/>
                      <w:szCs w:val="21"/>
                    </w:rPr>
                    <w:t>本项目</w:t>
                  </w:r>
                  <w:r>
                    <w:rPr>
                      <w:rFonts w:hint="eastAsia"/>
                      <w:sz w:val="21"/>
                      <w:szCs w:val="21"/>
                    </w:rPr>
                    <w:t>不涉及</w:t>
                  </w:r>
                  <w:r>
                    <w:rPr>
                      <w:sz w:val="21"/>
                      <w:szCs w:val="21"/>
                    </w:rPr>
                    <w:t>二氧化硫、氮氧化物、颗粒物、挥发性有机物</w:t>
                  </w:r>
                  <w:r>
                    <w:rPr>
                      <w:rFonts w:hint="eastAsia"/>
                      <w:sz w:val="21"/>
                      <w:szCs w:val="21"/>
                    </w:rPr>
                    <w:t>的</w:t>
                  </w:r>
                  <w:r>
                    <w:rPr>
                      <w:sz w:val="21"/>
                      <w:szCs w:val="21"/>
                    </w:rPr>
                    <w:t>排放。</w:t>
                  </w:r>
                </w:p>
              </w:tc>
              <w:tc>
                <w:tcPr>
                  <w:tcW w:w="851" w:type="dxa"/>
                  <w:vAlign w:val="center"/>
                </w:tcPr>
                <w:p>
                  <w:pPr>
                    <w:suppressAutoHyphens/>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continue"/>
                </w:tcPr>
                <w:p>
                  <w:pPr>
                    <w:pStyle w:val="47"/>
                    <w:rPr>
                      <w:rFonts w:ascii="Times New Roman" w:cs="Times New Roman"/>
                      <w:color w:val="auto"/>
                      <w:sz w:val="21"/>
                      <w:szCs w:val="21"/>
                    </w:rPr>
                  </w:pPr>
                </w:p>
              </w:tc>
              <w:tc>
                <w:tcPr>
                  <w:tcW w:w="971" w:type="dxa"/>
                  <w:vMerge w:val="continue"/>
                  <w:vAlign w:val="center"/>
                </w:tcPr>
                <w:p>
                  <w:pPr>
                    <w:suppressAutoHyphens/>
                    <w:snapToGrid w:val="0"/>
                    <w:spacing w:line="240" w:lineRule="auto"/>
                    <w:ind w:firstLine="0" w:firstLineChars="0"/>
                    <w:rPr>
                      <w:sz w:val="21"/>
                      <w:szCs w:val="21"/>
                    </w:rPr>
                  </w:pPr>
                </w:p>
              </w:tc>
              <w:tc>
                <w:tcPr>
                  <w:tcW w:w="3131" w:type="dxa"/>
                  <w:vAlign w:val="center"/>
                </w:tcPr>
                <w:p>
                  <w:pPr>
                    <w:suppressAutoHyphens/>
                    <w:snapToGrid w:val="0"/>
                    <w:spacing w:line="240" w:lineRule="auto"/>
                    <w:ind w:firstLine="0" w:firstLineChars="0"/>
                    <w:rPr>
                      <w:sz w:val="21"/>
                      <w:szCs w:val="21"/>
                    </w:rPr>
                  </w:pPr>
                  <w:r>
                    <w:rPr>
                      <w:sz w:val="21"/>
                      <w:szCs w:val="21"/>
                    </w:rPr>
                    <w:t>4.新建</w:t>
                  </w:r>
                  <w:r>
                    <w:rPr>
                      <w:rFonts w:hint="eastAsia"/>
                      <w:sz w:val="21"/>
                      <w:szCs w:val="21"/>
                    </w:rPr>
                    <w:t>、</w:t>
                  </w:r>
                  <w:r>
                    <w:rPr>
                      <w:sz w:val="21"/>
                      <w:szCs w:val="21"/>
                    </w:rPr>
                    <w:t>改建、扩建涉VOCs排放的项目，加强源头控制，使用低（无）VOCs含量的原辅料</w:t>
                  </w:r>
                  <w:r>
                    <w:rPr>
                      <w:rFonts w:hint="eastAsia"/>
                      <w:sz w:val="21"/>
                      <w:szCs w:val="21"/>
                    </w:rPr>
                    <w:t>，</w:t>
                  </w:r>
                  <w:r>
                    <w:rPr>
                      <w:sz w:val="21"/>
                      <w:szCs w:val="21"/>
                    </w:rPr>
                    <w:t>加强废气收集，安装高效治理设施。有条件的工业集聚区建设集中喷涂中心，配备高效治污设施，替代企业独立喷涂工序</w:t>
                  </w:r>
                  <w:r>
                    <w:rPr>
                      <w:rFonts w:hint="eastAsia"/>
                      <w:sz w:val="21"/>
                      <w:szCs w:val="21"/>
                    </w:rPr>
                    <w:t>。</w:t>
                  </w:r>
                </w:p>
              </w:tc>
              <w:tc>
                <w:tcPr>
                  <w:tcW w:w="2223" w:type="dxa"/>
                  <w:vAlign w:val="center"/>
                </w:tcPr>
                <w:p>
                  <w:pPr>
                    <w:suppressAutoHyphens/>
                    <w:snapToGrid w:val="0"/>
                    <w:spacing w:line="240" w:lineRule="auto"/>
                    <w:ind w:firstLine="0" w:firstLineChars="0"/>
                    <w:rPr>
                      <w:sz w:val="21"/>
                      <w:szCs w:val="21"/>
                    </w:rPr>
                  </w:pPr>
                  <w:r>
                    <w:rPr>
                      <w:rFonts w:hint="eastAsia"/>
                      <w:sz w:val="21"/>
                      <w:szCs w:val="21"/>
                    </w:rPr>
                    <w:t>本</w:t>
                  </w:r>
                  <w:r>
                    <w:rPr>
                      <w:sz w:val="21"/>
                      <w:szCs w:val="21"/>
                    </w:rPr>
                    <w:t>项目</w:t>
                  </w:r>
                  <w:r>
                    <w:rPr>
                      <w:rFonts w:hint="eastAsia"/>
                      <w:sz w:val="21"/>
                      <w:szCs w:val="21"/>
                    </w:rPr>
                    <w:t>不涉及VOCs的排放。</w:t>
                  </w:r>
                </w:p>
              </w:tc>
              <w:tc>
                <w:tcPr>
                  <w:tcW w:w="851" w:type="dxa"/>
                  <w:vAlign w:val="center"/>
                </w:tcPr>
                <w:p>
                  <w:pPr>
                    <w:suppressAutoHyphens/>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33" w:hRule="atLeast"/>
              </w:trPr>
              <w:tc>
                <w:tcPr>
                  <w:tcW w:w="964" w:type="dxa"/>
                  <w:vMerge w:val="continue"/>
                </w:tcPr>
                <w:p>
                  <w:pPr>
                    <w:pStyle w:val="47"/>
                    <w:rPr>
                      <w:rFonts w:ascii="Times New Roman" w:cs="Times New Roman"/>
                      <w:color w:val="auto"/>
                      <w:sz w:val="21"/>
                      <w:szCs w:val="21"/>
                    </w:rPr>
                  </w:pPr>
                </w:p>
              </w:tc>
              <w:tc>
                <w:tcPr>
                  <w:tcW w:w="971" w:type="dxa"/>
                  <w:vMerge w:val="continue"/>
                  <w:vAlign w:val="center"/>
                </w:tcPr>
                <w:p>
                  <w:pPr>
                    <w:suppressAutoHyphens/>
                    <w:snapToGrid w:val="0"/>
                    <w:spacing w:line="240" w:lineRule="auto"/>
                    <w:ind w:firstLine="0" w:firstLineChars="0"/>
                    <w:rPr>
                      <w:sz w:val="21"/>
                      <w:szCs w:val="21"/>
                    </w:rPr>
                  </w:pPr>
                </w:p>
              </w:tc>
              <w:tc>
                <w:tcPr>
                  <w:tcW w:w="3131" w:type="dxa"/>
                  <w:vAlign w:val="center"/>
                </w:tcPr>
                <w:p>
                  <w:pPr>
                    <w:suppressAutoHyphens/>
                    <w:snapToGrid w:val="0"/>
                    <w:spacing w:line="240" w:lineRule="auto"/>
                    <w:ind w:firstLine="0" w:firstLineChars="0"/>
                    <w:rPr>
                      <w:sz w:val="21"/>
                      <w:szCs w:val="21"/>
                    </w:rPr>
                  </w:pPr>
                  <w:r>
                    <w:rPr>
                      <w:sz w:val="21"/>
                      <w:szCs w:val="21"/>
                    </w:rPr>
                    <w:t>5.集中治理工业集聚区水污染，新建、升级工业集聚区应同步规划建设污水集中处理设施并安装自动在线监控装置。组织评估依托城镇生活污水处理设施处理园区工业废水对出水的影响，导致出水不能稳定达标的，要限期退出城镇污水处理设施并另行专门处理。</w:t>
                  </w:r>
                </w:p>
              </w:tc>
              <w:tc>
                <w:tcPr>
                  <w:tcW w:w="2223" w:type="dxa"/>
                  <w:vAlign w:val="center"/>
                </w:tcPr>
                <w:p>
                  <w:pPr>
                    <w:suppressAutoHyphens/>
                    <w:snapToGrid w:val="0"/>
                    <w:spacing w:line="240" w:lineRule="auto"/>
                    <w:ind w:firstLine="0" w:firstLineChars="0"/>
                    <w:rPr>
                      <w:sz w:val="21"/>
                      <w:szCs w:val="21"/>
                    </w:rPr>
                  </w:pPr>
                  <w:r>
                    <w:rPr>
                      <w:sz w:val="21"/>
                      <w:szCs w:val="21"/>
                    </w:rPr>
                    <w:t>本项目</w:t>
                  </w:r>
                  <w:r>
                    <w:rPr>
                      <w:rFonts w:hint="eastAsia"/>
                      <w:sz w:val="21"/>
                      <w:szCs w:val="21"/>
                    </w:rPr>
                    <w:t>生活污水和</w:t>
                  </w:r>
                  <w:r>
                    <w:rPr>
                      <w:sz w:val="21"/>
                      <w:szCs w:val="21"/>
                    </w:rPr>
                    <w:t>生产废水经污水处理站处理达标后外排至</w:t>
                  </w:r>
                  <w:r>
                    <w:rPr>
                      <w:rFonts w:hint="eastAsia"/>
                      <w:sz w:val="21"/>
                      <w:szCs w:val="21"/>
                    </w:rPr>
                    <w:t>南溪A</w:t>
                  </w:r>
                  <w:r>
                    <w:rPr>
                      <w:sz w:val="21"/>
                      <w:szCs w:val="21"/>
                    </w:rPr>
                    <w:t>区园区污水处理厂处理。</w:t>
                  </w:r>
                </w:p>
              </w:tc>
              <w:tc>
                <w:tcPr>
                  <w:tcW w:w="851" w:type="dxa"/>
                  <w:vAlign w:val="center"/>
                </w:tcPr>
                <w:p>
                  <w:pPr>
                    <w:suppressAutoHyphens/>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continue"/>
                </w:tcPr>
                <w:p>
                  <w:pPr>
                    <w:pStyle w:val="47"/>
                    <w:rPr>
                      <w:rFonts w:ascii="Times New Roman" w:cs="Times New Roman"/>
                      <w:color w:val="auto"/>
                      <w:sz w:val="21"/>
                      <w:szCs w:val="21"/>
                    </w:rPr>
                  </w:pPr>
                </w:p>
              </w:tc>
              <w:tc>
                <w:tcPr>
                  <w:tcW w:w="971" w:type="dxa"/>
                  <w:vMerge w:val="restart"/>
                  <w:vAlign w:val="center"/>
                </w:tcPr>
                <w:p>
                  <w:pPr>
                    <w:suppressAutoHyphens/>
                    <w:snapToGrid w:val="0"/>
                    <w:spacing w:line="240" w:lineRule="auto"/>
                    <w:ind w:firstLine="0" w:firstLineChars="0"/>
                    <w:rPr>
                      <w:sz w:val="21"/>
                      <w:szCs w:val="21"/>
                    </w:rPr>
                  </w:pPr>
                  <w:r>
                    <w:rPr>
                      <w:sz w:val="21"/>
                      <w:szCs w:val="21"/>
                    </w:rPr>
                    <w:t>环境风险防控</w:t>
                  </w:r>
                </w:p>
              </w:tc>
              <w:tc>
                <w:tcPr>
                  <w:tcW w:w="3131" w:type="dxa"/>
                  <w:vAlign w:val="center"/>
                </w:tcPr>
                <w:p>
                  <w:pPr>
                    <w:suppressAutoHyphens/>
                    <w:snapToGrid w:val="0"/>
                    <w:spacing w:line="240" w:lineRule="auto"/>
                    <w:ind w:firstLine="0" w:firstLineChars="0"/>
                    <w:rPr>
                      <w:sz w:val="21"/>
                      <w:szCs w:val="21"/>
                    </w:rPr>
                  </w:pPr>
                  <w:r>
                    <w:rPr>
                      <w:sz w:val="21"/>
                      <w:szCs w:val="21"/>
                    </w:rPr>
                    <w:t>1.健全风险防范体系</w:t>
                  </w:r>
                  <w:r>
                    <w:rPr>
                      <w:rFonts w:hint="eastAsia"/>
                      <w:sz w:val="21"/>
                      <w:szCs w:val="21"/>
                    </w:rPr>
                    <w:t>，</w:t>
                  </w:r>
                  <w:r>
                    <w:rPr>
                      <w:sz w:val="21"/>
                      <w:szCs w:val="21"/>
                    </w:rPr>
                    <w:t>制定环境风险防范协调联动工作机制。开展涉及化工生产的工业园区突发环境事件风险评估。长江三峡库区干流流域、城市集中式饮用水源、涉及化工生产的化工园区等按要求开展突发环境事件风险评估。</w:t>
                  </w:r>
                </w:p>
              </w:tc>
              <w:tc>
                <w:tcPr>
                  <w:tcW w:w="2223" w:type="dxa"/>
                  <w:vAlign w:val="center"/>
                </w:tcPr>
                <w:p>
                  <w:pPr>
                    <w:suppressAutoHyphens/>
                    <w:snapToGrid w:val="0"/>
                    <w:spacing w:line="240" w:lineRule="auto"/>
                    <w:ind w:firstLine="0" w:firstLineChars="0"/>
                    <w:rPr>
                      <w:sz w:val="21"/>
                      <w:szCs w:val="21"/>
                    </w:rPr>
                  </w:pPr>
                  <w:r>
                    <w:rPr>
                      <w:rFonts w:hint="eastAsia"/>
                      <w:sz w:val="21"/>
                      <w:szCs w:val="21"/>
                    </w:rPr>
                    <w:t>本项目不涉及。</w:t>
                  </w:r>
                </w:p>
              </w:tc>
              <w:tc>
                <w:tcPr>
                  <w:tcW w:w="851" w:type="dxa"/>
                  <w:vAlign w:val="center"/>
                </w:tcPr>
                <w:p>
                  <w:pPr>
                    <w:suppressAutoHyphens/>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continue"/>
                </w:tcPr>
                <w:p>
                  <w:pPr>
                    <w:pStyle w:val="47"/>
                    <w:rPr>
                      <w:rFonts w:ascii="Times New Roman" w:cs="Times New Roman"/>
                      <w:color w:val="auto"/>
                      <w:sz w:val="21"/>
                      <w:szCs w:val="21"/>
                    </w:rPr>
                  </w:pPr>
                </w:p>
              </w:tc>
              <w:tc>
                <w:tcPr>
                  <w:tcW w:w="971" w:type="dxa"/>
                  <w:vMerge w:val="continue"/>
                  <w:vAlign w:val="center"/>
                </w:tcPr>
                <w:p>
                  <w:pPr>
                    <w:suppressAutoHyphens/>
                    <w:snapToGrid w:val="0"/>
                    <w:ind w:firstLine="480"/>
                    <w:jc w:val="center"/>
                    <w:rPr>
                      <w:szCs w:val="21"/>
                      <w:lang w:bidi="ar"/>
                    </w:rPr>
                  </w:pPr>
                </w:p>
              </w:tc>
              <w:tc>
                <w:tcPr>
                  <w:tcW w:w="3131" w:type="dxa"/>
                  <w:vAlign w:val="center"/>
                </w:tcPr>
                <w:p>
                  <w:pPr>
                    <w:suppressAutoHyphens/>
                    <w:snapToGrid w:val="0"/>
                    <w:spacing w:line="240" w:lineRule="auto"/>
                    <w:ind w:firstLine="0" w:firstLineChars="0"/>
                    <w:rPr>
                      <w:sz w:val="21"/>
                      <w:szCs w:val="21"/>
                    </w:rPr>
                  </w:pPr>
                  <w:r>
                    <w:rPr>
                      <w:sz w:val="21"/>
                      <w:szCs w:val="21"/>
                    </w:rPr>
                    <w:t>2.禁止建设存在重大环境安全隐患的工业项目。严禁工艺技术落后、环境风险高的化工企业向我市转移。</w:t>
                  </w:r>
                </w:p>
              </w:tc>
              <w:tc>
                <w:tcPr>
                  <w:tcW w:w="2223" w:type="dxa"/>
                  <w:vAlign w:val="center"/>
                </w:tcPr>
                <w:p>
                  <w:pPr>
                    <w:suppressAutoHyphens/>
                    <w:snapToGrid w:val="0"/>
                    <w:spacing w:line="240" w:lineRule="auto"/>
                    <w:ind w:firstLine="0" w:firstLineChars="0"/>
                    <w:rPr>
                      <w:sz w:val="21"/>
                      <w:szCs w:val="21"/>
                    </w:rPr>
                  </w:pPr>
                  <w:r>
                    <w:rPr>
                      <w:sz w:val="21"/>
                      <w:szCs w:val="21"/>
                    </w:rPr>
                    <w:t>本项目不属于存在重大环境安全隐患的工业项目。</w:t>
                  </w:r>
                </w:p>
              </w:tc>
              <w:tc>
                <w:tcPr>
                  <w:tcW w:w="851" w:type="dxa"/>
                  <w:vAlign w:val="center"/>
                </w:tcPr>
                <w:p>
                  <w:pPr>
                    <w:suppressAutoHyphens/>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continue"/>
                </w:tcPr>
                <w:p>
                  <w:pPr>
                    <w:pStyle w:val="47"/>
                    <w:rPr>
                      <w:rFonts w:ascii="Times New Roman" w:cs="Times New Roman"/>
                      <w:color w:val="auto"/>
                      <w:sz w:val="21"/>
                      <w:szCs w:val="21"/>
                    </w:rPr>
                  </w:pPr>
                </w:p>
              </w:tc>
              <w:tc>
                <w:tcPr>
                  <w:tcW w:w="971" w:type="dxa"/>
                  <w:vMerge w:val="restart"/>
                  <w:vAlign w:val="center"/>
                </w:tcPr>
                <w:p>
                  <w:pPr>
                    <w:suppressAutoHyphens/>
                    <w:snapToGrid w:val="0"/>
                    <w:spacing w:line="240" w:lineRule="auto"/>
                    <w:ind w:firstLine="0" w:firstLineChars="0"/>
                    <w:rPr>
                      <w:sz w:val="21"/>
                      <w:szCs w:val="21"/>
                    </w:rPr>
                  </w:pPr>
                  <w:r>
                    <w:rPr>
                      <w:sz w:val="21"/>
                      <w:szCs w:val="21"/>
                    </w:rPr>
                    <w:t>资源开发效率要求</w:t>
                  </w:r>
                </w:p>
              </w:tc>
              <w:tc>
                <w:tcPr>
                  <w:tcW w:w="3131" w:type="dxa"/>
                  <w:vAlign w:val="center"/>
                </w:tcPr>
                <w:p>
                  <w:pPr>
                    <w:suppressAutoHyphens/>
                    <w:snapToGrid w:val="0"/>
                    <w:spacing w:line="240" w:lineRule="auto"/>
                    <w:ind w:firstLine="0" w:firstLineChars="0"/>
                    <w:rPr>
                      <w:sz w:val="21"/>
                      <w:szCs w:val="21"/>
                    </w:rPr>
                  </w:pPr>
                  <w:r>
                    <w:rPr>
                      <w:sz w:val="21"/>
                      <w:szCs w:val="21"/>
                    </w:rPr>
                    <w:t>1.加强资源节约集约利用</w:t>
                  </w:r>
                  <w:r>
                    <w:rPr>
                      <w:rFonts w:hint="eastAsia"/>
                      <w:sz w:val="21"/>
                      <w:szCs w:val="21"/>
                    </w:rPr>
                    <w:t>。</w:t>
                  </w:r>
                  <w:r>
                    <w:rPr>
                      <w:sz w:val="21"/>
                      <w:szCs w:val="21"/>
                    </w:rPr>
                    <w:t>实行能源、水资源、建设用地总量和强度双控行动，推进节能、节水、节地、节材等节约自然资源行动，从源头减少污染物排放。</w:t>
                  </w:r>
                </w:p>
              </w:tc>
              <w:tc>
                <w:tcPr>
                  <w:tcW w:w="2223" w:type="dxa"/>
                  <w:vAlign w:val="center"/>
                </w:tcPr>
                <w:p>
                  <w:pPr>
                    <w:suppressAutoHyphens/>
                    <w:snapToGrid w:val="0"/>
                    <w:spacing w:line="240" w:lineRule="auto"/>
                    <w:ind w:firstLine="0" w:firstLineChars="0"/>
                    <w:rPr>
                      <w:sz w:val="21"/>
                      <w:szCs w:val="21"/>
                    </w:rPr>
                  </w:pPr>
                  <w:r>
                    <w:rPr>
                      <w:sz w:val="21"/>
                      <w:szCs w:val="21"/>
                    </w:rPr>
                    <w:t>本项</w:t>
                  </w:r>
                  <w:r>
                    <w:rPr>
                      <w:rFonts w:hint="eastAsia"/>
                      <w:sz w:val="21"/>
                      <w:szCs w:val="21"/>
                    </w:rPr>
                    <w:t>使用厂区提供的蒸汽及电能，蒸汽进入生产环节，减少能源浪费</w:t>
                  </w:r>
                  <w:r>
                    <w:rPr>
                      <w:sz w:val="21"/>
                      <w:szCs w:val="21"/>
                    </w:rPr>
                    <w:t>。</w:t>
                  </w:r>
                </w:p>
              </w:tc>
              <w:tc>
                <w:tcPr>
                  <w:tcW w:w="851" w:type="dxa"/>
                  <w:vAlign w:val="center"/>
                </w:tcPr>
                <w:p>
                  <w:pPr>
                    <w:suppressAutoHyphens/>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continue"/>
                </w:tcPr>
                <w:p>
                  <w:pPr>
                    <w:pStyle w:val="47"/>
                    <w:rPr>
                      <w:rFonts w:ascii="Times New Roman" w:cs="Times New Roman"/>
                      <w:color w:val="auto"/>
                      <w:sz w:val="21"/>
                      <w:szCs w:val="21"/>
                    </w:rPr>
                  </w:pPr>
                </w:p>
              </w:tc>
              <w:tc>
                <w:tcPr>
                  <w:tcW w:w="971" w:type="dxa"/>
                  <w:vMerge w:val="continue"/>
                  <w:vAlign w:val="center"/>
                </w:tcPr>
                <w:p>
                  <w:pPr>
                    <w:suppressAutoHyphens/>
                    <w:snapToGrid w:val="0"/>
                    <w:ind w:firstLine="480"/>
                    <w:jc w:val="center"/>
                    <w:rPr>
                      <w:szCs w:val="21"/>
                    </w:rPr>
                  </w:pPr>
                </w:p>
              </w:tc>
              <w:tc>
                <w:tcPr>
                  <w:tcW w:w="3131" w:type="dxa"/>
                  <w:vAlign w:val="center"/>
                </w:tcPr>
                <w:p>
                  <w:pPr>
                    <w:suppressAutoHyphens/>
                    <w:snapToGrid w:val="0"/>
                    <w:spacing w:line="240" w:lineRule="auto"/>
                    <w:ind w:firstLine="0" w:firstLineChars="0"/>
                    <w:rPr>
                      <w:sz w:val="21"/>
                      <w:szCs w:val="21"/>
                    </w:rPr>
                  </w:pPr>
                  <w:r>
                    <w:rPr>
                      <w:sz w:val="21"/>
                      <w:szCs w:val="21"/>
                    </w:rPr>
                    <w:t>2.在禁燃区内，禁止销售、燃用高污染燃料，禁止新建、改建、扩建任何燃用高污染燃料的项目</w:t>
                  </w:r>
                  <w:r>
                    <w:rPr>
                      <w:rFonts w:hint="eastAsia"/>
                      <w:sz w:val="21"/>
                      <w:szCs w:val="21"/>
                    </w:rPr>
                    <w:t>和</w:t>
                  </w:r>
                  <w:r>
                    <w:rPr>
                      <w:sz w:val="21"/>
                      <w:szCs w:val="21"/>
                    </w:rPr>
                    <w:t>设备，已建成使用高污染燃料的各类设备应当拆除或者改用管道天然气、页岩气、液化石油气、电或者其他清洁能源；在不具备使用清洁能源条件的区域，可使用配备专用锅炉和除尘装置的生物质成型燃料</w:t>
                  </w:r>
                  <w:r>
                    <w:rPr>
                      <w:rFonts w:hint="eastAsia"/>
                      <w:sz w:val="21"/>
                      <w:szCs w:val="21"/>
                    </w:rPr>
                    <w:t>。</w:t>
                  </w:r>
                </w:p>
              </w:tc>
              <w:tc>
                <w:tcPr>
                  <w:tcW w:w="2223" w:type="dxa"/>
                  <w:vAlign w:val="center"/>
                </w:tcPr>
                <w:p>
                  <w:pPr>
                    <w:suppressAutoHyphens/>
                    <w:snapToGrid w:val="0"/>
                    <w:spacing w:line="240" w:lineRule="auto"/>
                    <w:ind w:firstLine="0" w:firstLineChars="0"/>
                    <w:rPr>
                      <w:sz w:val="21"/>
                      <w:szCs w:val="21"/>
                    </w:rPr>
                  </w:pPr>
                  <w:r>
                    <w:rPr>
                      <w:sz w:val="21"/>
                      <w:szCs w:val="21"/>
                    </w:rPr>
                    <w:t>本项目使用</w:t>
                  </w:r>
                  <w:r>
                    <w:rPr>
                      <w:rFonts w:hint="eastAsia"/>
                      <w:sz w:val="21"/>
                      <w:szCs w:val="21"/>
                    </w:rPr>
                    <w:t>蒸汽</w:t>
                  </w:r>
                  <w:r>
                    <w:rPr>
                      <w:sz w:val="21"/>
                      <w:szCs w:val="21"/>
                    </w:rPr>
                    <w:t>及电能，不使用高污染燃料</w:t>
                  </w:r>
                  <w:r>
                    <w:rPr>
                      <w:rFonts w:hint="eastAsia"/>
                      <w:sz w:val="21"/>
                      <w:szCs w:val="21"/>
                    </w:rPr>
                    <w:t>。</w:t>
                  </w:r>
                </w:p>
              </w:tc>
              <w:tc>
                <w:tcPr>
                  <w:tcW w:w="851" w:type="dxa"/>
                  <w:vAlign w:val="center"/>
                </w:tcPr>
                <w:p>
                  <w:pPr>
                    <w:suppressAutoHyphens/>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continue"/>
                </w:tcPr>
                <w:p>
                  <w:pPr>
                    <w:pStyle w:val="47"/>
                    <w:rPr>
                      <w:rFonts w:ascii="Times New Roman" w:cs="Times New Roman"/>
                      <w:color w:val="auto"/>
                      <w:sz w:val="21"/>
                      <w:szCs w:val="21"/>
                    </w:rPr>
                  </w:pPr>
                </w:p>
              </w:tc>
              <w:tc>
                <w:tcPr>
                  <w:tcW w:w="971" w:type="dxa"/>
                  <w:vMerge w:val="continue"/>
                  <w:vAlign w:val="center"/>
                </w:tcPr>
                <w:p>
                  <w:pPr>
                    <w:suppressAutoHyphens/>
                    <w:snapToGrid w:val="0"/>
                    <w:ind w:firstLine="480"/>
                    <w:jc w:val="center"/>
                    <w:rPr>
                      <w:szCs w:val="21"/>
                    </w:rPr>
                  </w:pPr>
                </w:p>
              </w:tc>
              <w:tc>
                <w:tcPr>
                  <w:tcW w:w="3131" w:type="dxa"/>
                  <w:vAlign w:val="center"/>
                </w:tcPr>
                <w:p>
                  <w:pPr>
                    <w:suppressAutoHyphens/>
                    <w:snapToGrid w:val="0"/>
                    <w:spacing w:line="240" w:lineRule="auto"/>
                    <w:ind w:firstLine="0" w:firstLineChars="0"/>
                    <w:rPr>
                      <w:sz w:val="21"/>
                      <w:szCs w:val="21"/>
                    </w:rPr>
                  </w:pPr>
                  <w:r>
                    <w:rPr>
                      <w:sz w:val="21"/>
                      <w:szCs w:val="21"/>
                    </w:rPr>
                    <w:t>3.电力、钢铁、纺织、造纸、石油石化、化工、食品发酵等高耗水行业达到先进定额标准</w:t>
                  </w:r>
                  <w:r>
                    <w:rPr>
                      <w:rFonts w:hint="eastAsia"/>
                      <w:sz w:val="21"/>
                      <w:szCs w:val="21"/>
                    </w:rPr>
                    <w:t>。</w:t>
                  </w:r>
                </w:p>
              </w:tc>
              <w:tc>
                <w:tcPr>
                  <w:tcW w:w="2223" w:type="dxa"/>
                  <w:vAlign w:val="center"/>
                </w:tcPr>
                <w:p>
                  <w:pPr>
                    <w:pStyle w:val="4"/>
                    <w:spacing w:line="240" w:lineRule="auto"/>
                    <w:ind w:firstLine="0" w:firstLineChars="0"/>
                    <w:rPr>
                      <w:b w:val="0"/>
                      <w:bCs w:val="0"/>
                      <w:sz w:val="21"/>
                      <w:szCs w:val="21"/>
                    </w:rPr>
                  </w:pPr>
                  <w:r>
                    <w:rPr>
                      <w:rFonts w:hint="eastAsia"/>
                      <w:b w:val="0"/>
                      <w:bCs w:val="0"/>
                      <w:sz w:val="21"/>
                      <w:szCs w:val="21"/>
                    </w:rPr>
                    <w:t>本项目不属于上列行业。</w:t>
                  </w:r>
                </w:p>
              </w:tc>
              <w:tc>
                <w:tcPr>
                  <w:tcW w:w="851" w:type="dxa"/>
                  <w:vAlign w:val="center"/>
                </w:tcPr>
                <w:p>
                  <w:pPr>
                    <w:suppressAutoHyphens/>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continue"/>
                </w:tcPr>
                <w:p>
                  <w:pPr>
                    <w:pStyle w:val="47"/>
                    <w:rPr>
                      <w:rFonts w:ascii="Times New Roman" w:cs="Times New Roman"/>
                      <w:color w:val="auto"/>
                      <w:sz w:val="21"/>
                      <w:szCs w:val="21"/>
                    </w:rPr>
                  </w:pPr>
                </w:p>
              </w:tc>
              <w:tc>
                <w:tcPr>
                  <w:tcW w:w="971" w:type="dxa"/>
                  <w:vMerge w:val="continue"/>
                  <w:vAlign w:val="center"/>
                </w:tcPr>
                <w:p>
                  <w:pPr>
                    <w:suppressAutoHyphens/>
                    <w:snapToGrid w:val="0"/>
                    <w:ind w:firstLine="480"/>
                    <w:jc w:val="center"/>
                    <w:rPr>
                      <w:szCs w:val="21"/>
                    </w:rPr>
                  </w:pPr>
                </w:p>
              </w:tc>
              <w:tc>
                <w:tcPr>
                  <w:tcW w:w="3131" w:type="dxa"/>
                  <w:vAlign w:val="center"/>
                </w:tcPr>
                <w:p>
                  <w:pPr>
                    <w:suppressAutoHyphens/>
                    <w:snapToGrid w:val="0"/>
                    <w:spacing w:line="240" w:lineRule="auto"/>
                    <w:ind w:firstLine="0" w:firstLineChars="0"/>
                    <w:rPr>
                      <w:sz w:val="21"/>
                      <w:szCs w:val="21"/>
                    </w:rPr>
                  </w:pPr>
                  <w:r>
                    <w:rPr>
                      <w:sz w:val="21"/>
                      <w:szCs w:val="21"/>
                    </w:rPr>
                    <w:t>4.重点控制区域新建高耗能项目单位产品（产值）能耗要达到国际先进水平</w:t>
                  </w:r>
                  <w:r>
                    <w:rPr>
                      <w:rFonts w:hint="eastAsia"/>
                      <w:sz w:val="21"/>
                      <w:szCs w:val="21"/>
                    </w:rPr>
                    <w:t>。</w:t>
                  </w:r>
                </w:p>
              </w:tc>
              <w:tc>
                <w:tcPr>
                  <w:tcW w:w="2223" w:type="dxa"/>
                  <w:vAlign w:val="center"/>
                </w:tcPr>
                <w:p>
                  <w:pPr>
                    <w:spacing w:line="240" w:lineRule="auto"/>
                    <w:ind w:firstLine="0" w:firstLineChars="0"/>
                    <w:rPr>
                      <w:sz w:val="21"/>
                      <w:szCs w:val="21"/>
                    </w:rPr>
                  </w:pPr>
                  <w:r>
                    <w:rPr>
                      <w:sz w:val="21"/>
                      <w:szCs w:val="21"/>
                    </w:rPr>
                    <w:t>本项目</w:t>
                  </w:r>
                  <w:r>
                    <w:rPr>
                      <w:rFonts w:hint="eastAsia"/>
                      <w:sz w:val="21"/>
                      <w:szCs w:val="21"/>
                    </w:rPr>
                    <w:t>单位</w:t>
                  </w:r>
                  <w:r>
                    <w:rPr>
                      <w:sz w:val="21"/>
                      <w:szCs w:val="21"/>
                    </w:rPr>
                    <w:t>产值能耗能达到国际先进水平。</w:t>
                  </w:r>
                </w:p>
              </w:tc>
              <w:tc>
                <w:tcPr>
                  <w:tcW w:w="851" w:type="dxa"/>
                  <w:vAlign w:val="center"/>
                </w:tcPr>
                <w:p>
                  <w:pPr>
                    <w:suppressAutoHyphens/>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continue"/>
                </w:tcPr>
                <w:p>
                  <w:pPr>
                    <w:pStyle w:val="47"/>
                    <w:rPr>
                      <w:rFonts w:ascii="Times New Roman" w:cs="Times New Roman"/>
                      <w:color w:val="auto"/>
                      <w:sz w:val="21"/>
                      <w:szCs w:val="21"/>
                    </w:rPr>
                  </w:pPr>
                </w:p>
              </w:tc>
              <w:tc>
                <w:tcPr>
                  <w:tcW w:w="971" w:type="dxa"/>
                  <w:vMerge w:val="continue"/>
                  <w:vAlign w:val="center"/>
                </w:tcPr>
                <w:p>
                  <w:pPr>
                    <w:suppressAutoHyphens/>
                    <w:snapToGrid w:val="0"/>
                    <w:ind w:firstLine="480"/>
                    <w:jc w:val="center"/>
                    <w:rPr>
                      <w:szCs w:val="21"/>
                    </w:rPr>
                  </w:pPr>
                </w:p>
              </w:tc>
              <w:tc>
                <w:tcPr>
                  <w:tcW w:w="3131" w:type="dxa"/>
                  <w:vAlign w:val="center"/>
                </w:tcPr>
                <w:p>
                  <w:pPr>
                    <w:suppressAutoHyphens/>
                    <w:snapToGrid w:val="0"/>
                    <w:spacing w:line="240" w:lineRule="auto"/>
                    <w:ind w:firstLine="0" w:firstLineChars="0"/>
                    <w:rPr>
                      <w:sz w:val="21"/>
                      <w:szCs w:val="21"/>
                    </w:rPr>
                  </w:pPr>
                  <w:r>
                    <w:rPr>
                      <w:sz w:val="21"/>
                      <w:szCs w:val="21"/>
                    </w:rPr>
                    <w:t>5.水利水电工程应保证合理的生态流量，具备条件的都应实施生态流量监测监控。</w:t>
                  </w:r>
                </w:p>
              </w:tc>
              <w:tc>
                <w:tcPr>
                  <w:tcW w:w="2223" w:type="dxa"/>
                  <w:vAlign w:val="center"/>
                </w:tcPr>
                <w:p>
                  <w:pPr>
                    <w:pStyle w:val="4"/>
                    <w:spacing w:line="240" w:lineRule="auto"/>
                    <w:ind w:firstLine="0" w:firstLineChars="0"/>
                    <w:jc w:val="left"/>
                    <w:rPr>
                      <w:b w:val="0"/>
                      <w:bCs w:val="0"/>
                      <w:sz w:val="21"/>
                      <w:szCs w:val="21"/>
                    </w:rPr>
                  </w:pPr>
                  <w:r>
                    <w:rPr>
                      <w:rFonts w:hint="eastAsia"/>
                      <w:b w:val="0"/>
                      <w:bCs w:val="0"/>
                      <w:sz w:val="21"/>
                      <w:szCs w:val="21"/>
                    </w:rPr>
                    <w:t>本项目不涉及。</w:t>
                  </w:r>
                </w:p>
              </w:tc>
              <w:tc>
                <w:tcPr>
                  <w:tcW w:w="851" w:type="dxa"/>
                  <w:vAlign w:val="center"/>
                </w:tcPr>
                <w:p>
                  <w:pPr>
                    <w:suppressAutoHyphens/>
                    <w:snapToGrid w:val="0"/>
                    <w:spacing w:line="240" w:lineRule="auto"/>
                    <w:ind w:firstLine="0" w:firstLineChars="0"/>
                    <w:jc w:val="center"/>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restart"/>
                  <w:vAlign w:val="center"/>
                </w:tcPr>
                <w:p>
                  <w:pPr>
                    <w:pStyle w:val="47"/>
                    <w:jc w:val="center"/>
                    <w:rPr>
                      <w:color w:val="auto"/>
                      <w:sz w:val="21"/>
                      <w:szCs w:val="21"/>
                    </w:rPr>
                  </w:pPr>
                  <w:r>
                    <w:rPr>
                      <w:color w:val="auto"/>
                      <w:sz w:val="21"/>
                      <w:szCs w:val="21"/>
                    </w:rPr>
                    <w:t>区县总体管控要求</w:t>
                  </w:r>
                </w:p>
              </w:tc>
              <w:tc>
                <w:tcPr>
                  <w:tcW w:w="971" w:type="dxa"/>
                  <w:vMerge w:val="restart"/>
                  <w:vAlign w:val="center"/>
                </w:tcPr>
                <w:p>
                  <w:pPr>
                    <w:pStyle w:val="47"/>
                    <w:jc w:val="center"/>
                    <w:rPr>
                      <w:color w:val="auto"/>
                      <w:sz w:val="21"/>
                      <w:szCs w:val="21"/>
                    </w:rPr>
                  </w:pPr>
                  <w:r>
                    <w:rPr>
                      <w:rFonts w:hint="eastAsia"/>
                      <w:color w:val="auto"/>
                      <w:sz w:val="21"/>
                      <w:szCs w:val="21"/>
                    </w:rPr>
                    <w:t>空间布局约束</w:t>
                  </w:r>
                </w:p>
              </w:tc>
              <w:tc>
                <w:tcPr>
                  <w:tcW w:w="3131" w:type="dxa"/>
                  <w:vAlign w:val="center"/>
                </w:tcPr>
                <w:p>
                  <w:pPr>
                    <w:suppressAutoHyphens/>
                    <w:snapToGrid w:val="0"/>
                    <w:spacing w:line="240" w:lineRule="auto"/>
                    <w:ind w:firstLine="0" w:firstLineChars="0"/>
                    <w:rPr>
                      <w:sz w:val="21"/>
                      <w:szCs w:val="21"/>
                    </w:rPr>
                  </w:pPr>
                  <w:r>
                    <w:rPr>
                      <w:rFonts w:hint="eastAsia"/>
                      <w:b/>
                      <w:sz w:val="21"/>
                      <w:szCs w:val="21"/>
                    </w:rPr>
                    <w:t>第一条</w:t>
                  </w:r>
                  <w:r>
                    <w:rPr>
                      <w:rFonts w:hint="eastAsia"/>
                      <w:sz w:val="21"/>
                      <w:szCs w:val="21"/>
                    </w:rPr>
                    <w:t>：生态保护红线内，自然保护地核心保护区原则上禁止人为活动，其他区域严格禁止开发性、生产性建设活动，在符合现行法律法规前提下，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p>
              </w:tc>
              <w:tc>
                <w:tcPr>
                  <w:tcW w:w="2223" w:type="dxa"/>
                  <w:vMerge w:val="restart"/>
                  <w:vAlign w:val="center"/>
                </w:tcPr>
                <w:p>
                  <w:pPr>
                    <w:pStyle w:val="47"/>
                    <w:suppressAutoHyphens/>
                    <w:snapToGrid w:val="0"/>
                    <w:jc w:val="both"/>
                    <w:rPr>
                      <w:rFonts w:ascii="Times New Roman" w:cs="Times New Roman"/>
                      <w:color w:val="auto"/>
                      <w:kern w:val="2"/>
                      <w:sz w:val="21"/>
                      <w:szCs w:val="21"/>
                    </w:rPr>
                  </w:pPr>
                  <w:r>
                    <w:rPr>
                      <w:rFonts w:ascii="Times New Roman" w:cs="Times New Roman"/>
                      <w:color w:val="auto"/>
                      <w:kern w:val="2"/>
                      <w:sz w:val="21"/>
                      <w:szCs w:val="21"/>
                    </w:rPr>
                    <w:t>本项目</w:t>
                  </w:r>
                  <w:r>
                    <w:rPr>
                      <w:rFonts w:hint="eastAsia" w:ascii="Times New Roman" w:cs="Times New Roman"/>
                      <w:color w:val="auto"/>
                      <w:kern w:val="2"/>
                      <w:sz w:val="21"/>
                      <w:szCs w:val="21"/>
                    </w:rPr>
                    <w:t>位于</w:t>
                  </w:r>
                  <w:r>
                    <w:rPr>
                      <w:rFonts w:ascii="Times New Roman" w:cs="Times New Roman"/>
                      <w:color w:val="auto"/>
                      <w:kern w:val="2"/>
                      <w:sz w:val="21"/>
                      <w:szCs w:val="21"/>
                    </w:rPr>
                    <w:t>合川工业园区南溪组团A区，</w:t>
                  </w:r>
                  <w:r>
                    <w:rPr>
                      <w:rFonts w:hint="eastAsia" w:ascii="Times New Roman" w:cs="Times New Roman"/>
                      <w:color w:val="auto"/>
                      <w:kern w:val="2"/>
                      <w:sz w:val="21"/>
                      <w:szCs w:val="21"/>
                    </w:rPr>
                    <w:t>不涉及生态</w:t>
                  </w:r>
                  <w:r>
                    <w:rPr>
                      <w:rFonts w:ascii="Times New Roman" w:cs="Times New Roman"/>
                      <w:color w:val="auto"/>
                      <w:kern w:val="2"/>
                      <w:sz w:val="21"/>
                      <w:szCs w:val="21"/>
                    </w:rPr>
                    <w:t>保护红线</w:t>
                  </w:r>
                  <w:r>
                    <w:rPr>
                      <w:rFonts w:hint="eastAsia" w:ascii="Times New Roman" w:cs="Times New Roman"/>
                      <w:color w:val="auto"/>
                      <w:kern w:val="2"/>
                      <w:sz w:val="21"/>
                      <w:szCs w:val="21"/>
                    </w:rPr>
                    <w:t>，</w:t>
                  </w:r>
                  <w:r>
                    <w:rPr>
                      <w:rFonts w:ascii="Times New Roman" w:cs="Times New Roman"/>
                      <w:color w:val="auto"/>
                      <w:kern w:val="2"/>
                      <w:sz w:val="21"/>
                      <w:szCs w:val="21"/>
                    </w:rPr>
                    <w:t>不占用生态空间</w:t>
                  </w:r>
                  <w:r>
                    <w:rPr>
                      <w:rFonts w:hint="eastAsia" w:ascii="Times New Roman" w:cs="Times New Roman"/>
                      <w:color w:val="auto"/>
                      <w:kern w:val="2"/>
                      <w:sz w:val="21"/>
                      <w:szCs w:val="21"/>
                    </w:rPr>
                    <w:t>；项目</w:t>
                  </w:r>
                  <w:r>
                    <w:rPr>
                      <w:rFonts w:ascii="Times New Roman" w:cs="Times New Roman"/>
                      <w:color w:val="auto"/>
                      <w:kern w:val="2"/>
                      <w:sz w:val="21"/>
                      <w:szCs w:val="21"/>
                    </w:rPr>
                    <w:t>不在</w:t>
                  </w:r>
                  <w:r>
                    <w:rPr>
                      <w:rFonts w:hint="eastAsia"/>
                      <w:color w:val="auto"/>
                      <w:sz w:val="21"/>
                      <w:szCs w:val="21"/>
                    </w:rPr>
                    <w:t>嘉陵江干流岸线</w:t>
                  </w:r>
                  <w:r>
                    <w:rPr>
                      <w:color w:val="auto"/>
                      <w:sz w:val="21"/>
                      <w:szCs w:val="21"/>
                    </w:rPr>
                    <w:t>1</w:t>
                  </w:r>
                  <w:r>
                    <w:rPr>
                      <w:rFonts w:hint="eastAsia"/>
                      <w:color w:val="auto"/>
                      <w:sz w:val="21"/>
                      <w:szCs w:val="21"/>
                    </w:rPr>
                    <w:t>公里范围内，</w:t>
                  </w:r>
                  <w:r>
                    <w:rPr>
                      <w:color w:val="auto"/>
                      <w:sz w:val="21"/>
                      <w:szCs w:val="21"/>
                    </w:rPr>
                    <w:t>且不属于</w:t>
                  </w:r>
                  <w:r>
                    <w:rPr>
                      <w:rFonts w:hint="eastAsia"/>
                      <w:color w:val="auto"/>
                      <w:sz w:val="21"/>
                      <w:szCs w:val="21"/>
                    </w:rPr>
                    <w:t>重化工、纺织、造纸等存在污染风险的工业项目；本项目租用</w:t>
                  </w:r>
                  <w:r>
                    <w:rPr>
                      <w:color w:val="auto"/>
                      <w:sz w:val="21"/>
                      <w:szCs w:val="21"/>
                    </w:rPr>
                    <w:t>已建成的生产</w:t>
                  </w:r>
                  <w:r>
                    <w:rPr>
                      <w:rFonts w:hint="eastAsia"/>
                      <w:color w:val="auto"/>
                      <w:sz w:val="21"/>
                      <w:szCs w:val="21"/>
                    </w:rPr>
                    <w:t>厂房安装生产</w:t>
                  </w:r>
                  <w:r>
                    <w:rPr>
                      <w:color w:val="auto"/>
                      <w:sz w:val="21"/>
                      <w:szCs w:val="21"/>
                    </w:rPr>
                    <w:t>设施</w:t>
                  </w:r>
                  <w:r>
                    <w:rPr>
                      <w:rFonts w:hint="eastAsia"/>
                      <w:color w:val="auto"/>
                      <w:sz w:val="21"/>
                      <w:szCs w:val="21"/>
                    </w:rPr>
                    <w:t>设备</w:t>
                  </w:r>
                  <w:r>
                    <w:rPr>
                      <w:color w:val="auto"/>
                      <w:sz w:val="21"/>
                      <w:szCs w:val="21"/>
                    </w:rPr>
                    <w:t>，不新增用地</w:t>
                  </w:r>
                  <w:r>
                    <w:rPr>
                      <w:rFonts w:hint="eastAsia"/>
                      <w:color w:val="auto"/>
                      <w:sz w:val="21"/>
                      <w:szCs w:val="21"/>
                    </w:rPr>
                    <w:t>；</w:t>
                  </w:r>
                  <w:r>
                    <w:rPr>
                      <w:color w:val="auto"/>
                      <w:sz w:val="21"/>
                      <w:szCs w:val="21"/>
                    </w:rPr>
                    <w:t>不属于</w:t>
                  </w:r>
                  <w:r>
                    <w:rPr>
                      <w:rFonts w:hint="eastAsia"/>
                      <w:color w:val="auto"/>
                      <w:sz w:val="21"/>
                      <w:szCs w:val="21"/>
                    </w:rPr>
                    <w:t>电厂、水泥、冶炼、粉磨站等大气污染严重的工业项目。</w:t>
                  </w:r>
                </w:p>
              </w:tc>
              <w:tc>
                <w:tcPr>
                  <w:tcW w:w="851" w:type="dxa"/>
                  <w:vMerge w:val="restart"/>
                  <w:vAlign w:val="center"/>
                </w:tcPr>
                <w:p>
                  <w:pPr>
                    <w:pStyle w:val="47"/>
                    <w:suppressAutoHyphens/>
                    <w:snapToGrid w:val="0"/>
                    <w:jc w:val="both"/>
                    <w:rPr>
                      <w:rFonts w:ascii="Times New Roman" w:cs="Times New Roman"/>
                      <w:color w:val="auto"/>
                      <w:kern w:val="2"/>
                      <w:sz w:val="21"/>
                      <w:szCs w:val="21"/>
                    </w:rPr>
                  </w:pPr>
                  <w:r>
                    <w:rPr>
                      <w:rFonts w:hint="eastAsia" w:ascii="Times New Roman" w:cs="Times New Roman"/>
                      <w:color w:val="auto"/>
                      <w:kern w:val="2"/>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64" w:type="dxa"/>
                  <w:vMerge w:val="continue"/>
                </w:tcPr>
                <w:p>
                  <w:pPr>
                    <w:pStyle w:val="47"/>
                    <w:jc w:val="center"/>
                    <w:rPr>
                      <w:color w:val="auto"/>
                      <w:sz w:val="21"/>
                      <w:szCs w:val="21"/>
                    </w:rPr>
                  </w:pPr>
                </w:p>
              </w:tc>
              <w:tc>
                <w:tcPr>
                  <w:tcW w:w="971" w:type="dxa"/>
                  <w:vMerge w:val="continue"/>
                </w:tcPr>
                <w:p>
                  <w:pPr>
                    <w:pStyle w:val="47"/>
                    <w:jc w:val="center"/>
                    <w:rPr>
                      <w:color w:val="auto"/>
                      <w:sz w:val="21"/>
                      <w:szCs w:val="21"/>
                    </w:rPr>
                  </w:pPr>
                </w:p>
              </w:tc>
              <w:tc>
                <w:tcPr>
                  <w:tcW w:w="3131" w:type="dxa"/>
                  <w:vAlign w:val="center"/>
                </w:tcPr>
                <w:p>
                  <w:pPr>
                    <w:suppressAutoHyphens/>
                    <w:snapToGrid w:val="0"/>
                    <w:spacing w:line="240" w:lineRule="auto"/>
                    <w:ind w:firstLine="0" w:firstLineChars="0"/>
                    <w:rPr>
                      <w:sz w:val="21"/>
                      <w:szCs w:val="21"/>
                    </w:rPr>
                  </w:pPr>
                  <w:r>
                    <w:rPr>
                      <w:rFonts w:hint="eastAsia"/>
                      <w:b/>
                      <w:sz w:val="21"/>
                      <w:szCs w:val="21"/>
                    </w:rPr>
                    <w:t>第二条</w:t>
                  </w:r>
                  <w:r>
                    <w:rPr>
                      <w:rFonts w:hint="eastAsia"/>
                      <w:sz w:val="21"/>
                      <w:szCs w:val="21"/>
                    </w:rPr>
                    <w:t>：合理开发旅游、能源、交通、基础设施，减少挤占生态空间，“三生”空间布局得到持续优化。</w:t>
                  </w:r>
                </w:p>
              </w:tc>
              <w:tc>
                <w:tcPr>
                  <w:tcW w:w="2223" w:type="dxa"/>
                  <w:vMerge w:val="continue"/>
                  <w:vAlign w:val="center"/>
                </w:tcPr>
                <w:p>
                  <w:pPr>
                    <w:pStyle w:val="47"/>
                    <w:jc w:val="center"/>
                    <w:rPr>
                      <w:color w:val="auto"/>
                      <w:sz w:val="21"/>
                      <w:szCs w:val="21"/>
                    </w:rPr>
                  </w:pPr>
                </w:p>
              </w:tc>
              <w:tc>
                <w:tcPr>
                  <w:tcW w:w="851" w:type="dxa"/>
                  <w:vMerge w:val="continue"/>
                  <w:vAlign w:val="center"/>
                </w:tcPr>
                <w:p>
                  <w:pPr>
                    <w:pStyle w:val="47"/>
                    <w:jc w:val="center"/>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continue"/>
                </w:tcPr>
                <w:p>
                  <w:pPr>
                    <w:pStyle w:val="47"/>
                    <w:jc w:val="center"/>
                    <w:rPr>
                      <w:color w:val="auto"/>
                      <w:sz w:val="21"/>
                      <w:szCs w:val="21"/>
                    </w:rPr>
                  </w:pPr>
                </w:p>
              </w:tc>
              <w:tc>
                <w:tcPr>
                  <w:tcW w:w="971" w:type="dxa"/>
                  <w:vMerge w:val="continue"/>
                </w:tcPr>
                <w:p>
                  <w:pPr>
                    <w:pStyle w:val="47"/>
                    <w:jc w:val="center"/>
                    <w:rPr>
                      <w:color w:val="auto"/>
                      <w:sz w:val="21"/>
                      <w:szCs w:val="21"/>
                    </w:rPr>
                  </w:pPr>
                </w:p>
              </w:tc>
              <w:tc>
                <w:tcPr>
                  <w:tcW w:w="3131" w:type="dxa"/>
                  <w:vAlign w:val="center"/>
                </w:tcPr>
                <w:p>
                  <w:pPr>
                    <w:suppressAutoHyphens/>
                    <w:snapToGrid w:val="0"/>
                    <w:spacing w:line="240" w:lineRule="auto"/>
                    <w:ind w:firstLine="0" w:firstLineChars="0"/>
                    <w:rPr>
                      <w:sz w:val="21"/>
                      <w:szCs w:val="21"/>
                    </w:rPr>
                  </w:pPr>
                  <w:r>
                    <w:rPr>
                      <w:rFonts w:hint="eastAsia"/>
                      <w:b/>
                      <w:sz w:val="21"/>
                      <w:szCs w:val="21"/>
                    </w:rPr>
                    <w:t>第三条：</w:t>
                  </w:r>
                  <w:r>
                    <w:rPr>
                      <w:rFonts w:hint="eastAsia"/>
                      <w:sz w:val="21"/>
                      <w:szCs w:val="21"/>
                    </w:rPr>
                    <w:t>坚决禁止在嘉陵江干流岸线</w:t>
                  </w:r>
                  <w:r>
                    <w:rPr>
                      <w:sz w:val="21"/>
                      <w:szCs w:val="21"/>
                    </w:rPr>
                    <w:t>1</w:t>
                  </w:r>
                  <w:r>
                    <w:rPr>
                      <w:rFonts w:hint="eastAsia"/>
                      <w:sz w:val="21"/>
                      <w:szCs w:val="21"/>
                    </w:rPr>
                    <w:t>公里范围内新建重化工、纺织、造纸等存在污染风险的工业项目，</w:t>
                  </w:r>
                  <w:r>
                    <w:rPr>
                      <w:sz w:val="21"/>
                      <w:szCs w:val="21"/>
                    </w:rPr>
                    <w:t>5</w:t>
                  </w:r>
                  <w:r>
                    <w:rPr>
                      <w:rFonts w:hint="eastAsia"/>
                      <w:sz w:val="21"/>
                      <w:szCs w:val="21"/>
                    </w:rPr>
                    <w:t>公里范围内除现有园区拓展外严禁新布局工业园区。可适当布局工业园区主导产业配套必需的、对环境影响小、风险可控的化工项目。</w:t>
                  </w:r>
                </w:p>
              </w:tc>
              <w:tc>
                <w:tcPr>
                  <w:tcW w:w="2223" w:type="dxa"/>
                  <w:vMerge w:val="continue"/>
                  <w:vAlign w:val="center"/>
                </w:tcPr>
                <w:p>
                  <w:pPr>
                    <w:pStyle w:val="47"/>
                    <w:jc w:val="center"/>
                    <w:rPr>
                      <w:color w:val="auto"/>
                      <w:sz w:val="21"/>
                      <w:szCs w:val="21"/>
                    </w:rPr>
                  </w:pPr>
                </w:p>
              </w:tc>
              <w:tc>
                <w:tcPr>
                  <w:tcW w:w="851" w:type="dxa"/>
                  <w:vMerge w:val="continue"/>
                  <w:vAlign w:val="center"/>
                </w:tcPr>
                <w:p>
                  <w:pPr>
                    <w:pStyle w:val="47"/>
                    <w:jc w:val="center"/>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continue"/>
                </w:tcPr>
                <w:p>
                  <w:pPr>
                    <w:pStyle w:val="47"/>
                    <w:jc w:val="center"/>
                    <w:rPr>
                      <w:color w:val="auto"/>
                      <w:sz w:val="21"/>
                      <w:szCs w:val="21"/>
                    </w:rPr>
                  </w:pPr>
                </w:p>
              </w:tc>
              <w:tc>
                <w:tcPr>
                  <w:tcW w:w="971" w:type="dxa"/>
                  <w:vMerge w:val="continue"/>
                </w:tcPr>
                <w:p>
                  <w:pPr>
                    <w:pStyle w:val="47"/>
                    <w:jc w:val="center"/>
                    <w:rPr>
                      <w:color w:val="auto"/>
                      <w:sz w:val="21"/>
                      <w:szCs w:val="21"/>
                    </w:rPr>
                  </w:pPr>
                </w:p>
              </w:tc>
              <w:tc>
                <w:tcPr>
                  <w:tcW w:w="3131" w:type="dxa"/>
                  <w:vAlign w:val="center"/>
                </w:tcPr>
                <w:p>
                  <w:pPr>
                    <w:suppressAutoHyphens/>
                    <w:snapToGrid w:val="0"/>
                    <w:spacing w:line="240" w:lineRule="auto"/>
                    <w:ind w:firstLine="0" w:firstLineChars="0"/>
                    <w:rPr>
                      <w:sz w:val="21"/>
                      <w:szCs w:val="21"/>
                    </w:rPr>
                  </w:pPr>
                  <w:r>
                    <w:rPr>
                      <w:rFonts w:hint="eastAsia"/>
                      <w:b/>
                      <w:sz w:val="21"/>
                      <w:szCs w:val="21"/>
                    </w:rPr>
                    <w:t>第四条</w:t>
                  </w:r>
                  <w:r>
                    <w:rPr>
                      <w:rFonts w:hint="eastAsia"/>
                      <w:sz w:val="21"/>
                      <w:szCs w:val="21"/>
                    </w:rPr>
                    <w:t>：合川区城市建成区主导风向上风向</w:t>
                  </w:r>
                  <w:r>
                    <w:rPr>
                      <w:sz w:val="21"/>
                      <w:szCs w:val="21"/>
                    </w:rPr>
                    <w:t>20</w:t>
                  </w:r>
                  <w:r>
                    <w:rPr>
                      <w:rFonts w:hint="eastAsia"/>
                      <w:sz w:val="21"/>
                      <w:szCs w:val="21"/>
                    </w:rPr>
                    <w:t>公里，下风向</w:t>
                  </w:r>
                  <w:r>
                    <w:rPr>
                      <w:sz w:val="21"/>
                      <w:szCs w:val="21"/>
                    </w:rPr>
                    <w:t>10</w:t>
                  </w:r>
                  <w:r>
                    <w:rPr>
                      <w:rFonts w:hint="eastAsia"/>
                      <w:sz w:val="21"/>
                      <w:szCs w:val="21"/>
                    </w:rPr>
                    <w:t>公里范围内，禁止新建、扩建燃煤电厂、水泥、冶炼、粉磨站等大气污染严重的工业项目。</w:t>
                  </w:r>
                </w:p>
              </w:tc>
              <w:tc>
                <w:tcPr>
                  <w:tcW w:w="2223" w:type="dxa"/>
                  <w:vMerge w:val="continue"/>
                  <w:vAlign w:val="center"/>
                </w:tcPr>
                <w:p>
                  <w:pPr>
                    <w:pStyle w:val="47"/>
                    <w:jc w:val="center"/>
                    <w:rPr>
                      <w:color w:val="auto"/>
                      <w:sz w:val="21"/>
                      <w:szCs w:val="21"/>
                    </w:rPr>
                  </w:pPr>
                </w:p>
              </w:tc>
              <w:tc>
                <w:tcPr>
                  <w:tcW w:w="851" w:type="dxa"/>
                  <w:vMerge w:val="continue"/>
                  <w:vAlign w:val="center"/>
                </w:tcPr>
                <w:p>
                  <w:pPr>
                    <w:pStyle w:val="47"/>
                    <w:jc w:val="center"/>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continue"/>
                </w:tcPr>
                <w:p>
                  <w:pPr>
                    <w:pStyle w:val="47"/>
                    <w:jc w:val="center"/>
                    <w:rPr>
                      <w:color w:val="auto"/>
                      <w:sz w:val="21"/>
                      <w:szCs w:val="21"/>
                    </w:rPr>
                  </w:pPr>
                </w:p>
              </w:tc>
              <w:tc>
                <w:tcPr>
                  <w:tcW w:w="971" w:type="dxa"/>
                  <w:vMerge w:val="continue"/>
                </w:tcPr>
                <w:p>
                  <w:pPr>
                    <w:pStyle w:val="47"/>
                    <w:jc w:val="center"/>
                    <w:rPr>
                      <w:color w:val="auto"/>
                      <w:sz w:val="21"/>
                      <w:szCs w:val="21"/>
                    </w:rPr>
                  </w:pPr>
                </w:p>
              </w:tc>
              <w:tc>
                <w:tcPr>
                  <w:tcW w:w="3131" w:type="dxa"/>
                </w:tcPr>
                <w:p>
                  <w:pPr>
                    <w:suppressAutoHyphens/>
                    <w:snapToGrid w:val="0"/>
                    <w:spacing w:line="240" w:lineRule="auto"/>
                    <w:ind w:firstLine="0" w:firstLineChars="0"/>
                  </w:pPr>
                  <w:r>
                    <w:rPr>
                      <w:rFonts w:hint="eastAsia"/>
                      <w:b/>
                      <w:sz w:val="21"/>
                      <w:szCs w:val="21"/>
                    </w:rPr>
                    <w:t>第五条：</w:t>
                  </w:r>
                  <w:r>
                    <w:rPr>
                      <w:rFonts w:hint="eastAsia"/>
                      <w:sz w:val="21"/>
                      <w:szCs w:val="21"/>
                    </w:rPr>
                    <w:t>对工业用地上“零土地”（不涉及新征建设用地）技术改造升级且“两不增”（不增加污染物排放总量、不增大环境风险）的建设项目，对原老工业企业集聚区（地）在城乡规划未改变其工业用地性质的前提和期限内，且列入所在区县工业发展等规划并依法开展了规划环评的项目，依法依规加快推进环评文件审批，帮助企业解决困难。</w:t>
                  </w:r>
                </w:p>
              </w:tc>
              <w:tc>
                <w:tcPr>
                  <w:tcW w:w="2223" w:type="dxa"/>
                  <w:vMerge w:val="continue"/>
                  <w:vAlign w:val="center"/>
                </w:tcPr>
                <w:p>
                  <w:pPr>
                    <w:pStyle w:val="47"/>
                    <w:jc w:val="center"/>
                    <w:rPr>
                      <w:color w:val="auto"/>
                      <w:sz w:val="21"/>
                      <w:szCs w:val="21"/>
                    </w:rPr>
                  </w:pPr>
                </w:p>
              </w:tc>
              <w:tc>
                <w:tcPr>
                  <w:tcW w:w="851" w:type="dxa"/>
                  <w:vMerge w:val="continue"/>
                  <w:vAlign w:val="center"/>
                </w:tcPr>
                <w:p>
                  <w:pPr>
                    <w:pStyle w:val="47"/>
                    <w:jc w:val="center"/>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continue"/>
                </w:tcPr>
                <w:p>
                  <w:pPr>
                    <w:pStyle w:val="47"/>
                    <w:jc w:val="center"/>
                    <w:rPr>
                      <w:color w:val="auto"/>
                      <w:sz w:val="21"/>
                      <w:szCs w:val="21"/>
                    </w:rPr>
                  </w:pPr>
                </w:p>
              </w:tc>
              <w:tc>
                <w:tcPr>
                  <w:tcW w:w="971" w:type="dxa"/>
                  <w:vMerge w:val="restart"/>
                  <w:vAlign w:val="center"/>
                </w:tcPr>
                <w:p>
                  <w:pPr>
                    <w:pStyle w:val="47"/>
                    <w:jc w:val="center"/>
                    <w:rPr>
                      <w:color w:val="auto"/>
                      <w:sz w:val="21"/>
                      <w:szCs w:val="21"/>
                    </w:rPr>
                  </w:pPr>
                  <w:r>
                    <w:rPr>
                      <w:rFonts w:hint="eastAsia"/>
                      <w:color w:val="auto"/>
                      <w:sz w:val="21"/>
                      <w:szCs w:val="21"/>
                    </w:rPr>
                    <w:t>污染物排放管控</w:t>
                  </w:r>
                </w:p>
              </w:tc>
              <w:tc>
                <w:tcPr>
                  <w:tcW w:w="3131" w:type="dxa"/>
                  <w:vAlign w:val="center"/>
                </w:tcPr>
                <w:p>
                  <w:pPr>
                    <w:suppressAutoHyphens/>
                    <w:snapToGrid w:val="0"/>
                    <w:spacing w:line="240" w:lineRule="auto"/>
                    <w:ind w:firstLine="0" w:firstLineChars="0"/>
                    <w:rPr>
                      <w:sz w:val="21"/>
                      <w:szCs w:val="21"/>
                    </w:rPr>
                  </w:pPr>
                  <w:r>
                    <w:rPr>
                      <w:rFonts w:hint="eastAsia"/>
                      <w:b/>
                      <w:sz w:val="21"/>
                      <w:szCs w:val="21"/>
                    </w:rPr>
                    <w:t>第一条：</w:t>
                  </w:r>
                  <w:r>
                    <w:rPr>
                      <w:rFonts w:hint="eastAsia"/>
                      <w:sz w:val="21"/>
                      <w:szCs w:val="21"/>
                    </w:rPr>
                    <w:t>按实施燃煤电厂超低排放的总体要求，有序推进热电行业超低排放改造。</w:t>
                  </w:r>
                </w:p>
              </w:tc>
              <w:tc>
                <w:tcPr>
                  <w:tcW w:w="2223" w:type="dxa"/>
                  <w:vAlign w:val="center"/>
                </w:tcPr>
                <w:p>
                  <w:pPr>
                    <w:pStyle w:val="47"/>
                    <w:suppressAutoHyphens/>
                    <w:snapToGrid w:val="0"/>
                    <w:jc w:val="both"/>
                    <w:rPr>
                      <w:rFonts w:ascii="Times New Roman" w:cs="Times New Roman"/>
                      <w:color w:val="auto"/>
                      <w:kern w:val="2"/>
                      <w:sz w:val="21"/>
                      <w:szCs w:val="21"/>
                    </w:rPr>
                  </w:pPr>
                  <w:r>
                    <w:rPr>
                      <w:rFonts w:ascii="Times New Roman" w:cs="Times New Roman"/>
                      <w:color w:val="auto"/>
                      <w:kern w:val="2"/>
                      <w:sz w:val="21"/>
                      <w:szCs w:val="21"/>
                    </w:rPr>
                    <w:t>本项目</w:t>
                  </w:r>
                  <w:r>
                    <w:rPr>
                      <w:rFonts w:hint="eastAsia" w:ascii="Times New Roman" w:cs="Times New Roman"/>
                      <w:color w:val="auto"/>
                      <w:kern w:val="2"/>
                      <w:sz w:val="21"/>
                      <w:szCs w:val="21"/>
                    </w:rPr>
                    <w:t>不属于上述项目</w:t>
                  </w:r>
                  <w:r>
                    <w:rPr>
                      <w:rFonts w:ascii="Times New Roman" w:cs="Times New Roman"/>
                      <w:color w:val="auto"/>
                      <w:kern w:val="2"/>
                      <w:sz w:val="21"/>
                      <w:szCs w:val="21"/>
                    </w:rPr>
                    <w:t>。</w:t>
                  </w:r>
                </w:p>
              </w:tc>
              <w:tc>
                <w:tcPr>
                  <w:tcW w:w="851" w:type="dxa"/>
                  <w:vAlign w:val="center"/>
                </w:tcPr>
                <w:p>
                  <w:pPr>
                    <w:pStyle w:val="47"/>
                    <w:suppressAutoHyphens/>
                    <w:snapToGrid w:val="0"/>
                    <w:jc w:val="both"/>
                    <w:rPr>
                      <w:rFonts w:ascii="Times New Roman" w:cs="Times New Roman"/>
                      <w:color w:val="auto"/>
                      <w:kern w:val="2"/>
                      <w:sz w:val="21"/>
                      <w:szCs w:val="21"/>
                    </w:rPr>
                  </w:pPr>
                  <w:r>
                    <w:rPr>
                      <w:rFonts w:hint="eastAsia" w:ascii="Times New Roman" w:cs="Times New Roman"/>
                      <w:color w:val="auto"/>
                      <w:kern w:val="2"/>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continue"/>
                </w:tcPr>
                <w:p>
                  <w:pPr>
                    <w:pStyle w:val="47"/>
                    <w:jc w:val="center"/>
                    <w:rPr>
                      <w:color w:val="auto"/>
                      <w:sz w:val="21"/>
                      <w:szCs w:val="21"/>
                    </w:rPr>
                  </w:pPr>
                </w:p>
              </w:tc>
              <w:tc>
                <w:tcPr>
                  <w:tcW w:w="971" w:type="dxa"/>
                  <w:vMerge w:val="continue"/>
                  <w:vAlign w:val="center"/>
                </w:tcPr>
                <w:p>
                  <w:pPr>
                    <w:pStyle w:val="47"/>
                    <w:jc w:val="center"/>
                    <w:rPr>
                      <w:color w:val="auto"/>
                      <w:sz w:val="21"/>
                      <w:szCs w:val="21"/>
                    </w:rPr>
                  </w:pPr>
                </w:p>
              </w:tc>
              <w:tc>
                <w:tcPr>
                  <w:tcW w:w="3131" w:type="dxa"/>
                  <w:vAlign w:val="center"/>
                </w:tcPr>
                <w:p>
                  <w:pPr>
                    <w:suppressAutoHyphens/>
                    <w:snapToGrid w:val="0"/>
                    <w:spacing w:line="240" w:lineRule="auto"/>
                    <w:ind w:firstLine="0" w:firstLineChars="0"/>
                    <w:rPr>
                      <w:sz w:val="21"/>
                      <w:szCs w:val="21"/>
                    </w:rPr>
                  </w:pPr>
                  <w:r>
                    <w:rPr>
                      <w:rFonts w:hint="eastAsia"/>
                      <w:b/>
                      <w:sz w:val="21"/>
                      <w:szCs w:val="21"/>
                    </w:rPr>
                    <w:t>第二条：</w:t>
                  </w:r>
                  <w:r>
                    <w:rPr>
                      <w:rFonts w:hint="eastAsia"/>
                      <w:sz w:val="21"/>
                      <w:szCs w:val="21"/>
                    </w:rPr>
                    <w:t>（城乡污水管网配套建设）强化城中村、老旧城区和城乡结合部污水的截流、收集。现有合流制排水系统应加快实施雨污分流改造，难以改造的应采取截流、调蓄和治理等措施。新建污水处理设施的配套管网应同步设计、同步建设、同步投运。城镇新区建设均应实行雨污分流。</w:t>
                  </w:r>
                </w:p>
              </w:tc>
              <w:tc>
                <w:tcPr>
                  <w:tcW w:w="2223" w:type="dxa"/>
                  <w:vAlign w:val="center"/>
                </w:tcPr>
                <w:p>
                  <w:pPr>
                    <w:pStyle w:val="47"/>
                    <w:suppressAutoHyphens/>
                    <w:snapToGrid w:val="0"/>
                    <w:jc w:val="both"/>
                    <w:rPr>
                      <w:rFonts w:ascii="Times New Roman" w:cs="Times New Roman"/>
                      <w:color w:val="auto"/>
                      <w:kern w:val="2"/>
                      <w:sz w:val="21"/>
                      <w:szCs w:val="21"/>
                    </w:rPr>
                  </w:pPr>
                  <w:r>
                    <w:rPr>
                      <w:rFonts w:ascii="Times New Roman" w:cs="Times New Roman"/>
                      <w:color w:val="auto"/>
                      <w:kern w:val="2"/>
                      <w:sz w:val="21"/>
                      <w:szCs w:val="21"/>
                    </w:rPr>
                    <w:t>本项目</w:t>
                  </w:r>
                  <w:r>
                    <w:rPr>
                      <w:rFonts w:hint="eastAsia" w:ascii="Times New Roman" w:cs="Times New Roman"/>
                      <w:color w:val="auto"/>
                      <w:kern w:val="2"/>
                      <w:sz w:val="21"/>
                      <w:szCs w:val="21"/>
                    </w:rPr>
                    <w:t>生产废水经预处理后与生活污水一同经厂区</w:t>
                  </w:r>
                  <w:r>
                    <w:rPr>
                      <w:rFonts w:ascii="Times New Roman" w:cs="Times New Roman"/>
                      <w:color w:val="auto"/>
                      <w:kern w:val="2"/>
                      <w:sz w:val="21"/>
                      <w:szCs w:val="21"/>
                    </w:rPr>
                    <w:t>污水处理站处理达</w:t>
                  </w:r>
                  <w:r>
                    <w:rPr>
                      <w:rFonts w:hint="eastAsia" w:ascii="Times New Roman" w:cs="Times New Roman"/>
                      <w:color w:val="auto"/>
                      <w:kern w:val="2"/>
                      <w:sz w:val="21"/>
                      <w:szCs w:val="21"/>
                    </w:rPr>
                    <w:t>标后</w:t>
                  </w:r>
                  <w:r>
                    <w:rPr>
                      <w:rFonts w:ascii="Times New Roman" w:cs="Times New Roman"/>
                      <w:color w:val="auto"/>
                      <w:kern w:val="2"/>
                      <w:sz w:val="21"/>
                      <w:szCs w:val="21"/>
                    </w:rPr>
                    <w:t>外排至</w:t>
                  </w:r>
                  <w:r>
                    <w:rPr>
                      <w:rFonts w:hint="eastAsia" w:ascii="Times New Roman" w:cs="Times New Roman"/>
                      <w:color w:val="auto"/>
                      <w:kern w:val="2"/>
                      <w:sz w:val="21"/>
                      <w:szCs w:val="21"/>
                    </w:rPr>
                    <w:t>园区</w:t>
                  </w:r>
                  <w:r>
                    <w:rPr>
                      <w:rFonts w:ascii="Times New Roman" w:cs="Times New Roman"/>
                      <w:color w:val="auto"/>
                      <w:kern w:val="2"/>
                      <w:sz w:val="21"/>
                      <w:szCs w:val="21"/>
                    </w:rPr>
                    <w:t>污水处理厂处理</w:t>
                  </w:r>
                  <w:r>
                    <w:rPr>
                      <w:rFonts w:hint="eastAsia" w:ascii="Times New Roman" w:cs="Times New Roman"/>
                      <w:color w:val="auto"/>
                      <w:kern w:val="2"/>
                      <w:sz w:val="21"/>
                      <w:szCs w:val="21"/>
                    </w:rPr>
                    <w:t>。</w:t>
                  </w:r>
                </w:p>
              </w:tc>
              <w:tc>
                <w:tcPr>
                  <w:tcW w:w="851" w:type="dxa"/>
                  <w:vAlign w:val="center"/>
                </w:tcPr>
                <w:p>
                  <w:pPr>
                    <w:suppressAutoHyphens/>
                    <w:snapToGrid w:val="0"/>
                    <w:spacing w:line="240" w:lineRule="auto"/>
                    <w:ind w:firstLine="0" w:firstLineChars="0"/>
                    <w:rPr>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continue"/>
                </w:tcPr>
                <w:p>
                  <w:pPr>
                    <w:pStyle w:val="47"/>
                    <w:jc w:val="center"/>
                    <w:rPr>
                      <w:color w:val="auto"/>
                      <w:sz w:val="21"/>
                      <w:szCs w:val="21"/>
                    </w:rPr>
                  </w:pPr>
                </w:p>
              </w:tc>
              <w:tc>
                <w:tcPr>
                  <w:tcW w:w="971" w:type="dxa"/>
                  <w:vMerge w:val="restart"/>
                  <w:vAlign w:val="center"/>
                </w:tcPr>
                <w:p>
                  <w:pPr>
                    <w:pStyle w:val="47"/>
                    <w:jc w:val="center"/>
                    <w:rPr>
                      <w:color w:val="auto"/>
                      <w:sz w:val="21"/>
                      <w:szCs w:val="21"/>
                    </w:rPr>
                  </w:pPr>
                  <w:r>
                    <w:rPr>
                      <w:rFonts w:ascii="Times New Roman" w:cs="Times New Roman"/>
                      <w:color w:val="auto"/>
                      <w:sz w:val="21"/>
                      <w:szCs w:val="21"/>
                    </w:rPr>
                    <w:t>环境风险防控</w:t>
                  </w:r>
                </w:p>
              </w:tc>
              <w:tc>
                <w:tcPr>
                  <w:tcW w:w="3131" w:type="dxa"/>
                  <w:vAlign w:val="center"/>
                </w:tcPr>
                <w:p>
                  <w:pPr>
                    <w:suppressAutoHyphens/>
                    <w:snapToGrid w:val="0"/>
                    <w:spacing w:line="240" w:lineRule="auto"/>
                    <w:ind w:firstLine="0" w:firstLineChars="0"/>
                    <w:rPr>
                      <w:sz w:val="21"/>
                      <w:szCs w:val="21"/>
                    </w:rPr>
                  </w:pPr>
                  <w:r>
                    <w:rPr>
                      <w:rFonts w:hint="eastAsia"/>
                      <w:b/>
                      <w:sz w:val="21"/>
                      <w:szCs w:val="21"/>
                    </w:rPr>
                    <w:t>第一条</w:t>
                  </w:r>
                  <w:r>
                    <w:rPr>
                      <w:rFonts w:hint="eastAsia"/>
                      <w:sz w:val="21"/>
                      <w:szCs w:val="21"/>
                    </w:rPr>
                    <w:t>：强化工业园区环境风险管控。实施技术、工艺、设备等生态化、循环化改造，加快布局分散的企业向园区集中，按要求设置生态隔离带，建设相应的防护工程。强化环境应急队伍建设和物资储备。</w:t>
                  </w:r>
                </w:p>
              </w:tc>
              <w:tc>
                <w:tcPr>
                  <w:tcW w:w="2223" w:type="dxa"/>
                  <w:vMerge w:val="restart"/>
                  <w:vAlign w:val="center"/>
                </w:tcPr>
                <w:p>
                  <w:pPr>
                    <w:pStyle w:val="47"/>
                    <w:rPr>
                      <w:rFonts w:ascii="Times New Roman" w:cs="Times New Roman"/>
                      <w:color w:val="auto"/>
                      <w:kern w:val="2"/>
                      <w:sz w:val="21"/>
                      <w:szCs w:val="21"/>
                    </w:rPr>
                  </w:pPr>
                  <w:r>
                    <w:rPr>
                      <w:rFonts w:ascii="Times New Roman" w:cs="Times New Roman"/>
                      <w:color w:val="auto"/>
                      <w:kern w:val="2"/>
                      <w:sz w:val="21"/>
                      <w:szCs w:val="21"/>
                    </w:rPr>
                    <w:t>本项目</w:t>
                  </w:r>
                  <w:r>
                    <w:rPr>
                      <w:rFonts w:hint="eastAsia" w:ascii="Times New Roman" w:cs="Times New Roman"/>
                      <w:color w:val="auto"/>
                      <w:kern w:val="2"/>
                      <w:sz w:val="21"/>
                      <w:szCs w:val="21"/>
                    </w:rPr>
                    <w:t>不涉及。</w:t>
                  </w:r>
                </w:p>
              </w:tc>
              <w:tc>
                <w:tcPr>
                  <w:tcW w:w="851" w:type="dxa"/>
                  <w:vMerge w:val="restart"/>
                  <w:vAlign w:val="center"/>
                </w:tcPr>
                <w:p>
                  <w:pPr>
                    <w:pStyle w:val="47"/>
                    <w:jc w:val="center"/>
                    <w:rPr>
                      <w:rFonts w:ascii="Times New Roman" w:cs="Times New Roman"/>
                      <w:color w:val="auto"/>
                      <w:kern w:val="2"/>
                      <w:sz w:val="21"/>
                      <w:szCs w:val="21"/>
                    </w:rPr>
                  </w:pPr>
                  <w:r>
                    <w:rPr>
                      <w:rFonts w:hint="eastAsia" w:ascii="Times New Roman" w:cs="Times New Roman"/>
                      <w:color w:val="auto"/>
                      <w:kern w:val="2"/>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continue"/>
                </w:tcPr>
                <w:p>
                  <w:pPr>
                    <w:pStyle w:val="47"/>
                    <w:jc w:val="center"/>
                    <w:rPr>
                      <w:color w:val="auto"/>
                      <w:sz w:val="21"/>
                      <w:szCs w:val="21"/>
                    </w:rPr>
                  </w:pPr>
                </w:p>
              </w:tc>
              <w:tc>
                <w:tcPr>
                  <w:tcW w:w="971" w:type="dxa"/>
                  <w:vMerge w:val="continue"/>
                  <w:vAlign w:val="center"/>
                </w:tcPr>
                <w:p>
                  <w:pPr>
                    <w:pStyle w:val="47"/>
                    <w:jc w:val="center"/>
                    <w:rPr>
                      <w:color w:val="auto"/>
                      <w:sz w:val="21"/>
                      <w:szCs w:val="21"/>
                    </w:rPr>
                  </w:pPr>
                </w:p>
              </w:tc>
              <w:tc>
                <w:tcPr>
                  <w:tcW w:w="3131" w:type="dxa"/>
                  <w:vAlign w:val="center"/>
                </w:tcPr>
                <w:p>
                  <w:pPr>
                    <w:suppressAutoHyphens/>
                    <w:snapToGrid w:val="0"/>
                    <w:spacing w:line="240" w:lineRule="auto"/>
                    <w:ind w:firstLine="0" w:firstLineChars="0"/>
                    <w:rPr>
                      <w:sz w:val="21"/>
                      <w:szCs w:val="21"/>
                    </w:rPr>
                  </w:pPr>
                  <w:r>
                    <w:rPr>
                      <w:rFonts w:hint="eastAsia"/>
                      <w:b/>
                      <w:sz w:val="21"/>
                      <w:szCs w:val="21"/>
                    </w:rPr>
                    <w:t>第二条</w:t>
                  </w:r>
                  <w:r>
                    <w:rPr>
                      <w:rFonts w:hint="eastAsia"/>
                      <w:sz w:val="21"/>
                      <w:szCs w:val="21"/>
                    </w:rPr>
                    <w:t>：完善上下游应急联动机制，与小安溪上游区县建立跨流域应急联动机制，共同保障环境安全。</w:t>
                  </w:r>
                </w:p>
              </w:tc>
              <w:tc>
                <w:tcPr>
                  <w:tcW w:w="2223" w:type="dxa"/>
                  <w:vMerge w:val="continue"/>
                  <w:vAlign w:val="center"/>
                </w:tcPr>
                <w:p>
                  <w:pPr>
                    <w:pStyle w:val="47"/>
                    <w:suppressAutoHyphens/>
                    <w:snapToGrid w:val="0"/>
                    <w:jc w:val="both"/>
                    <w:rPr>
                      <w:rFonts w:ascii="Times New Roman" w:cs="Times New Roman"/>
                      <w:color w:val="auto"/>
                      <w:kern w:val="2"/>
                      <w:sz w:val="21"/>
                      <w:szCs w:val="21"/>
                    </w:rPr>
                  </w:pPr>
                </w:p>
              </w:tc>
              <w:tc>
                <w:tcPr>
                  <w:tcW w:w="851" w:type="dxa"/>
                  <w:vMerge w:val="continue"/>
                  <w:vAlign w:val="center"/>
                </w:tcPr>
                <w:p>
                  <w:pPr>
                    <w:pStyle w:val="47"/>
                    <w:suppressAutoHyphens/>
                    <w:snapToGrid w:val="0"/>
                    <w:jc w:val="both"/>
                    <w:rPr>
                      <w:rFonts w:ascii="Times New Roman" w:cs="Times New Roman"/>
                      <w:color w:val="auto"/>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continue"/>
                </w:tcPr>
                <w:p>
                  <w:pPr>
                    <w:pStyle w:val="47"/>
                    <w:jc w:val="center"/>
                    <w:rPr>
                      <w:color w:val="auto"/>
                      <w:sz w:val="21"/>
                      <w:szCs w:val="21"/>
                    </w:rPr>
                  </w:pPr>
                </w:p>
              </w:tc>
              <w:tc>
                <w:tcPr>
                  <w:tcW w:w="971" w:type="dxa"/>
                  <w:vMerge w:val="restart"/>
                  <w:vAlign w:val="center"/>
                </w:tcPr>
                <w:p>
                  <w:pPr>
                    <w:pStyle w:val="47"/>
                    <w:jc w:val="center"/>
                    <w:rPr>
                      <w:color w:val="auto"/>
                      <w:sz w:val="21"/>
                      <w:szCs w:val="21"/>
                    </w:rPr>
                  </w:pPr>
                  <w:r>
                    <w:rPr>
                      <w:rFonts w:hint="eastAsia"/>
                      <w:color w:val="auto"/>
                      <w:sz w:val="21"/>
                      <w:szCs w:val="21"/>
                    </w:rPr>
                    <w:t>资源利用效率</w:t>
                  </w:r>
                </w:p>
              </w:tc>
              <w:tc>
                <w:tcPr>
                  <w:tcW w:w="3131" w:type="dxa"/>
                  <w:vAlign w:val="center"/>
                </w:tcPr>
                <w:p>
                  <w:pPr>
                    <w:suppressAutoHyphens/>
                    <w:snapToGrid w:val="0"/>
                    <w:spacing w:line="240" w:lineRule="auto"/>
                    <w:ind w:firstLine="0" w:firstLineChars="0"/>
                    <w:rPr>
                      <w:b/>
                      <w:bCs/>
                      <w:sz w:val="21"/>
                      <w:szCs w:val="21"/>
                    </w:rPr>
                  </w:pPr>
                  <w:r>
                    <w:rPr>
                      <w:rFonts w:hint="eastAsia"/>
                      <w:b/>
                      <w:bCs/>
                      <w:sz w:val="21"/>
                      <w:szCs w:val="21"/>
                    </w:rPr>
                    <w:t>第一条</w:t>
                  </w:r>
                  <w:r>
                    <w:rPr>
                      <w:rFonts w:hint="eastAsia"/>
                      <w:bCs/>
                      <w:sz w:val="21"/>
                      <w:szCs w:val="21"/>
                    </w:rPr>
                    <w:t>：在划定的高污染燃料禁燃区内，禁止销售和使用原煤、煤矸石、重油、渣油、石油焦、木柴、秸秆等国家和本市规定的高污染燃料。现有使用高污染燃料的设施应当限期淘汰或者改用天然气、页岩气、液化石油气、电、风能等清洁能源。</w:t>
                  </w:r>
                </w:p>
              </w:tc>
              <w:tc>
                <w:tcPr>
                  <w:tcW w:w="2223" w:type="dxa"/>
                  <w:vMerge w:val="restart"/>
                  <w:vAlign w:val="center"/>
                </w:tcPr>
                <w:p>
                  <w:pPr>
                    <w:pStyle w:val="47"/>
                    <w:suppressAutoHyphens/>
                    <w:snapToGrid w:val="0"/>
                    <w:jc w:val="both"/>
                    <w:rPr>
                      <w:rFonts w:ascii="Times New Roman" w:cs="Times New Roman"/>
                      <w:color w:val="auto"/>
                      <w:kern w:val="2"/>
                      <w:sz w:val="21"/>
                      <w:szCs w:val="21"/>
                    </w:rPr>
                  </w:pPr>
                  <w:r>
                    <w:rPr>
                      <w:rFonts w:ascii="Times New Roman" w:cs="Times New Roman"/>
                      <w:color w:val="auto"/>
                      <w:kern w:val="2"/>
                      <w:sz w:val="21"/>
                      <w:szCs w:val="21"/>
                    </w:rPr>
                    <w:t>本项目的</w:t>
                  </w:r>
                  <w:r>
                    <w:rPr>
                      <w:rFonts w:hint="eastAsia" w:ascii="Times New Roman" w:cs="Times New Roman"/>
                      <w:color w:val="auto"/>
                      <w:kern w:val="2"/>
                      <w:sz w:val="21"/>
                      <w:szCs w:val="21"/>
                    </w:rPr>
                    <w:t>使用</w:t>
                  </w:r>
                  <w:r>
                    <w:rPr>
                      <w:rFonts w:ascii="Times New Roman" w:cs="Times New Roman"/>
                      <w:color w:val="auto"/>
                      <w:kern w:val="2"/>
                      <w:sz w:val="21"/>
                      <w:szCs w:val="21"/>
                    </w:rPr>
                    <w:t>的能源为电力</w:t>
                  </w:r>
                  <w:r>
                    <w:rPr>
                      <w:rFonts w:hint="eastAsia" w:ascii="Times New Roman" w:cs="Times New Roman"/>
                      <w:color w:val="auto"/>
                      <w:kern w:val="2"/>
                      <w:sz w:val="21"/>
                      <w:szCs w:val="21"/>
                    </w:rPr>
                    <w:t>。</w:t>
                  </w:r>
                </w:p>
              </w:tc>
              <w:tc>
                <w:tcPr>
                  <w:tcW w:w="851" w:type="dxa"/>
                  <w:vMerge w:val="restart"/>
                  <w:vAlign w:val="center"/>
                </w:tcPr>
                <w:p>
                  <w:pPr>
                    <w:pStyle w:val="47"/>
                    <w:suppressAutoHyphens/>
                    <w:snapToGrid w:val="0"/>
                    <w:jc w:val="both"/>
                    <w:rPr>
                      <w:rFonts w:ascii="Times New Roman" w:cs="Times New Roman"/>
                      <w:color w:val="auto"/>
                      <w:kern w:val="2"/>
                      <w:sz w:val="21"/>
                      <w:szCs w:val="21"/>
                    </w:rPr>
                  </w:pPr>
                  <w:r>
                    <w:rPr>
                      <w:rFonts w:hint="eastAsia" w:ascii="Times New Roman" w:cs="Times New Roman"/>
                      <w:color w:val="auto"/>
                      <w:kern w:val="2"/>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continue"/>
                </w:tcPr>
                <w:p>
                  <w:pPr>
                    <w:pStyle w:val="47"/>
                    <w:jc w:val="center"/>
                    <w:rPr>
                      <w:color w:val="auto"/>
                      <w:sz w:val="21"/>
                      <w:szCs w:val="21"/>
                    </w:rPr>
                  </w:pPr>
                </w:p>
              </w:tc>
              <w:tc>
                <w:tcPr>
                  <w:tcW w:w="971" w:type="dxa"/>
                  <w:vMerge w:val="continue"/>
                  <w:vAlign w:val="center"/>
                </w:tcPr>
                <w:p>
                  <w:pPr>
                    <w:pStyle w:val="47"/>
                    <w:jc w:val="center"/>
                    <w:rPr>
                      <w:color w:val="auto"/>
                      <w:sz w:val="21"/>
                      <w:szCs w:val="21"/>
                    </w:rPr>
                  </w:pPr>
                </w:p>
              </w:tc>
              <w:tc>
                <w:tcPr>
                  <w:tcW w:w="3131" w:type="dxa"/>
                  <w:vAlign w:val="center"/>
                </w:tcPr>
                <w:p>
                  <w:pPr>
                    <w:suppressAutoHyphens/>
                    <w:snapToGrid w:val="0"/>
                    <w:spacing w:line="240" w:lineRule="auto"/>
                    <w:ind w:firstLine="0" w:firstLineChars="0"/>
                    <w:rPr>
                      <w:sz w:val="21"/>
                      <w:szCs w:val="21"/>
                    </w:rPr>
                  </w:pPr>
                  <w:r>
                    <w:rPr>
                      <w:rFonts w:hint="eastAsia"/>
                      <w:b/>
                      <w:bCs/>
                      <w:sz w:val="21"/>
                      <w:szCs w:val="21"/>
                    </w:rPr>
                    <w:t>第二条</w:t>
                  </w:r>
                  <w:r>
                    <w:rPr>
                      <w:rFonts w:hint="eastAsia"/>
                      <w:bCs/>
                      <w:sz w:val="21"/>
                      <w:szCs w:val="21"/>
                    </w:rPr>
                    <w:t>：强化岸线及港口的布局要求，对小散码头落实“限制发展、逐步整合、适时关闭”的要求，对保留码头强化污染防控措施。</w:t>
                  </w:r>
                </w:p>
              </w:tc>
              <w:tc>
                <w:tcPr>
                  <w:tcW w:w="2223" w:type="dxa"/>
                  <w:vMerge w:val="continue"/>
                  <w:vAlign w:val="center"/>
                </w:tcPr>
                <w:p>
                  <w:pPr>
                    <w:pStyle w:val="47"/>
                    <w:suppressAutoHyphens/>
                    <w:snapToGrid w:val="0"/>
                    <w:jc w:val="both"/>
                    <w:rPr>
                      <w:rFonts w:ascii="Times New Roman" w:cs="Times New Roman"/>
                      <w:color w:val="auto"/>
                      <w:kern w:val="2"/>
                      <w:sz w:val="21"/>
                      <w:szCs w:val="21"/>
                    </w:rPr>
                  </w:pPr>
                </w:p>
              </w:tc>
              <w:tc>
                <w:tcPr>
                  <w:tcW w:w="851" w:type="dxa"/>
                  <w:vMerge w:val="continue"/>
                  <w:vAlign w:val="center"/>
                </w:tcPr>
                <w:p>
                  <w:pPr>
                    <w:pStyle w:val="47"/>
                    <w:suppressAutoHyphens/>
                    <w:snapToGrid w:val="0"/>
                    <w:jc w:val="both"/>
                    <w:rPr>
                      <w:rFonts w:ascii="Times New Roman" w:cs="Times New Roman"/>
                      <w:color w:val="auto"/>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restart"/>
                  <w:vAlign w:val="center"/>
                </w:tcPr>
                <w:p>
                  <w:pPr>
                    <w:pStyle w:val="47"/>
                    <w:jc w:val="center"/>
                    <w:rPr>
                      <w:color w:val="auto"/>
                      <w:sz w:val="21"/>
                      <w:szCs w:val="21"/>
                    </w:rPr>
                  </w:pPr>
                  <w:r>
                    <w:rPr>
                      <w:rFonts w:hint="eastAsia"/>
                      <w:color w:val="auto"/>
                      <w:sz w:val="21"/>
                      <w:szCs w:val="21"/>
                    </w:rPr>
                    <w:t>单元管控要求</w:t>
                  </w:r>
                </w:p>
              </w:tc>
              <w:tc>
                <w:tcPr>
                  <w:tcW w:w="971" w:type="dxa"/>
                  <w:vAlign w:val="center"/>
                </w:tcPr>
                <w:p>
                  <w:pPr>
                    <w:suppressAutoHyphens/>
                    <w:snapToGrid w:val="0"/>
                    <w:spacing w:line="240" w:lineRule="auto"/>
                    <w:ind w:firstLine="0" w:firstLineChars="0"/>
                    <w:rPr>
                      <w:sz w:val="21"/>
                      <w:szCs w:val="21"/>
                    </w:rPr>
                  </w:pPr>
                  <w:r>
                    <w:rPr>
                      <w:rFonts w:hint="eastAsia"/>
                      <w:sz w:val="21"/>
                      <w:szCs w:val="21"/>
                    </w:rPr>
                    <w:t>空间布局约束</w:t>
                  </w:r>
                </w:p>
              </w:tc>
              <w:tc>
                <w:tcPr>
                  <w:tcW w:w="3131" w:type="dxa"/>
                  <w:vAlign w:val="center"/>
                </w:tcPr>
                <w:p>
                  <w:pPr>
                    <w:spacing w:line="240" w:lineRule="auto"/>
                    <w:ind w:firstLine="0" w:firstLineChars="0"/>
                    <w:jc w:val="left"/>
                    <w:rPr>
                      <w:sz w:val="21"/>
                      <w:szCs w:val="21"/>
                    </w:rPr>
                  </w:pPr>
                  <w:r>
                    <w:rPr>
                      <w:rFonts w:hint="eastAsia"/>
                      <w:kern w:val="0"/>
                      <w:sz w:val="21"/>
                      <w:szCs w:val="21"/>
                    </w:rPr>
                    <w:t>合川区城市建成区主导风向上风向20公里，下风向10公里范围内，禁止新建、扩建燃煤电厂、水泥、冶炼、粉磨站等大气污染严重的工业项目。南溪组团A区规划区内企业入驻时应优化环境防护距离设置，以防范产业园区涉生态环境“邻避”问题为出发点，将环境防护距离优化控制在园区边界或用地红线内。南溪组团A区健康医药禁止不符合GMP要求的安瓿拉丝灌封机。南溪组团A区健康医药禁止原料药及化学合成药生产线。</w:t>
                  </w:r>
                </w:p>
              </w:tc>
              <w:tc>
                <w:tcPr>
                  <w:tcW w:w="2223" w:type="dxa"/>
                  <w:vAlign w:val="center"/>
                </w:tcPr>
                <w:p>
                  <w:pPr>
                    <w:suppressAutoHyphens/>
                    <w:snapToGrid w:val="0"/>
                    <w:spacing w:line="240" w:lineRule="auto"/>
                    <w:ind w:firstLine="0" w:firstLineChars="0"/>
                    <w:rPr>
                      <w:sz w:val="21"/>
                      <w:szCs w:val="21"/>
                    </w:rPr>
                  </w:pPr>
                  <w:r>
                    <w:rPr>
                      <w:sz w:val="21"/>
                      <w:szCs w:val="21"/>
                    </w:rPr>
                    <w:t>本项目</w:t>
                  </w:r>
                  <w:r>
                    <w:rPr>
                      <w:rFonts w:hint="eastAsia"/>
                      <w:sz w:val="21"/>
                      <w:szCs w:val="21"/>
                    </w:rPr>
                    <w:t>不属于文件禁止</w:t>
                  </w:r>
                  <w:r>
                    <w:rPr>
                      <w:sz w:val="21"/>
                      <w:szCs w:val="21"/>
                    </w:rPr>
                    <w:t>建设项目</w:t>
                  </w:r>
                  <w:r>
                    <w:rPr>
                      <w:rFonts w:hint="eastAsia"/>
                      <w:sz w:val="21"/>
                      <w:szCs w:val="21"/>
                    </w:rPr>
                    <w:t>。</w:t>
                  </w:r>
                </w:p>
              </w:tc>
              <w:tc>
                <w:tcPr>
                  <w:tcW w:w="851" w:type="dxa"/>
                  <w:vAlign w:val="center"/>
                </w:tcPr>
                <w:p>
                  <w:pPr>
                    <w:pStyle w:val="47"/>
                    <w:suppressAutoHyphens/>
                    <w:snapToGrid w:val="0"/>
                    <w:jc w:val="both"/>
                    <w:rPr>
                      <w:rFonts w:ascii="Times New Roman" w:cs="Times New Roman"/>
                      <w:color w:val="auto"/>
                      <w:kern w:val="2"/>
                      <w:sz w:val="21"/>
                      <w:szCs w:val="21"/>
                    </w:rPr>
                  </w:pPr>
                  <w:r>
                    <w:rPr>
                      <w:rFonts w:hint="eastAsia" w:ascii="Times New Roman" w:cs="Times New Roman"/>
                      <w:color w:val="auto"/>
                      <w:kern w:val="2"/>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continue"/>
                </w:tcPr>
                <w:p>
                  <w:pPr>
                    <w:pStyle w:val="47"/>
                    <w:jc w:val="center"/>
                    <w:rPr>
                      <w:color w:val="auto"/>
                      <w:sz w:val="21"/>
                      <w:szCs w:val="21"/>
                    </w:rPr>
                  </w:pPr>
                </w:p>
              </w:tc>
              <w:tc>
                <w:tcPr>
                  <w:tcW w:w="971" w:type="dxa"/>
                  <w:vAlign w:val="center"/>
                </w:tcPr>
                <w:p>
                  <w:pPr>
                    <w:suppressAutoHyphens/>
                    <w:snapToGrid w:val="0"/>
                    <w:spacing w:line="240" w:lineRule="auto"/>
                    <w:ind w:firstLine="0" w:firstLineChars="0"/>
                    <w:rPr>
                      <w:sz w:val="21"/>
                      <w:szCs w:val="21"/>
                    </w:rPr>
                  </w:pPr>
                  <w:r>
                    <w:rPr>
                      <w:rFonts w:hint="eastAsia"/>
                      <w:sz w:val="21"/>
                      <w:szCs w:val="21"/>
                    </w:rPr>
                    <w:t>污染物排放管控</w:t>
                  </w:r>
                </w:p>
              </w:tc>
              <w:tc>
                <w:tcPr>
                  <w:tcW w:w="3131" w:type="dxa"/>
                  <w:vAlign w:val="center"/>
                </w:tcPr>
                <w:p>
                  <w:pPr>
                    <w:spacing w:line="240" w:lineRule="auto"/>
                    <w:ind w:firstLine="0" w:firstLineChars="0"/>
                    <w:rPr>
                      <w:sz w:val="21"/>
                      <w:szCs w:val="21"/>
                    </w:rPr>
                  </w:pPr>
                  <w:r>
                    <w:rPr>
                      <w:kern w:val="0"/>
                      <w:sz w:val="21"/>
                      <w:szCs w:val="21"/>
                    </w:rPr>
                    <w:t>严格控制大气污染物排放量大的企业入园。</w:t>
                  </w:r>
                </w:p>
              </w:tc>
              <w:tc>
                <w:tcPr>
                  <w:tcW w:w="2223" w:type="dxa"/>
                  <w:vAlign w:val="center"/>
                </w:tcPr>
                <w:p>
                  <w:pPr>
                    <w:suppressAutoHyphens/>
                    <w:snapToGrid w:val="0"/>
                    <w:spacing w:line="240" w:lineRule="auto"/>
                    <w:ind w:firstLine="0" w:firstLineChars="0"/>
                    <w:rPr>
                      <w:sz w:val="21"/>
                      <w:szCs w:val="21"/>
                    </w:rPr>
                  </w:pPr>
                  <w:r>
                    <w:rPr>
                      <w:rFonts w:hint="eastAsia"/>
                      <w:sz w:val="21"/>
                      <w:szCs w:val="21"/>
                    </w:rPr>
                    <w:t>本项目少量废气车间</w:t>
                  </w:r>
                  <w:r>
                    <w:rPr>
                      <w:sz w:val="21"/>
                      <w:szCs w:val="21"/>
                    </w:rPr>
                    <w:t>内无组织排放</w:t>
                  </w:r>
                  <w:r>
                    <w:rPr>
                      <w:rFonts w:hint="eastAsia"/>
                      <w:sz w:val="21"/>
                      <w:szCs w:val="21"/>
                    </w:rPr>
                    <w:t>，</w:t>
                  </w:r>
                  <w:r>
                    <w:rPr>
                      <w:sz w:val="21"/>
                      <w:szCs w:val="21"/>
                    </w:rPr>
                    <w:t>满足排污许可污染防治技术规范要求</w:t>
                  </w:r>
                  <w:r>
                    <w:rPr>
                      <w:rFonts w:hint="eastAsia"/>
                      <w:sz w:val="21"/>
                      <w:szCs w:val="21"/>
                    </w:rPr>
                    <w:t>。</w:t>
                  </w:r>
                </w:p>
              </w:tc>
              <w:tc>
                <w:tcPr>
                  <w:tcW w:w="851" w:type="dxa"/>
                  <w:vAlign w:val="center"/>
                </w:tcPr>
                <w:p>
                  <w:pPr>
                    <w:pStyle w:val="47"/>
                    <w:suppressAutoHyphens/>
                    <w:snapToGrid w:val="0"/>
                    <w:jc w:val="both"/>
                    <w:rPr>
                      <w:rFonts w:ascii="Times New Roman" w:cs="Times New Roman"/>
                      <w:color w:val="auto"/>
                      <w:kern w:val="2"/>
                      <w:sz w:val="21"/>
                      <w:szCs w:val="21"/>
                    </w:rPr>
                  </w:pPr>
                  <w:r>
                    <w:rPr>
                      <w:rFonts w:hint="eastAsia" w:ascii="Times New Roman" w:cs="Times New Roman"/>
                      <w:color w:val="auto"/>
                      <w:kern w:val="2"/>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continue"/>
                </w:tcPr>
                <w:p>
                  <w:pPr>
                    <w:pStyle w:val="47"/>
                    <w:jc w:val="center"/>
                    <w:rPr>
                      <w:color w:val="auto"/>
                      <w:sz w:val="21"/>
                      <w:szCs w:val="21"/>
                    </w:rPr>
                  </w:pPr>
                </w:p>
              </w:tc>
              <w:tc>
                <w:tcPr>
                  <w:tcW w:w="971" w:type="dxa"/>
                  <w:vAlign w:val="center"/>
                </w:tcPr>
                <w:p>
                  <w:pPr>
                    <w:suppressAutoHyphens/>
                    <w:snapToGrid w:val="0"/>
                    <w:spacing w:line="240" w:lineRule="auto"/>
                    <w:ind w:firstLine="0" w:firstLineChars="0"/>
                    <w:rPr>
                      <w:sz w:val="21"/>
                      <w:szCs w:val="21"/>
                    </w:rPr>
                  </w:pPr>
                  <w:r>
                    <w:rPr>
                      <w:rFonts w:hint="eastAsia"/>
                      <w:sz w:val="21"/>
                      <w:szCs w:val="21"/>
                    </w:rPr>
                    <w:t>环境风险防控</w:t>
                  </w:r>
                </w:p>
              </w:tc>
              <w:tc>
                <w:tcPr>
                  <w:tcW w:w="3131" w:type="dxa"/>
                  <w:vAlign w:val="center"/>
                </w:tcPr>
                <w:p>
                  <w:pPr>
                    <w:spacing w:line="240" w:lineRule="auto"/>
                    <w:ind w:firstLine="0" w:firstLineChars="0"/>
                    <w:jc w:val="left"/>
                    <w:rPr>
                      <w:sz w:val="21"/>
                      <w:szCs w:val="21"/>
                    </w:rPr>
                  </w:pPr>
                  <w:r>
                    <w:rPr>
                      <w:rFonts w:hint="eastAsia"/>
                      <w:sz w:val="21"/>
                      <w:szCs w:val="21"/>
                    </w:rPr>
                    <w:t>加强对有毒有害和易燃易爆物质的有关设施的布局、选址管理。加强工业园区内有水环境污染风险企业的风险防控。完善上下游应急联动机制，探索与小安溪上游区县建立跨流域应急联动机制，共同保障环境安全。</w:t>
                  </w:r>
                </w:p>
              </w:tc>
              <w:tc>
                <w:tcPr>
                  <w:tcW w:w="2223" w:type="dxa"/>
                  <w:vAlign w:val="center"/>
                </w:tcPr>
                <w:p>
                  <w:pPr>
                    <w:suppressAutoHyphens/>
                    <w:snapToGrid w:val="0"/>
                    <w:spacing w:line="240" w:lineRule="auto"/>
                    <w:ind w:firstLine="0" w:firstLineChars="0"/>
                    <w:rPr>
                      <w:sz w:val="21"/>
                      <w:szCs w:val="21"/>
                    </w:rPr>
                  </w:pPr>
                  <w:r>
                    <w:rPr>
                      <w:rFonts w:hint="eastAsia"/>
                      <w:sz w:val="21"/>
                      <w:szCs w:val="21"/>
                    </w:rPr>
                    <w:t>本项目污水处理设施</w:t>
                  </w:r>
                  <w:r>
                    <w:rPr>
                      <w:sz w:val="21"/>
                      <w:szCs w:val="21"/>
                    </w:rPr>
                    <w:t>采取了</w:t>
                  </w:r>
                  <w:r>
                    <w:rPr>
                      <w:rFonts w:hint="eastAsia"/>
                      <w:sz w:val="21"/>
                      <w:szCs w:val="21"/>
                    </w:rPr>
                    <w:t>防渗</w:t>
                  </w:r>
                  <w:r>
                    <w:rPr>
                      <w:sz w:val="21"/>
                      <w:szCs w:val="21"/>
                    </w:rPr>
                    <w:t>措施，</w:t>
                  </w:r>
                  <w:r>
                    <w:rPr>
                      <w:rFonts w:hint="eastAsia"/>
                      <w:sz w:val="21"/>
                      <w:szCs w:val="21"/>
                    </w:rPr>
                    <w:t>不涉及其他有毒有害和易燃易爆物质。</w:t>
                  </w:r>
                </w:p>
              </w:tc>
              <w:tc>
                <w:tcPr>
                  <w:tcW w:w="851" w:type="dxa"/>
                  <w:vAlign w:val="center"/>
                </w:tcPr>
                <w:p>
                  <w:pPr>
                    <w:pStyle w:val="47"/>
                    <w:suppressAutoHyphens/>
                    <w:snapToGrid w:val="0"/>
                    <w:jc w:val="both"/>
                    <w:rPr>
                      <w:rFonts w:ascii="Times New Roman" w:cs="Times New Roman"/>
                      <w:color w:val="auto"/>
                      <w:kern w:val="2"/>
                      <w:sz w:val="21"/>
                      <w:szCs w:val="21"/>
                    </w:rPr>
                  </w:pPr>
                  <w:r>
                    <w:rPr>
                      <w:rFonts w:hint="eastAsia" w:ascii="Times New Roman" w:cs="Times New Roman"/>
                      <w:color w:val="auto"/>
                      <w:kern w:val="2"/>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64" w:type="dxa"/>
                  <w:vMerge w:val="continue"/>
                </w:tcPr>
                <w:p>
                  <w:pPr>
                    <w:pStyle w:val="47"/>
                    <w:jc w:val="center"/>
                    <w:rPr>
                      <w:color w:val="auto"/>
                      <w:sz w:val="21"/>
                      <w:szCs w:val="21"/>
                    </w:rPr>
                  </w:pPr>
                </w:p>
              </w:tc>
              <w:tc>
                <w:tcPr>
                  <w:tcW w:w="971" w:type="dxa"/>
                  <w:vAlign w:val="center"/>
                </w:tcPr>
                <w:p>
                  <w:pPr>
                    <w:suppressAutoHyphens/>
                    <w:snapToGrid w:val="0"/>
                    <w:spacing w:line="240" w:lineRule="auto"/>
                    <w:ind w:firstLine="0" w:firstLineChars="0"/>
                    <w:rPr>
                      <w:sz w:val="21"/>
                      <w:szCs w:val="21"/>
                    </w:rPr>
                  </w:pPr>
                  <w:r>
                    <w:rPr>
                      <w:rFonts w:hint="eastAsia"/>
                      <w:sz w:val="21"/>
                      <w:szCs w:val="21"/>
                    </w:rPr>
                    <w:t>资源开发效率要求</w:t>
                  </w:r>
                </w:p>
              </w:tc>
              <w:tc>
                <w:tcPr>
                  <w:tcW w:w="3131" w:type="dxa"/>
                  <w:vAlign w:val="center"/>
                </w:tcPr>
                <w:p>
                  <w:pPr>
                    <w:spacing w:line="240" w:lineRule="auto"/>
                    <w:ind w:firstLine="0" w:firstLineChars="0"/>
                    <w:jc w:val="left"/>
                    <w:rPr>
                      <w:sz w:val="21"/>
                      <w:szCs w:val="21"/>
                    </w:rPr>
                  </w:pPr>
                  <w:r>
                    <w:rPr>
                      <w:rFonts w:hint="eastAsia"/>
                      <w:sz w:val="21"/>
                      <w:szCs w:val="21"/>
                    </w:rPr>
                    <w:t>高污染燃料禁燃区内禁止新建、扩建燃用高污染燃料的设施。工业园区严格限制耗水量较大产业入区。</w:t>
                  </w:r>
                </w:p>
              </w:tc>
              <w:tc>
                <w:tcPr>
                  <w:tcW w:w="2223" w:type="dxa"/>
                  <w:vAlign w:val="center"/>
                </w:tcPr>
                <w:p>
                  <w:pPr>
                    <w:suppressAutoHyphens/>
                    <w:snapToGrid w:val="0"/>
                    <w:spacing w:line="240" w:lineRule="auto"/>
                    <w:ind w:firstLine="0" w:firstLineChars="0"/>
                    <w:rPr>
                      <w:sz w:val="21"/>
                      <w:szCs w:val="21"/>
                    </w:rPr>
                  </w:pPr>
                  <w:r>
                    <w:rPr>
                      <w:rFonts w:hint="eastAsia"/>
                      <w:sz w:val="21"/>
                      <w:szCs w:val="21"/>
                    </w:rPr>
                    <w:t>本项目符合资源开发效率要求。</w:t>
                  </w:r>
                </w:p>
              </w:tc>
              <w:tc>
                <w:tcPr>
                  <w:tcW w:w="851" w:type="dxa"/>
                  <w:vAlign w:val="center"/>
                </w:tcPr>
                <w:p>
                  <w:pPr>
                    <w:pStyle w:val="47"/>
                    <w:suppressAutoHyphens/>
                    <w:snapToGrid w:val="0"/>
                    <w:jc w:val="both"/>
                    <w:rPr>
                      <w:rFonts w:ascii="Times New Roman" w:cs="Times New Roman"/>
                      <w:color w:val="auto"/>
                      <w:kern w:val="2"/>
                      <w:sz w:val="21"/>
                      <w:szCs w:val="21"/>
                    </w:rPr>
                  </w:pPr>
                  <w:r>
                    <w:rPr>
                      <w:rFonts w:hint="eastAsia" w:ascii="Times New Roman" w:cs="Times New Roman"/>
                      <w:color w:val="auto"/>
                      <w:kern w:val="2"/>
                      <w:sz w:val="21"/>
                      <w:szCs w:val="21"/>
                    </w:rPr>
                    <w:t>符合</w:t>
                  </w:r>
                </w:p>
              </w:tc>
            </w:tr>
          </w:tbl>
          <w:p>
            <w:pPr>
              <w:autoSpaceDE w:val="0"/>
              <w:autoSpaceDN w:val="0"/>
              <w:adjustRightInd w:val="0"/>
              <w:snapToGrid w:val="0"/>
              <w:ind w:firstLine="480"/>
              <w:rPr>
                <w:b/>
                <w:bCs/>
              </w:rPr>
            </w:pPr>
            <w:r>
              <w:rPr>
                <w:rFonts w:hint="eastAsia"/>
                <w:bCs/>
              </w:rPr>
              <w:t>综上，本项目符合“三线一单”管控要求。</w:t>
            </w:r>
          </w:p>
          <w:p>
            <w:pPr>
              <w:autoSpaceDE w:val="0"/>
              <w:autoSpaceDN w:val="0"/>
              <w:spacing w:before="120" w:beforeLines="50"/>
              <w:ind w:firstLine="482"/>
              <w:jc w:val="left"/>
              <w:rPr>
                <w:b/>
                <w:kern w:val="0"/>
                <w:szCs w:val="21"/>
              </w:rPr>
            </w:pPr>
            <w:r>
              <w:rPr>
                <w:b/>
                <w:kern w:val="0"/>
                <w:szCs w:val="21"/>
              </w:rPr>
              <w:t>2、与其他相关生态环境保护法律法规政策、生态环境保护规划的符合性分析</w:t>
            </w:r>
          </w:p>
          <w:p>
            <w:pPr>
              <w:autoSpaceDE w:val="0"/>
              <w:autoSpaceDN w:val="0"/>
              <w:ind w:firstLine="480"/>
              <w:rPr>
                <w:kern w:val="0"/>
                <w:szCs w:val="21"/>
              </w:rPr>
            </w:pPr>
            <w:r>
              <w:rPr>
                <w:kern w:val="0"/>
                <w:szCs w:val="21"/>
              </w:rPr>
              <w:t>（1）与《产业结构调整指导目录（2024年本）》的符合性分析</w:t>
            </w:r>
          </w:p>
          <w:p>
            <w:pPr>
              <w:autoSpaceDE w:val="0"/>
              <w:autoSpaceDN w:val="0"/>
              <w:ind w:firstLine="480"/>
              <w:rPr>
                <w:kern w:val="0"/>
                <w:szCs w:val="21"/>
              </w:rPr>
            </w:pPr>
            <w:r>
              <w:rPr>
                <w:rFonts w:hint="eastAsia"/>
                <w:kern w:val="0"/>
                <w:szCs w:val="21"/>
              </w:rPr>
              <w:t>项目</w:t>
            </w:r>
            <w:r>
              <w:rPr>
                <w:kern w:val="0"/>
                <w:szCs w:val="21"/>
              </w:rPr>
              <w:t>属于</w:t>
            </w:r>
            <w:r>
              <w:rPr>
                <w:szCs w:val="22"/>
              </w:rPr>
              <w:t>C1391</w:t>
            </w:r>
            <w:r>
              <w:rPr>
                <w:rFonts w:hint="eastAsia"/>
                <w:szCs w:val="22"/>
              </w:rPr>
              <w:t>淀粉及</w:t>
            </w:r>
            <w:r>
              <w:rPr>
                <w:szCs w:val="22"/>
              </w:rPr>
              <w:t>淀粉制品制造</w:t>
            </w:r>
            <w:r>
              <w:rPr>
                <w:rFonts w:hint="eastAsia"/>
                <w:szCs w:val="22"/>
              </w:rPr>
              <w:t>和C1392</w:t>
            </w:r>
            <w:r>
              <w:rPr>
                <w:szCs w:val="22"/>
              </w:rPr>
              <w:t>豆制品制造</w:t>
            </w:r>
            <w:r>
              <w:rPr>
                <w:rFonts w:hint="eastAsia"/>
                <w:szCs w:val="22"/>
              </w:rPr>
              <w:t>，</w:t>
            </w:r>
            <w:r>
              <w:rPr>
                <w:szCs w:val="22"/>
              </w:rPr>
              <w:t>主要产品为</w:t>
            </w:r>
            <w:r>
              <w:rPr>
                <w:rFonts w:hint="eastAsia"/>
                <w:szCs w:val="22"/>
              </w:rPr>
              <w:t>卤豆干</w:t>
            </w:r>
            <w:r>
              <w:rPr>
                <w:szCs w:val="22"/>
              </w:rPr>
              <w:t>和</w:t>
            </w:r>
            <w:r>
              <w:rPr>
                <w:rFonts w:hint="eastAsia"/>
                <w:szCs w:val="22"/>
              </w:rPr>
              <w:t>苕皮</w:t>
            </w:r>
            <w:r>
              <w:rPr>
                <w:szCs w:val="22"/>
              </w:rPr>
              <w:t>，</w:t>
            </w:r>
            <w:r>
              <w:rPr>
                <w:kern w:val="0"/>
                <w:szCs w:val="21"/>
              </w:rPr>
              <w:t>根据《产业结构调整指导目录（2024年本）》，不属于禁止、限制类，为允许类项目；项目采用的工艺设备不属于《产业结构调整指导目录（2024年本）》和《部分工业行业淘汰落后生产工艺装备和产品指导目录（2010年本）》中淘汰范畴。因此，项目符合国家现行产业政策。</w:t>
            </w:r>
          </w:p>
          <w:p>
            <w:pPr>
              <w:ind w:firstLine="480"/>
              <w:rPr>
                <w:kern w:val="0"/>
                <w:szCs w:val="21"/>
              </w:rPr>
            </w:pPr>
            <w:r>
              <w:rPr>
                <w:kern w:val="0"/>
                <w:szCs w:val="21"/>
              </w:rPr>
              <w:t>（2）与《</w:t>
            </w:r>
            <w:r>
              <w:rPr>
                <w:rFonts w:hint="eastAsia"/>
                <w:kern w:val="0"/>
                <w:szCs w:val="21"/>
              </w:rPr>
              <w:t>重庆市发展和改革委员会关于印发重庆市产业投资准入工作手册的通知</w:t>
            </w:r>
            <w:r>
              <w:rPr>
                <w:kern w:val="0"/>
                <w:szCs w:val="21"/>
              </w:rPr>
              <w:t>》（渝发改投</w:t>
            </w:r>
            <w:r>
              <w:rPr>
                <w:rFonts w:hint="eastAsia"/>
                <w:kern w:val="0"/>
                <w:szCs w:val="21"/>
              </w:rPr>
              <w:t>资</w:t>
            </w:r>
            <w:r>
              <w:rPr>
                <w:kern w:val="0"/>
                <w:szCs w:val="21"/>
              </w:rPr>
              <w:t>〔2022〕1436号）符合性分析</w:t>
            </w:r>
          </w:p>
          <w:p>
            <w:pPr>
              <w:autoSpaceDE w:val="0"/>
              <w:autoSpaceDN w:val="0"/>
              <w:adjustRightInd w:val="0"/>
              <w:snapToGrid w:val="0"/>
              <w:spacing w:line="400" w:lineRule="exact"/>
              <w:ind w:firstLine="0" w:firstLineChars="0"/>
              <w:jc w:val="center"/>
              <w:rPr>
                <w:b/>
                <w:bCs/>
                <w:kern w:val="0"/>
                <w:szCs w:val="21"/>
              </w:rPr>
            </w:pPr>
            <w:r>
              <w:rPr>
                <w:b/>
                <w:bCs/>
                <w:kern w:val="0"/>
                <w:szCs w:val="21"/>
              </w:rPr>
              <w:t>表1-5与《</w:t>
            </w:r>
            <w:r>
              <w:rPr>
                <w:rFonts w:hint="eastAsia"/>
                <w:b/>
                <w:bCs/>
                <w:kern w:val="0"/>
                <w:szCs w:val="21"/>
              </w:rPr>
              <w:t>重庆市发展和改革委员会关于印发重庆市产业投资准入工作手册的通知</w:t>
            </w:r>
            <w:r>
              <w:rPr>
                <w:b/>
                <w:bCs/>
                <w:kern w:val="0"/>
                <w:szCs w:val="21"/>
              </w:rPr>
              <w:t>》（渝发改投</w:t>
            </w:r>
            <w:r>
              <w:rPr>
                <w:rFonts w:hint="eastAsia"/>
                <w:b/>
                <w:bCs/>
                <w:kern w:val="0"/>
                <w:szCs w:val="21"/>
              </w:rPr>
              <w:t>资</w:t>
            </w:r>
            <w:r>
              <w:rPr>
                <w:b/>
                <w:bCs/>
                <w:kern w:val="0"/>
                <w:szCs w:val="21"/>
              </w:rPr>
              <w:t>〔2022〕1436号）符合性</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8"/>
              <w:gridCol w:w="4284"/>
              <w:gridCol w:w="2449"/>
              <w:gridCol w:w="10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Align w:val="center"/>
                </w:tcPr>
                <w:p>
                  <w:pPr>
                    <w:pStyle w:val="34"/>
                    <w:jc w:val="center"/>
                  </w:pPr>
                  <w:r>
                    <w:t>序号</w:t>
                  </w:r>
                </w:p>
              </w:tc>
              <w:tc>
                <w:tcPr>
                  <w:tcW w:w="2544" w:type="pct"/>
                  <w:vAlign w:val="center"/>
                </w:tcPr>
                <w:p>
                  <w:pPr>
                    <w:pStyle w:val="34"/>
                    <w:jc w:val="center"/>
                  </w:pPr>
                  <w:r>
                    <w:t>规定要求</w:t>
                  </w:r>
                </w:p>
              </w:tc>
              <w:tc>
                <w:tcPr>
                  <w:tcW w:w="1454" w:type="pct"/>
                  <w:vAlign w:val="center"/>
                </w:tcPr>
                <w:p>
                  <w:pPr>
                    <w:pStyle w:val="34"/>
                    <w:jc w:val="center"/>
                  </w:pPr>
                  <w:r>
                    <w:t>本项目执行情况</w:t>
                  </w:r>
                </w:p>
              </w:tc>
              <w:tc>
                <w:tcPr>
                  <w:tcW w:w="618" w:type="pct"/>
                  <w:vAlign w:val="center"/>
                </w:tcPr>
                <w:p>
                  <w:pPr>
                    <w:pStyle w:val="34"/>
                    <w:jc w:val="center"/>
                  </w:pPr>
                  <w: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Align w:val="center"/>
                </w:tcPr>
                <w:p>
                  <w:pPr>
                    <w:pStyle w:val="34"/>
                    <w:jc w:val="center"/>
                  </w:pPr>
                  <w:r>
                    <w:t>一</w:t>
                  </w:r>
                </w:p>
              </w:tc>
              <w:tc>
                <w:tcPr>
                  <w:tcW w:w="4615" w:type="pct"/>
                  <w:gridSpan w:val="3"/>
                  <w:vAlign w:val="center"/>
                </w:tcPr>
                <w:p>
                  <w:pPr>
                    <w:pStyle w:val="34"/>
                    <w:jc w:val="center"/>
                  </w:pPr>
                  <w:r>
                    <w:t>全市范围内不予准入的产业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Align w:val="center"/>
                </w:tcPr>
                <w:p>
                  <w:pPr>
                    <w:pStyle w:val="34"/>
                    <w:jc w:val="center"/>
                  </w:pPr>
                  <w:r>
                    <w:t>1</w:t>
                  </w:r>
                </w:p>
              </w:tc>
              <w:tc>
                <w:tcPr>
                  <w:tcW w:w="2544" w:type="pct"/>
                  <w:vAlign w:val="center"/>
                </w:tcPr>
                <w:p>
                  <w:pPr>
                    <w:pStyle w:val="34"/>
                    <w:jc w:val="left"/>
                  </w:pPr>
                  <w:r>
                    <w:rPr>
                      <w:rFonts w:hint="eastAsia"/>
                    </w:rPr>
                    <w:t>国家产业结构调整指导目录中的淘汰类项目。</w:t>
                  </w:r>
                </w:p>
              </w:tc>
              <w:tc>
                <w:tcPr>
                  <w:tcW w:w="1454" w:type="pct"/>
                  <w:vAlign w:val="center"/>
                </w:tcPr>
                <w:p>
                  <w:pPr>
                    <w:pStyle w:val="34"/>
                    <w:jc w:val="left"/>
                  </w:pPr>
                  <w:r>
                    <w:rPr>
                      <w:rFonts w:hint="eastAsia"/>
                    </w:rPr>
                    <w:t>本项目</w:t>
                  </w:r>
                  <w:r>
                    <w:t>属于</w:t>
                  </w:r>
                  <w:r>
                    <w:rPr>
                      <w:rFonts w:hint="eastAsia"/>
                    </w:rPr>
                    <w:t>允许类</w:t>
                  </w:r>
                  <w:r>
                    <w:t>项目。</w:t>
                  </w:r>
                </w:p>
              </w:tc>
              <w:tc>
                <w:tcPr>
                  <w:tcW w:w="618" w:type="pct"/>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Align w:val="center"/>
                </w:tcPr>
                <w:p>
                  <w:pPr>
                    <w:pStyle w:val="34"/>
                    <w:jc w:val="center"/>
                  </w:pPr>
                  <w:r>
                    <w:t>2</w:t>
                  </w:r>
                </w:p>
              </w:tc>
              <w:tc>
                <w:tcPr>
                  <w:tcW w:w="2544" w:type="pct"/>
                  <w:vAlign w:val="center"/>
                </w:tcPr>
                <w:p>
                  <w:pPr>
                    <w:pStyle w:val="34"/>
                    <w:jc w:val="left"/>
                  </w:pPr>
                  <w:r>
                    <w:rPr>
                      <w:rFonts w:hint="eastAsia"/>
                    </w:rPr>
                    <w:t>天然林商业性采伐。</w:t>
                  </w:r>
                </w:p>
              </w:tc>
              <w:tc>
                <w:tcPr>
                  <w:tcW w:w="1454" w:type="pct"/>
                  <w:vAlign w:val="center"/>
                </w:tcPr>
                <w:p>
                  <w:pPr>
                    <w:pStyle w:val="34"/>
                    <w:jc w:val="left"/>
                  </w:pPr>
                  <w:r>
                    <w:rPr>
                      <w:rFonts w:hint="eastAsia"/>
                    </w:rPr>
                    <w:t>本项目</w:t>
                  </w:r>
                  <w:r>
                    <w:t>不属于天然林商业性采伐。</w:t>
                  </w:r>
                </w:p>
              </w:tc>
              <w:tc>
                <w:tcPr>
                  <w:tcW w:w="618" w:type="pct"/>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Align w:val="center"/>
                </w:tcPr>
                <w:p>
                  <w:pPr>
                    <w:pStyle w:val="34"/>
                    <w:jc w:val="center"/>
                  </w:pPr>
                  <w:r>
                    <w:t>3</w:t>
                  </w:r>
                </w:p>
              </w:tc>
              <w:tc>
                <w:tcPr>
                  <w:tcW w:w="2544" w:type="pct"/>
                  <w:vAlign w:val="center"/>
                </w:tcPr>
                <w:p>
                  <w:pPr>
                    <w:pStyle w:val="34"/>
                    <w:jc w:val="left"/>
                  </w:pPr>
                  <w:r>
                    <w:rPr>
                      <w:rFonts w:hint="eastAsia"/>
                    </w:rPr>
                    <w:t>法律法规和相关政策明令不予准入的其他项目。</w:t>
                  </w:r>
                </w:p>
              </w:tc>
              <w:tc>
                <w:tcPr>
                  <w:tcW w:w="1454" w:type="pct"/>
                  <w:vAlign w:val="center"/>
                </w:tcPr>
                <w:p>
                  <w:pPr>
                    <w:pStyle w:val="34"/>
                    <w:jc w:val="left"/>
                  </w:pPr>
                  <w:r>
                    <w:rPr>
                      <w:rFonts w:hint="eastAsia"/>
                    </w:rPr>
                    <w:t>本项目</w:t>
                  </w:r>
                  <w:r>
                    <w:t>不属于</w:t>
                  </w:r>
                  <w:r>
                    <w:rPr>
                      <w:rFonts w:hint="eastAsia"/>
                    </w:rPr>
                    <w:t>法律法规和相关政策明令不予准入的其他项目。</w:t>
                  </w:r>
                </w:p>
              </w:tc>
              <w:tc>
                <w:tcPr>
                  <w:tcW w:w="618" w:type="pct"/>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Align w:val="center"/>
                </w:tcPr>
                <w:p>
                  <w:pPr>
                    <w:pStyle w:val="34"/>
                    <w:jc w:val="center"/>
                  </w:pPr>
                  <w:r>
                    <w:rPr>
                      <w:rFonts w:hint="eastAsia"/>
                    </w:rPr>
                    <w:t>二</w:t>
                  </w:r>
                </w:p>
              </w:tc>
              <w:tc>
                <w:tcPr>
                  <w:tcW w:w="4615" w:type="pct"/>
                  <w:gridSpan w:val="3"/>
                  <w:vAlign w:val="center"/>
                </w:tcPr>
                <w:p>
                  <w:pPr>
                    <w:pStyle w:val="34"/>
                    <w:jc w:val="center"/>
                  </w:pPr>
                  <w:r>
                    <w:rPr>
                      <w:rFonts w:hint="eastAsia"/>
                    </w:rPr>
                    <w:t>重点区域不予准入的产业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Align w:val="center"/>
                </w:tcPr>
                <w:p>
                  <w:pPr>
                    <w:pStyle w:val="34"/>
                    <w:jc w:val="center"/>
                  </w:pPr>
                  <w:r>
                    <w:t>1</w:t>
                  </w:r>
                </w:p>
              </w:tc>
              <w:tc>
                <w:tcPr>
                  <w:tcW w:w="2544" w:type="pct"/>
                </w:tcPr>
                <w:p>
                  <w:pPr>
                    <w:pStyle w:val="34"/>
                    <w:jc w:val="left"/>
                  </w:pPr>
                  <w:r>
                    <w:rPr>
                      <w:rFonts w:hint="eastAsia"/>
                    </w:rPr>
                    <w:t>外环绕城高速公路以内长江、嘉陵江水域采砂。</w:t>
                  </w:r>
                </w:p>
              </w:tc>
              <w:tc>
                <w:tcPr>
                  <w:tcW w:w="1454" w:type="pct"/>
                  <w:vAlign w:val="center"/>
                </w:tcPr>
                <w:p>
                  <w:pPr>
                    <w:pStyle w:val="34"/>
                    <w:jc w:val="left"/>
                  </w:pPr>
                  <w:r>
                    <w:rPr>
                      <w:rFonts w:hint="eastAsia"/>
                    </w:rPr>
                    <w:t>本项目</w:t>
                  </w:r>
                  <w:r>
                    <w:t>不涉及。</w:t>
                  </w:r>
                </w:p>
              </w:tc>
              <w:tc>
                <w:tcPr>
                  <w:tcW w:w="618" w:type="pct"/>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Align w:val="center"/>
                </w:tcPr>
                <w:p>
                  <w:pPr>
                    <w:pStyle w:val="34"/>
                    <w:jc w:val="center"/>
                  </w:pPr>
                  <w:r>
                    <w:rPr>
                      <w:rFonts w:hint="eastAsia"/>
                    </w:rPr>
                    <w:t>2</w:t>
                  </w:r>
                </w:p>
              </w:tc>
              <w:tc>
                <w:tcPr>
                  <w:tcW w:w="2544" w:type="pct"/>
                </w:tcPr>
                <w:p>
                  <w:pPr>
                    <w:pStyle w:val="34"/>
                    <w:jc w:val="left"/>
                  </w:pPr>
                  <w:r>
                    <w:rPr>
                      <w:rFonts w:hint="eastAsia"/>
                    </w:rPr>
                    <w:t>二十五度以上陡坡地开垦种植农作物。</w:t>
                  </w:r>
                </w:p>
              </w:tc>
              <w:tc>
                <w:tcPr>
                  <w:tcW w:w="1454" w:type="pct"/>
                  <w:vAlign w:val="center"/>
                </w:tcPr>
                <w:p>
                  <w:pPr>
                    <w:pStyle w:val="34"/>
                    <w:jc w:val="left"/>
                  </w:pPr>
                  <w:r>
                    <w:rPr>
                      <w:rFonts w:hint="eastAsia"/>
                    </w:rPr>
                    <w:t>本项目</w:t>
                  </w:r>
                  <w:r>
                    <w:t>不涉及。</w:t>
                  </w:r>
                </w:p>
              </w:tc>
              <w:tc>
                <w:tcPr>
                  <w:tcW w:w="618" w:type="pct"/>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Align w:val="center"/>
                </w:tcPr>
                <w:p>
                  <w:pPr>
                    <w:pStyle w:val="34"/>
                    <w:jc w:val="center"/>
                  </w:pPr>
                  <w:r>
                    <w:rPr>
                      <w:rFonts w:hint="eastAsia"/>
                    </w:rPr>
                    <w:t>3</w:t>
                  </w:r>
                </w:p>
              </w:tc>
              <w:tc>
                <w:tcPr>
                  <w:tcW w:w="2544" w:type="pct"/>
                </w:tcPr>
                <w:p>
                  <w:pPr>
                    <w:pStyle w:val="34"/>
                    <w:jc w:val="left"/>
                  </w:pPr>
                  <w:r>
                    <w:rPr>
                      <w:rFonts w:hint="eastAsia"/>
                    </w:rPr>
                    <w:t>在自然保护区核心区、缓冲区的岸线和河段范围内投资建设旅游和生产经营项目。</w:t>
                  </w:r>
                </w:p>
              </w:tc>
              <w:tc>
                <w:tcPr>
                  <w:tcW w:w="1454" w:type="pct"/>
                  <w:vAlign w:val="center"/>
                </w:tcPr>
                <w:p>
                  <w:pPr>
                    <w:pStyle w:val="34"/>
                    <w:jc w:val="left"/>
                  </w:pPr>
                  <w:r>
                    <w:rPr>
                      <w:rFonts w:hint="eastAsia"/>
                    </w:rPr>
                    <w:t>本项目</w:t>
                  </w:r>
                  <w:r>
                    <w:t>不涉及。</w:t>
                  </w:r>
                </w:p>
              </w:tc>
              <w:tc>
                <w:tcPr>
                  <w:tcW w:w="618" w:type="pct"/>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Align w:val="center"/>
                </w:tcPr>
                <w:p>
                  <w:pPr>
                    <w:pStyle w:val="34"/>
                    <w:jc w:val="center"/>
                  </w:pPr>
                  <w:r>
                    <w:rPr>
                      <w:rFonts w:hint="eastAsia"/>
                    </w:rPr>
                    <w:t>4</w:t>
                  </w:r>
                </w:p>
              </w:tc>
              <w:tc>
                <w:tcPr>
                  <w:tcW w:w="2544" w:type="pct"/>
                </w:tcPr>
                <w:p>
                  <w:pPr>
                    <w:pStyle w:val="34"/>
                    <w:jc w:val="left"/>
                  </w:pPr>
                  <w:r>
                    <w:rPr>
                      <w:rFonts w:hint="eastAsia"/>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1454" w:type="pct"/>
                  <w:vAlign w:val="center"/>
                </w:tcPr>
                <w:p>
                  <w:pPr>
                    <w:pStyle w:val="34"/>
                    <w:jc w:val="left"/>
                  </w:pPr>
                  <w:r>
                    <w:rPr>
                      <w:rFonts w:hint="eastAsia"/>
                    </w:rPr>
                    <w:t>本项目</w:t>
                  </w:r>
                  <w:r>
                    <w:t>不涉及。</w:t>
                  </w:r>
                </w:p>
              </w:tc>
              <w:tc>
                <w:tcPr>
                  <w:tcW w:w="618" w:type="pct"/>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Align w:val="center"/>
                </w:tcPr>
                <w:p>
                  <w:pPr>
                    <w:pStyle w:val="34"/>
                    <w:jc w:val="center"/>
                  </w:pPr>
                  <w:r>
                    <w:rPr>
                      <w:rFonts w:hint="eastAsia"/>
                    </w:rPr>
                    <w:t>5</w:t>
                  </w:r>
                </w:p>
              </w:tc>
              <w:tc>
                <w:tcPr>
                  <w:tcW w:w="2544" w:type="pct"/>
                </w:tcPr>
                <w:p>
                  <w:pPr>
                    <w:pStyle w:val="34"/>
                    <w:jc w:val="left"/>
                  </w:pPr>
                  <w:r>
                    <w:rPr>
                      <w:rFonts w:hint="eastAsia"/>
                    </w:rPr>
                    <w:t>长江干流岸线3公里范围内和重要支流岸线1公里范围内新建、改建、扩建尾矿库、冶炼渣库和磷石膏库（以提升安全、生态环境保护水平为目的的改建除外）。</w:t>
                  </w:r>
                </w:p>
              </w:tc>
              <w:tc>
                <w:tcPr>
                  <w:tcW w:w="1454" w:type="pct"/>
                  <w:vAlign w:val="center"/>
                </w:tcPr>
                <w:p>
                  <w:pPr>
                    <w:pStyle w:val="34"/>
                    <w:jc w:val="left"/>
                  </w:pPr>
                  <w:r>
                    <w:rPr>
                      <w:rFonts w:hint="eastAsia"/>
                    </w:rPr>
                    <w:t>本项目</w:t>
                  </w:r>
                  <w:r>
                    <w:t>不涉及。</w:t>
                  </w:r>
                </w:p>
              </w:tc>
              <w:tc>
                <w:tcPr>
                  <w:tcW w:w="618" w:type="pct"/>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Align w:val="center"/>
                </w:tcPr>
                <w:p>
                  <w:pPr>
                    <w:pStyle w:val="34"/>
                    <w:jc w:val="center"/>
                  </w:pPr>
                  <w:r>
                    <w:rPr>
                      <w:rFonts w:hint="eastAsia"/>
                    </w:rPr>
                    <w:t>6</w:t>
                  </w:r>
                </w:p>
              </w:tc>
              <w:tc>
                <w:tcPr>
                  <w:tcW w:w="2544" w:type="pct"/>
                </w:tcPr>
                <w:p>
                  <w:pPr>
                    <w:pStyle w:val="34"/>
                    <w:jc w:val="left"/>
                  </w:pPr>
                  <w:r>
                    <w:rPr>
                      <w:rFonts w:hint="eastAsia"/>
                    </w:rPr>
                    <w:t>在风景名胜区核心景区的岸线和河段范围内投资建设与风景名胜资源保护无关的项目。</w:t>
                  </w:r>
                </w:p>
              </w:tc>
              <w:tc>
                <w:tcPr>
                  <w:tcW w:w="1454" w:type="pct"/>
                  <w:vAlign w:val="center"/>
                </w:tcPr>
                <w:p>
                  <w:pPr>
                    <w:pStyle w:val="34"/>
                    <w:jc w:val="left"/>
                  </w:pPr>
                  <w:r>
                    <w:rPr>
                      <w:rFonts w:hint="eastAsia"/>
                    </w:rPr>
                    <w:t>本项目</w:t>
                  </w:r>
                  <w:r>
                    <w:t>不涉及。</w:t>
                  </w:r>
                </w:p>
              </w:tc>
              <w:tc>
                <w:tcPr>
                  <w:tcW w:w="618" w:type="pct"/>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Align w:val="center"/>
                </w:tcPr>
                <w:p>
                  <w:pPr>
                    <w:pStyle w:val="34"/>
                    <w:jc w:val="center"/>
                  </w:pPr>
                  <w:r>
                    <w:rPr>
                      <w:rFonts w:hint="eastAsia"/>
                    </w:rPr>
                    <w:t>7</w:t>
                  </w:r>
                </w:p>
              </w:tc>
              <w:tc>
                <w:tcPr>
                  <w:tcW w:w="2544" w:type="pct"/>
                </w:tcPr>
                <w:p>
                  <w:pPr>
                    <w:pStyle w:val="34"/>
                    <w:jc w:val="left"/>
                  </w:pPr>
                  <w:r>
                    <w:rPr>
                      <w:rFonts w:hint="eastAsia"/>
                    </w:rPr>
                    <w:t>在国家湿地公园的岸线和河段范围内挖沙、采矿，以及任何不符合主体功能定位的投资建设项目。</w:t>
                  </w:r>
                </w:p>
              </w:tc>
              <w:tc>
                <w:tcPr>
                  <w:tcW w:w="1454" w:type="pct"/>
                  <w:vAlign w:val="center"/>
                </w:tcPr>
                <w:p>
                  <w:pPr>
                    <w:pStyle w:val="34"/>
                    <w:jc w:val="left"/>
                  </w:pPr>
                  <w:r>
                    <w:rPr>
                      <w:rFonts w:hint="eastAsia"/>
                    </w:rPr>
                    <w:t>本项目</w:t>
                  </w:r>
                  <w:r>
                    <w:t>不涉及。</w:t>
                  </w:r>
                </w:p>
              </w:tc>
              <w:tc>
                <w:tcPr>
                  <w:tcW w:w="618" w:type="pct"/>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Align w:val="center"/>
                </w:tcPr>
                <w:p>
                  <w:pPr>
                    <w:pStyle w:val="34"/>
                    <w:jc w:val="center"/>
                  </w:pPr>
                  <w:r>
                    <w:rPr>
                      <w:rFonts w:hint="eastAsia"/>
                    </w:rPr>
                    <w:t>8</w:t>
                  </w:r>
                </w:p>
              </w:tc>
              <w:tc>
                <w:tcPr>
                  <w:tcW w:w="2544" w:type="pct"/>
                </w:tcPr>
                <w:p>
                  <w:pPr>
                    <w:pStyle w:val="34"/>
                    <w:jc w:val="left"/>
                  </w:pPr>
                  <w:r>
                    <w:rPr>
                      <w:rFonts w:hint="eastAsia"/>
                    </w:rPr>
                    <w:t>在《长江岸线保护和开发利用总体规划》划定的岸线保护区和保留区内投资建设除事关公共安全及公众利益的防洪护岸、河道治理、供水、生态环境保护、航道整治、国家重要基础设施以外的项目。</w:t>
                  </w:r>
                </w:p>
              </w:tc>
              <w:tc>
                <w:tcPr>
                  <w:tcW w:w="1454" w:type="pct"/>
                  <w:vAlign w:val="center"/>
                </w:tcPr>
                <w:p>
                  <w:pPr>
                    <w:pStyle w:val="34"/>
                    <w:jc w:val="left"/>
                  </w:pPr>
                  <w:r>
                    <w:rPr>
                      <w:rFonts w:hint="eastAsia"/>
                    </w:rPr>
                    <w:t>本项目</w:t>
                  </w:r>
                  <w:r>
                    <w:t>不涉及。</w:t>
                  </w:r>
                </w:p>
              </w:tc>
              <w:tc>
                <w:tcPr>
                  <w:tcW w:w="618" w:type="pct"/>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Align w:val="center"/>
                </w:tcPr>
                <w:p>
                  <w:pPr>
                    <w:pStyle w:val="34"/>
                    <w:jc w:val="center"/>
                  </w:pPr>
                  <w:r>
                    <w:rPr>
                      <w:rFonts w:hint="eastAsia"/>
                    </w:rPr>
                    <w:t>9</w:t>
                  </w:r>
                </w:p>
              </w:tc>
              <w:tc>
                <w:tcPr>
                  <w:tcW w:w="2544" w:type="pct"/>
                </w:tcPr>
                <w:p>
                  <w:pPr>
                    <w:pStyle w:val="34"/>
                    <w:jc w:val="left"/>
                  </w:pPr>
                  <w:r>
                    <w:rPr>
                      <w:rFonts w:hint="eastAsia"/>
                    </w:rPr>
                    <w:t>在《全国重要江河湖泊水功能区划》划定的河段及湖泊保护区、保留区内投资建设不利于水资源及自然生态保护的项目。</w:t>
                  </w:r>
                </w:p>
              </w:tc>
              <w:tc>
                <w:tcPr>
                  <w:tcW w:w="1454" w:type="pct"/>
                  <w:vAlign w:val="center"/>
                </w:tcPr>
                <w:p>
                  <w:pPr>
                    <w:pStyle w:val="34"/>
                    <w:jc w:val="left"/>
                  </w:pPr>
                  <w:r>
                    <w:rPr>
                      <w:rFonts w:hint="eastAsia"/>
                    </w:rPr>
                    <w:t>本项目</w:t>
                  </w:r>
                  <w:r>
                    <w:t>不涉及。</w:t>
                  </w:r>
                </w:p>
              </w:tc>
              <w:tc>
                <w:tcPr>
                  <w:tcW w:w="618" w:type="pct"/>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Align w:val="center"/>
                </w:tcPr>
                <w:p>
                  <w:pPr>
                    <w:pStyle w:val="34"/>
                    <w:jc w:val="center"/>
                  </w:pPr>
                  <w:r>
                    <w:rPr>
                      <w:rFonts w:hint="eastAsia"/>
                    </w:rPr>
                    <w:t>三</w:t>
                  </w:r>
                </w:p>
              </w:tc>
              <w:tc>
                <w:tcPr>
                  <w:tcW w:w="4615" w:type="pct"/>
                  <w:gridSpan w:val="3"/>
                  <w:vAlign w:val="center"/>
                </w:tcPr>
                <w:p>
                  <w:pPr>
                    <w:pStyle w:val="34"/>
                    <w:jc w:val="center"/>
                  </w:pPr>
                  <w:r>
                    <w:rPr>
                      <w:rFonts w:hint="eastAsia"/>
                    </w:rPr>
                    <w:t>全市范围内限制准入的产业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Align w:val="center"/>
                </w:tcPr>
                <w:p>
                  <w:pPr>
                    <w:pStyle w:val="34"/>
                    <w:jc w:val="center"/>
                  </w:pPr>
                  <w:r>
                    <w:t>1</w:t>
                  </w:r>
                </w:p>
              </w:tc>
              <w:tc>
                <w:tcPr>
                  <w:tcW w:w="2544" w:type="pct"/>
                  <w:vAlign w:val="center"/>
                </w:tcPr>
                <w:p>
                  <w:pPr>
                    <w:pStyle w:val="34"/>
                    <w:jc w:val="left"/>
                  </w:pPr>
                  <w:r>
                    <w:rPr>
                      <w:rFonts w:hint="eastAsia"/>
                    </w:rPr>
                    <w:t>新建、扩建不符合国家产能置换要求的严重过剩产能行业的项目。新建、扩建不符合要求的高耗能高排放项目。</w:t>
                  </w:r>
                </w:p>
              </w:tc>
              <w:tc>
                <w:tcPr>
                  <w:tcW w:w="1454" w:type="pct"/>
                  <w:vAlign w:val="center"/>
                </w:tcPr>
                <w:p>
                  <w:pPr>
                    <w:pStyle w:val="34"/>
                    <w:jc w:val="left"/>
                  </w:pPr>
                  <w:r>
                    <w:rPr>
                      <w:rFonts w:hint="eastAsia"/>
                    </w:rPr>
                    <w:t>本项目</w:t>
                  </w:r>
                  <w:r>
                    <w:t>不属于</w:t>
                  </w:r>
                  <w:r>
                    <w:rPr>
                      <w:rFonts w:hint="eastAsia"/>
                    </w:rPr>
                    <w:t>严重产业过剩</w:t>
                  </w:r>
                  <w:r>
                    <w:t>、高</w:t>
                  </w:r>
                  <w:r>
                    <w:rPr>
                      <w:rFonts w:hint="eastAsia"/>
                    </w:rPr>
                    <w:t>耗能高</w:t>
                  </w:r>
                  <w:r>
                    <w:t>排放项目</w:t>
                  </w:r>
                </w:p>
              </w:tc>
              <w:tc>
                <w:tcPr>
                  <w:tcW w:w="618" w:type="pct"/>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Align w:val="center"/>
                </w:tcPr>
                <w:p>
                  <w:pPr>
                    <w:pStyle w:val="34"/>
                    <w:jc w:val="center"/>
                  </w:pPr>
                  <w:r>
                    <w:t>2</w:t>
                  </w:r>
                </w:p>
              </w:tc>
              <w:tc>
                <w:tcPr>
                  <w:tcW w:w="2544" w:type="pct"/>
                  <w:vAlign w:val="center"/>
                </w:tcPr>
                <w:p>
                  <w:pPr>
                    <w:pStyle w:val="34"/>
                    <w:jc w:val="left"/>
                  </w:pPr>
                  <w:r>
                    <w:rPr>
                      <w:rFonts w:hint="eastAsia"/>
                    </w:rPr>
                    <w:t>新建、扩建不符合国家石化、现代煤化工等产业布局规划的项目。</w:t>
                  </w:r>
                </w:p>
              </w:tc>
              <w:tc>
                <w:tcPr>
                  <w:tcW w:w="1454" w:type="pct"/>
                  <w:vAlign w:val="center"/>
                </w:tcPr>
                <w:p>
                  <w:pPr>
                    <w:pStyle w:val="34"/>
                    <w:jc w:val="left"/>
                  </w:pPr>
                  <w:r>
                    <w:rPr>
                      <w:rFonts w:hint="eastAsia"/>
                    </w:rPr>
                    <w:t>本项目</w:t>
                  </w:r>
                  <w:r>
                    <w:t>不涉及。</w:t>
                  </w:r>
                </w:p>
              </w:tc>
              <w:tc>
                <w:tcPr>
                  <w:tcW w:w="618" w:type="pct"/>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Align w:val="center"/>
                </w:tcPr>
                <w:p>
                  <w:pPr>
                    <w:pStyle w:val="34"/>
                    <w:jc w:val="center"/>
                  </w:pPr>
                  <w:r>
                    <w:t>3</w:t>
                  </w:r>
                </w:p>
              </w:tc>
              <w:tc>
                <w:tcPr>
                  <w:tcW w:w="2544" w:type="pct"/>
                  <w:vAlign w:val="center"/>
                </w:tcPr>
                <w:p>
                  <w:pPr>
                    <w:pStyle w:val="34"/>
                    <w:jc w:val="left"/>
                  </w:pPr>
                  <w:r>
                    <w:rPr>
                      <w:rFonts w:hint="eastAsia"/>
                    </w:rPr>
                    <w:t>在合规园区外新建、扩建钢铁、石化、化工、焦化、建材、有色、制浆造纸等高污染项目。</w:t>
                  </w:r>
                </w:p>
              </w:tc>
              <w:tc>
                <w:tcPr>
                  <w:tcW w:w="1454" w:type="pct"/>
                  <w:vAlign w:val="center"/>
                </w:tcPr>
                <w:p>
                  <w:pPr>
                    <w:pStyle w:val="34"/>
                    <w:jc w:val="left"/>
                  </w:pPr>
                  <w:r>
                    <w:rPr>
                      <w:rFonts w:hint="eastAsia"/>
                    </w:rPr>
                    <w:t>本项目位于</w:t>
                  </w:r>
                  <w:r>
                    <w:t>园区内，不属于上述项目。</w:t>
                  </w:r>
                </w:p>
              </w:tc>
              <w:tc>
                <w:tcPr>
                  <w:tcW w:w="618" w:type="pct"/>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Align w:val="center"/>
                </w:tcPr>
                <w:p>
                  <w:pPr>
                    <w:pStyle w:val="34"/>
                    <w:jc w:val="center"/>
                  </w:pPr>
                  <w:r>
                    <w:t>4</w:t>
                  </w:r>
                </w:p>
              </w:tc>
              <w:tc>
                <w:tcPr>
                  <w:tcW w:w="2544" w:type="pct"/>
                  <w:vAlign w:val="center"/>
                </w:tcPr>
                <w:p>
                  <w:pPr>
                    <w:pStyle w:val="34"/>
                    <w:jc w:val="left"/>
                  </w:pPr>
                  <w:r>
                    <w:rPr>
                      <w:rFonts w:hint="eastAsia"/>
                    </w:rPr>
                    <w:t>《汽车产业投资管理规定》（国家发展和改革委员会令第22号）明确禁止建设的汽车投资项目。</w:t>
                  </w:r>
                </w:p>
              </w:tc>
              <w:tc>
                <w:tcPr>
                  <w:tcW w:w="1454" w:type="pct"/>
                  <w:vAlign w:val="center"/>
                </w:tcPr>
                <w:p>
                  <w:pPr>
                    <w:pStyle w:val="34"/>
                    <w:jc w:val="left"/>
                  </w:pPr>
                  <w:r>
                    <w:rPr>
                      <w:rFonts w:hint="eastAsia"/>
                    </w:rPr>
                    <w:t>本项目</w:t>
                  </w:r>
                  <w:r>
                    <w:t>不属于汽车投资项目。</w:t>
                  </w:r>
                </w:p>
              </w:tc>
              <w:tc>
                <w:tcPr>
                  <w:tcW w:w="618" w:type="pct"/>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Align w:val="center"/>
                </w:tcPr>
                <w:p>
                  <w:pPr>
                    <w:pStyle w:val="34"/>
                    <w:jc w:val="center"/>
                  </w:pPr>
                  <w:r>
                    <w:rPr>
                      <w:rFonts w:hint="eastAsia"/>
                    </w:rPr>
                    <w:t>四</w:t>
                  </w:r>
                </w:p>
              </w:tc>
              <w:tc>
                <w:tcPr>
                  <w:tcW w:w="4615" w:type="pct"/>
                  <w:gridSpan w:val="3"/>
                  <w:vAlign w:val="center"/>
                </w:tcPr>
                <w:p>
                  <w:pPr>
                    <w:pStyle w:val="34"/>
                    <w:jc w:val="center"/>
                  </w:pPr>
                  <w:r>
                    <w:rPr>
                      <w:rFonts w:hint="eastAsia"/>
                    </w:rPr>
                    <w:t>重点区域范围内限制准入的产业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Align w:val="center"/>
                </w:tcPr>
                <w:p>
                  <w:pPr>
                    <w:pStyle w:val="34"/>
                    <w:jc w:val="center"/>
                  </w:pPr>
                  <w:r>
                    <w:rPr>
                      <w:rFonts w:hint="eastAsia"/>
                    </w:rPr>
                    <w:t>1</w:t>
                  </w:r>
                </w:p>
              </w:tc>
              <w:tc>
                <w:tcPr>
                  <w:tcW w:w="2544" w:type="pct"/>
                  <w:vAlign w:val="center"/>
                </w:tcPr>
                <w:p>
                  <w:pPr>
                    <w:pStyle w:val="34"/>
                    <w:jc w:val="left"/>
                  </w:pPr>
                  <w:r>
                    <w:rPr>
                      <w:rFonts w:hint="eastAsia"/>
                    </w:rPr>
                    <w:t>长江干支流、重要湖泊岸线1公里范围内新建、扩建化工园区和化工项目，长江、嘉陵江、乌江岸线1公里范围内布局新建纸浆制造、印染等存在环境风险的项目。</w:t>
                  </w:r>
                </w:p>
              </w:tc>
              <w:tc>
                <w:tcPr>
                  <w:tcW w:w="1454" w:type="pct"/>
                  <w:vAlign w:val="center"/>
                </w:tcPr>
                <w:p>
                  <w:pPr>
                    <w:pStyle w:val="34"/>
                    <w:jc w:val="left"/>
                  </w:pPr>
                  <w:r>
                    <w:rPr>
                      <w:rFonts w:hint="eastAsia"/>
                    </w:rPr>
                    <w:t>本项目</w:t>
                  </w:r>
                  <w:r>
                    <w:t>不涉及。</w:t>
                  </w:r>
                </w:p>
              </w:tc>
              <w:tc>
                <w:tcPr>
                  <w:tcW w:w="618" w:type="pct"/>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5" w:type="pct"/>
                  <w:vAlign w:val="center"/>
                </w:tcPr>
                <w:p>
                  <w:pPr>
                    <w:pStyle w:val="34"/>
                    <w:jc w:val="center"/>
                  </w:pPr>
                  <w:r>
                    <w:rPr>
                      <w:rFonts w:hint="eastAsia"/>
                    </w:rPr>
                    <w:t>2</w:t>
                  </w:r>
                </w:p>
              </w:tc>
              <w:tc>
                <w:tcPr>
                  <w:tcW w:w="2544" w:type="pct"/>
                  <w:vAlign w:val="center"/>
                </w:tcPr>
                <w:p>
                  <w:pPr>
                    <w:pStyle w:val="34"/>
                    <w:jc w:val="left"/>
                  </w:pPr>
                  <w:r>
                    <w:rPr>
                      <w:rFonts w:hint="eastAsia"/>
                    </w:rPr>
                    <w:t>在水产种质资源保护区的岸线和河段范围内新建围湖造田等投资建设项目。</w:t>
                  </w:r>
                </w:p>
              </w:tc>
              <w:tc>
                <w:tcPr>
                  <w:tcW w:w="1454" w:type="pct"/>
                  <w:vAlign w:val="center"/>
                </w:tcPr>
                <w:p>
                  <w:pPr>
                    <w:pStyle w:val="34"/>
                    <w:jc w:val="left"/>
                  </w:pPr>
                  <w:r>
                    <w:rPr>
                      <w:rFonts w:hint="eastAsia"/>
                    </w:rPr>
                    <w:t>本项目</w:t>
                  </w:r>
                  <w:r>
                    <w:t>不涉及。</w:t>
                  </w:r>
                </w:p>
              </w:tc>
              <w:tc>
                <w:tcPr>
                  <w:tcW w:w="618" w:type="pct"/>
                  <w:vAlign w:val="center"/>
                </w:tcPr>
                <w:p>
                  <w:pPr>
                    <w:pStyle w:val="34"/>
                    <w:jc w:val="center"/>
                  </w:pPr>
                  <w:r>
                    <w:t>符合</w:t>
                  </w:r>
                </w:p>
              </w:tc>
            </w:tr>
          </w:tbl>
          <w:p>
            <w:pPr>
              <w:spacing w:before="120" w:beforeLines="50"/>
              <w:ind w:firstLine="480"/>
              <w:rPr>
                <w:kern w:val="0"/>
                <w:szCs w:val="21"/>
              </w:rPr>
            </w:pPr>
            <w:r>
              <w:rPr>
                <w:kern w:val="0"/>
                <w:szCs w:val="21"/>
              </w:rPr>
              <w:t>综上所述，本项目符合《</w:t>
            </w:r>
            <w:r>
              <w:rPr>
                <w:rFonts w:hint="eastAsia"/>
                <w:kern w:val="0"/>
                <w:szCs w:val="21"/>
              </w:rPr>
              <w:t>重庆市发展和改革委员会关于印发重庆市产业投资准入工作手册的通知</w:t>
            </w:r>
            <w:r>
              <w:rPr>
                <w:kern w:val="0"/>
                <w:szCs w:val="21"/>
              </w:rPr>
              <w:t>》（渝发改投</w:t>
            </w:r>
            <w:r>
              <w:rPr>
                <w:rFonts w:hint="eastAsia"/>
                <w:kern w:val="0"/>
                <w:szCs w:val="21"/>
              </w:rPr>
              <w:t>资</w:t>
            </w:r>
            <w:r>
              <w:rPr>
                <w:kern w:val="0"/>
                <w:szCs w:val="21"/>
              </w:rPr>
              <w:t>〔2022〕1436号）要求。</w:t>
            </w:r>
          </w:p>
          <w:p>
            <w:pPr>
              <w:ind w:firstLine="480"/>
              <w:rPr>
                <w:kern w:val="0"/>
                <w:szCs w:val="21"/>
              </w:rPr>
            </w:pPr>
            <w:r>
              <w:rPr>
                <w:kern w:val="0"/>
                <w:szCs w:val="21"/>
              </w:rPr>
              <w:t>（3）与《关于严格工业布局和准入的通知》（渝发改工[2018]781号）符合性分析</w:t>
            </w:r>
          </w:p>
          <w:p>
            <w:pPr>
              <w:autoSpaceDE w:val="0"/>
              <w:autoSpaceDN w:val="0"/>
              <w:adjustRightInd w:val="0"/>
              <w:snapToGrid w:val="0"/>
              <w:spacing w:line="400" w:lineRule="exact"/>
              <w:ind w:firstLine="0" w:firstLineChars="0"/>
              <w:jc w:val="center"/>
              <w:rPr>
                <w:b/>
                <w:bCs/>
                <w:kern w:val="0"/>
                <w:szCs w:val="21"/>
              </w:rPr>
            </w:pPr>
            <w:r>
              <w:rPr>
                <w:b/>
                <w:bCs/>
                <w:kern w:val="0"/>
                <w:szCs w:val="21"/>
              </w:rPr>
              <w:t>表1-6与《关于严格工业布局和准入的通知》（渝发改工[2018]781号）符合性分析</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4744"/>
              <w:gridCol w:w="2083"/>
              <w:gridCol w:w="9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 w:type="pct"/>
                  <w:tcBorders>
                    <w:top w:val="single" w:color="auto" w:sz="12" w:space="0"/>
                    <w:left w:val="single" w:color="auto" w:sz="12" w:space="0"/>
                    <w:bottom w:val="single" w:color="auto" w:sz="4" w:space="0"/>
                    <w:right w:val="single" w:color="auto" w:sz="4" w:space="0"/>
                  </w:tcBorders>
                  <w:vAlign w:val="center"/>
                </w:tcPr>
                <w:p>
                  <w:pPr>
                    <w:pStyle w:val="34"/>
                    <w:jc w:val="center"/>
                  </w:pPr>
                  <w:r>
                    <w:t>序号</w:t>
                  </w:r>
                </w:p>
              </w:tc>
              <w:tc>
                <w:tcPr>
                  <w:tcW w:w="2817" w:type="pct"/>
                  <w:tcBorders>
                    <w:top w:val="single" w:color="auto" w:sz="12" w:space="0"/>
                    <w:left w:val="single" w:color="auto" w:sz="4" w:space="0"/>
                    <w:bottom w:val="single" w:color="auto" w:sz="4" w:space="0"/>
                    <w:right w:val="single" w:color="auto" w:sz="4" w:space="0"/>
                  </w:tcBorders>
                  <w:vAlign w:val="center"/>
                </w:tcPr>
                <w:p>
                  <w:pPr>
                    <w:pStyle w:val="34"/>
                    <w:jc w:val="center"/>
                  </w:pPr>
                  <w:r>
                    <w:t>环境准入规定</w:t>
                  </w:r>
                </w:p>
              </w:tc>
              <w:tc>
                <w:tcPr>
                  <w:tcW w:w="1237" w:type="pct"/>
                  <w:tcBorders>
                    <w:top w:val="single" w:color="auto" w:sz="12" w:space="0"/>
                    <w:left w:val="single" w:color="auto" w:sz="4" w:space="0"/>
                    <w:bottom w:val="single" w:color="auto" w:sz="4" w:space="0"/>
                    <w:right w:val="single" w:color="auto" w:sz="4" w:space="0"/>
                  </w:tcBorders>
                  <w:vAlign w:val="center"/>
                </w:tcPr>
                <w:p>
                  <w:pPr>
                    <w:pStyle w:val="34"/>
                    <w:jc w:val="center"/>
                  </w:pPr>
                  <w:r>
                    <w:t>本项目执行情况</w:t>
                  </w:r>
                </w:p>
              </w:tc>
              <w:tc>
                <w:tcPr>
                  <w:tcW w:w="557" w:type="pct"/>
                  <w:tcBorders>
                    <w:top w:val="single" w:color="auto" w:sz="12" w:space="0"/>
                    <w:left w:val="single" w:color="auto" w:sz="4" w:space="0"/>
                    <w:bottom w:val="single" w:color="auto" w:sz="4" w:space="0"/>
                    <w:right w:val="single" w:color="auto" w:sz="12" w:space="0"/>
                  </w:tcBorders>
                  <w:vAlign w:val="center"/>
                </w:tcPr>
                <w:p>
                  <w:pPr>
                    <w:pStyle w:val="34"/>
                    <w:jc w:val="center"/>
                  </w:pPr>
                  <w: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 w:type="pct"/>
                  <w:tcBorders>
                    <w:top w:val="single" w:color="auto" w:sz="4" w:space="0"/>
                    <w:left w:val="single" w:color="auto" w:sz="12" w:space="0"/>
                    <w:bottom w:val="single" w:color="auto" w:sz="4" w:space="0"/>
                    <w:right w:val="single" w:color="auto" w:sz="4" w:space="0"/>
                  </w:tcBorders>
                  <w:vAlign w:val="center"/>
                </w:tcPr>
                <w:p>
                  <w:pPr>
                    <w:pStyle w:val="34"/>
                    <w:jc w:val="center"/>
                    <w:rPr>
                      <w:szCs w:val="21"/>
                    </w:rPr>
                  </w:pPr>
                  <w:r>
                    <w:rPr>
                      <w:szCs w:val="21"/>
                    </w:rPr>
                    <w:t>1</w:t>
                  </w:r>
                </w:p>
              </w:tc>
              <w:tc>
                <w:tcPr>
                  <w:tcW w:w="2817" w:type="pct"/>
                  <w:tcBorders>
                    <w:top w:val="single" w:color="auto" w:sz="4" w:space="0"/>
                    <w:left w:val="single" w:color="auto" w:sz="4" w:space="0"/>
                    <w:bottom w:val="single" w:color="auto" w:sz="4" w:space="0"/>
                    <w:right w:val="single" w:color="auto" w:sz="4" w:space="0"/>
                  </w:tcBorders>
                  <w:vAlign w:val="center"/>
                </w:tcPr>
                <w:p>
                  <w:pPr>
                    <w:pStyle w:val="34"/>
                    <w:jc w:val="center"/>
                    <w:rPr>
                      <w:szCs w:val="21"/>
                    </w:rPr>
                  </w:pPr>
                  <w:r>
                    <w:rPr>
                      <w:szCs w:val="21"/>
                    </w:rPr>
                    <w:t>对在长江干流及主要支流岸线1公里范围内新建重化工、纺织、造纸等存在污染风险的工业项目，不得办理项目核准或备案手续。禁止在长江干流及主要支流岸线5公里范围内新布局工业园区，有序推进现有工业园区空间布局的调整优化。</w:t>
                  </w:r>
                </w:p>
              </w:tc>
              <w:tc>
                <w:tcPr>
                  <w:tcW w:w="1237" w:type="pct"/>
                  <w:tcBorders>
                    <w:top w:val="single" w:color="auto" w:sz="4" w:space="0"/>
                    <w:left w:val="single" w:color="auto" w:sz="4" w:space="0"/>
                    <w:bottom w:val="single" w:color="auto" w:sz="4" w:space="0"/>
                    <w:right w:val="single" w:color="auto" w:sz="4" w:space="0"/>
                  </w:tcBorders>
                  <w:vAlign w:val="center"/>
                </w:tcPr>
                <w:p>
                  <w:pPr>
                    <w:pStyle w:val="34"/>
                    <w:jc w:val="left"/>
                    <w:rPr>
                      <w:kern w:val="0"/>
                      <w:szCs w:val="21"/>
                    </w:rPr>
                  </w:pPr>
                  <w:r>
                    <w:rPr>
                      <w:kern w:val="0"/>
                      <w:szCs w:val="21"/>
                    </w:rPr>
                    <w:t>本项目位于合川区南溪组团A区，不属于在长江干流及主要支流岸线1km范围内的企业。</w:t>
                  </w:r>
                </w:p>
              </w:tc>
              <w:tc>
                <w:tcPr>
                  <w:tcW w:w="557" w:type="pct"/>
                  <w:tcBorders>
                    <w:top w:val="single" w:color="auto" w:sz="4" w:space="0"/>
                    <w:left w:val="single" w:color="auto" w:sz="4" w:space="0"/>
                    <w:bottom w:val="single" w:color="auto" w:sz="4" w:space="0"/>
                    <w:right w:val="single" w:color="auto" w:sz="12" w:space="0"/>
                  </w:tcBorders>
                  <w:vAlign w:val="center"/>
                </w:tcPr>
                <w:p>
                  <w:pPr>
                    <w:pStyle w:val="34"/>
                    <w:jc w:val="center"/>
                    <w:rPr>
                      <w:szCs w:val="21"/>
                    </w:rPr>
                  </w:pPr>
                  <w:r>
                    <w:rPr>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 w:type="pct"/>
                  <w:tcBorders>
                    <w:top w:val="single" w:color="auto" w:sz="4" w:space="0"/>
                    <w:left w:val="single" w:color="auto" w:sz="12" w:space="0"/>
                    <w:bottom w:val="single" w:color="auto" w:sz="4" w:space="0"/>
                    <w:right w:val="single" w:color="auto" w:sz="4" w:space="0"/>
                  </w:tcBorders>
                  <w:vAlign w:val="center"/>
                </w:tcPr>
                <w:p>
                  <w:pPr>
                    <w:pStyle w:val="34"/>
                    <w:jc w:val="center"/>
                    <w:rPr>
                      <w:szCs w:val="21"/>
                    </w:rPr>
                  </w:pPr>
                  <w:r>
                    <w:rPr>
                      <w:szCs w:val="21"/>
                    </w:rPr>
                    <w:t>2</w:t>
                  </w:r>
                </w:p>
              </w:tc>
              <w:tc>
                <w:tcPr>
                  <w:tcW w:w="2817" w:type="pct"/>
                  <w:tcBorders>
                    <w:top w:val="single" w:color="auto" w:sz="4" w:space="0"/>
                    <w:left w:val="single" w:color="auto" w:sz="4" w:space="0"/>
                    <w:bottom w:val="single" w:color="auto" w:sz="4" w:space="0"/>
                    <w:right w:val="single" w:color="auto" w:sz="4" w:space="0"/>
                  </w:tcBorders>
                  <w:vAlign w:val="center"/>
                </w:tcPr>
                <w:p>
                  <w:pPr>
                    <w:pStyle w:val="34"/>
                    <w:jc w:val="center"/>
                    <w:rPr>
                      <w:szCs w:val="21"/>
                    </w:rPr>
                  </w:pPr>
                  <w:r>
                    <w:rPr>
                      <w:szCs w:val="21"/>
                    </w:rPr>
                    <w:t>新建有污染物排放的工业项目，除在安全生产或者产业布局等方面有特殊要求外，应当进入工业园区（工业集聚区，下同）。对未进入工业园区的项目，或在工业园区（工业集聚区）以外区域实施单纯增加产能的技改（扩建）的项目，不得办理项目核准或备案手续。</w:t>
                  </w:r>
                </w:p>
              </w:tc>
              <w:tc>
                <w:tcPr>
                  <w:tcW w:w="1237" w:type="pct"/>
                  <w:tcBorders>
                    <w:top w:val="single" w:color="auto" w:sz="4" w:space="0"/>
                    <w:left w:val="single" w:color="auto" w:sz="4" w:space="0"/>
                    <w:bottom w:val="single" w:color="auto" w:sz="4" w:space="0"/>
                    <w:right w:val="single" w:color="auto" w:sz="4" w:space="0"/>
                  </w:tcBorders>
                  <w:vAlign w:val="center"/>
                </w:tcPr>
                <w:p>
                  <w:pPr>
                    <w:pStyle w:val="34"/>
                    <w:jc w:val="left"/>
                    <w:rPr>
                      <w:szCs w:val="21"/>
                    </w:rPr>
                  </w:pPr>
                  <w:r>
                    <w:rPr>
                      <w:szCs w:val="21"/>
                    </w:rPr>
                    <w:t>本项目位于</w:t>
                  </w:r>
                  <w:r>
                    <w:rPr>
                      <w:kern w:val="0"/>
                      <w:szCs w:val="21"/>
                    </w:rPr>
                    <w:t>合川区南溪组团A区</w:t>
                  </w:r>
                  <w:r>
                    <w:rPr>
                      <w:szCs w:val="21"/>
                    </w:rPr>
                    <w:t>，该区域属于工业园区。</w:t>
                  </w:r>
                </w:p>
              </w:tc>
              <w:tc>
                <w:tcPr>
                  <w:tcW w:w="557" w:type="pct"/>
                  <w:tcBorders>
                    <w:top w:val="single" w:color="auto" w:sz="4" w:space="0"/>
                    <w:left w:val="single" w:color="auto" w:sz="4" w:space="0"/>
                    <w:bottom w:val="single" w:color="auto" w:sz="4" w:space="0"/>
                    <w:right w:val="single" w:color="auto" w:sz="12" w:space="0"/>
                  </w:tcBorders>
                  <w:vAlign w:val="center"/>
                </w:tcPr>
                <w:p>
                  <w:pPr>
                    <w:pStyle w:val="34"/>
                    <w:jc w:val="center"/>
                    <w:rPr>
                      <w:szCs w:val="21"/>
                    </w:rPr>
                  </w:pPr>
                  <w:r>
                    <w:rPr>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 w:type="pct"/>
                  <w:tcBorders>
                    <w:top w:val="single" w:color="auto" w:sz="4" w:space="0"/>
                    <w:left w:val="single" w:color="auto" w:sz="12" w:space="0"/>
                    <w:bottom w:val="single" w:color="auto" w:sz="4" w:space="0"/>
                    <w:right w:val="single" w:color="auto" w:sz="4" w:space="0"/>
                  </w:tcBorders>
                  <w:vAlign w:val="center"/>
                </w:tcPr>
                <w:p>
                  <w:pPr>
                    <w:pStyle w:val="34"/>
                    <w:jc w:val="center"/>
                    <w:rPr>
                      <w:szCs w:val="21"/>
                    </w:rPr>
                  </w:pPr>
                  <w:r>
                    <w:rPr>
                      <w:szCs w:val="21"/>
                    </w:rPr>
                    <w:t>3</w:t>
                  </w:r>
                </w:p>
              </w:tc>
              <w:tc>
                <w:tcPr>
                  <w:tcW w:w="2817" w:type="pct"/>
                  <w:tcBorders>
                    <w:top w:val="single" w:color="auto" w:sz="4" w:space="0"/>
                    <w:left w:val="single" w:color="auto" w:sz="4" w:space="0"/>
                    <w:bottom w:val="single" w:color="auto" w:sz="4" w:space="0"/>
                    <w:right w:val="single" w:color="auto" w:sz="4" w:space="0"/>
                  </w:tcBorders>
                  <w:vAlign w:val="center"/>
                </w:tcPr>
                <w:p>
                  <w:pPr>
                    <w:pStyle w:val="34"/>
                    <w:jc w:val="center"/>
                    <w:rPr>
                      <w:szCs w:val="21"/>
                    </w:rPr>
                  </w:pPr>
                  <w:r>
                    <w:rPr>
                      <w:szCs w:val="21"/>
                    </w:rPr>
                    <w:t>严格控制过剩产能和“两高一资”项目，严格限制造纸、印染、煤电、传统化工、传统燃油汽车、涉及重金属以及有毒有害和持久性污染物排放的项目。新建或扩建上述项目，必须符合国家及我市产业政策和布局，依法办理环境保护、安全生产、资源（能源）节约等有关手续。</w:t>
                  </w:r>
                </w:p>
              </w:tc>
              <w:tc>
                <w:tcPr>
                  <w:tcW w:w="1237" w:type="pct"/>
                  <w:tcBorders>
                    <w:top w:val="single" w:color="auto" w:sz="4" w:space="0"/>
                    <w:left w:val="single" w:color="auto" w:sz="4" w:space="0"/>
                    <w:bottom w:val="single" w:color="auto" w:sz="4" w:space="0"/>
                    <w:right w:val="single" w:color="auto" w:sz="4" w:space="0"/>
                  </w:tcBorders>
                  <w:vAlign w:val="center"/>
                </w:tcPr>
                <w:p>
                  <w:pPr>
                    <w:pStyle w:val="34"/>
                    <w:jc w:val="left"/>
                    <w:rPr>
                      <w:szCs w:val="21"/>
                    </w:rPr>
                  </w:pPr>
                  <w:r>
                    <w:rPr>
                      <w:szCs w:val="21"/>
                    </w:rPr>
                    <w:t>本项目不属于过剩产能和“两高一资”项目。</w:t>
                  </w:r>
                </w:p>
              </w:tc>
              <w:tc>
                <w:tcPr>
                  <w:tcW w:w="557" w:type="pct"/>
                  <w:tcBorders>
                    <w:top w:val="single" w:color="auto" w:sz="4" w:space="0"/>
                    <w:left w:val="single" w:color="auto" w:sz="4" w:space="0"/>
                    <w:bottom w:val="single" w:color="auto" w:sz="4" w:space="0"/>
                    <w:right w:val="single" w:color="auto" w:sz="12" w:space="0"/>
                  </w:tcBorders>
                  <w:vAlign w:val="center"/>
                </w:tcPr>
                <w:p>
                  <w:pPr>
                    <w:pStyle w:val="34"/>
                    <w:jc w:val="center"/>
                    <w:rPr>
                      <w:kern w:val="0"/>
                      <w:szCs w:val="21"/>
                    </w:rPr>
                  </w:pPr>
                  <w:r>
                    <w:rPr>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 w:type="pct"/>
                  <w:tcBorders>
                    <w:top w:val="single" w:color="auto" w:sz="4" w:space="0"/>
                    <w:left w:val="single" w:color="auto" w:sz="12" w:space="0"/>
                    <w:bottom w:val="single" w:color="auto" w:sz="12" w:space="0"/>
                    <w:right w:val="single" w:color="auto" w:sz="4" w:space="0"/>
                  </w:tcBorders>
                  <w:vAlign w:val="center"/>
                </w:tcPr>
                <w:p>
                  <w:pPr>
                    <w:pStyle w:val="34"/>
                    <w:jc w:val="center"/>
                    <w:rPr>
                      <w:szCs w:val="21"/>
                    </w:rPr>
                  </w:pPr>
                  <w:r>
                    <w:rPr>
                      <w:szCs w:val="21"/>
                    </w:rPr>
                    <w:t>4</w:t>
                  </w:r>
                </w:p>
              </w:tc>
              <w:tc>
                <w:tcPr>
                  <w:tcW w:w="2817" w:type="pct"/>
                  <w:tcBorders>
                    <w:top w:val="single" w:color="auto" w:sz="4" w:space="0"/>
                    <w:left w:val="single" w:color="auto" w:sz="4" w:space="0"/>
                    <w:bottom w:val="single" w:color="auto" w:sz="12" w:space="0"/>
                    <w:right w:val="single" w:color="auto" w:sz="4" w:space="0"/>
                  </w:tcBorders>
                  <w:vAlign w:val="center"/>
                </w:tcPr>
                <w:p>
                  <w:pPr>
                    <w:pStyle w:val="34"/>
                    <w:jc w:val="center"/>
                    <w:rPr>
                      <w:szCs w:val="21"/>
                    </w:rPr>
                  </w:pPr>
                  <w:r>
                    <w:rPr>
                      <w:szCs w:val="21"/>
                    </w:rPr>
                    <w:t>对本区域内工业布局和项目准入严格把关，加强日常监管。对违反本通知要求的，我们将依据有关规定予以严肃处理。</w:t>
                  </w:r>
                </w:p>
              </w:tc>
              <w:tc>
                <w:tcPr>
                  <w:tcW w:w="1237" w:type="pct"/>
                  <w:tcBorders>
                    <w:top w:val="single" w:color="auto" w:sz="4" w:space="0"/>
                    <w:left w:val="single" w:color="auto" w:sz="4" w:space="0"/>
                    <w:bottom w:val="single" w:color="auto" w:sz="12" w:space="0"/>
                    <w:right w:val="single" w:color="auto" w:sz="4" w:space="0"/>
                  </w:tcBorders>
                  <w:vAlign w:val="center"/>
                </w:tcPr>
                <w:p>
                  <w:pPr>
                    <w:pStyle w:val="34"/>
                    <w:jc w:val="left"/>
                    <w:rPr>
                      <w:szCs w:val="21"/>
                    </w:rPr>
                  </w:pPr>
                  <w:r>
                    <w:rPr>
                      <w:szCs w:val="21"/>
                    </w:rPr>
                    <w:t>本评价提出了环境管理要求，企业应严格执行。</w:t>
                  </w:r>
                </w:p>
              </w:tc>
              <w:tc>
                <w:tcPr>
                  <w:tcW w:w="557" w:type="pct"/>
                  <w:tcBorders>
                    <w:top w:val="single" w:color="auto" w:sz="4" w:space="0"/>
                    <w:left w:val="single" w:color="auto" w:sz="4" w:space="0"/>
                    <w:bottom w:val="single" w:color="auto" w:sz="12" w:space="0"/>
                    <w:right w:val="single" w:color="auto" w:sz="12" w:space="0"/>
                  </w:tcBorders>
                  <w:vAlign w:val="center"/>
                </w:tcPr>
                <w:p>
                  <w:pPr>
                    <w:pStyle w:val="34"/>
                    <w:jc w:val="center"/>
                    <w:rPr>
                      <w:kern w:val="0"/>
                      <w:szCs w:val="21"/>
                    </w:rPr>
                  </w:pPr>
                  <w:r>
                    <w:rPr>
                      <w:kern w:val="0"/>
                      <w:szCs w:val="21"/>
                    </w:rPr>
                    <w:t>符合</w:t>
                  </w:r>
                </w:p>
              </w:tc>
            </w:tr>
          </w:tbl>
          <w:p>
            <w:pPr>
              <w:ind w:firstLine="480"/>
              <w:rPr>
                <w:kern w:val="0"/>
                <w:szCs w:val="21"/>
              </w:rPr>
            </w:pPr>
            <w:r>
              <w:rPr>
                <w:kern w:val="0"/>
                <w:szCs w:val="21"/>
              </w:rPr>
              <w:t>（4）与</w:t>
            </w:r>
            <w:r>
              <w:rPr>
                <w:rFonts w:hint="eastAsia"/>
                <w:kern w:val="0"/>
                <w:szCs w:val="21"/>
              </w:rPr>
              <w:t>《四川省、重庆市长江经济带发展负面清单实施细则（试行，2022年版）》（川长办发〔2022〕17号）</w:t>
            </w:r>
            <w:r>
              <w:rPr>
                <w:kern w:val="0"/>
                <w:szCs w:val="21"/>
              </w:rPr>
              <w:t>符合性分析</w:t>
            </w:r>
          </w:p>
          <w:p>
            <w:pPr>
              <w:pStyle w:val="33"/>
              <w:spacing w:before="120"/>
              <w:ind w:firstLine="480"/>
            </w:pPr>
            <w:r>
              <w:t>表1-7与</w:t>
            </w:r>
            <w:r>
              <w:rPr>
                <w:kern w:val="0"/>
              </w:rPr>
              <w:t>《</w:t>
            </w:r>
            <w:r>
              <w:rPr>
                <w:rFonts w:hint="eastAsia"/>
                <w:kern w:val="0"/>
              </w:rPr>
              <w:t>四川</w:t>
            </w:r>
            <w:r>
              <w:rPr>
                <w:kern w:val="0"/>
              </w:rPr>
              <w:t>省、重庆市长江经济带发展负面清单实施细则（试行</w:t>
            </w:r>
            <w:r>
              <w:rPr>
                <w:rFonts w:hint="eastAsia"/>
                <w:kern w:val="0"/>
              </w:rPr>
              <w:t>，2022年</w:t>
            </w:r>
            <w:r>
              <w:rPr>
                <w:kern w:val="0"/>
              </w:rPr>
              <w:t>版）》（</w:t>
            </w:r>
            <w:r>
              <w:rPr>
                <w:rFonts w:hint="eastAsia"/>
                <w:kern w:val="0"/>
              </w:rPr>
              <w:t>川</w:t>
            </w:r>
            <w:r>
              <w:rPr>
                <w:kern w:val="0"/>
              </w:rPr>
              <w:t>长办发〔2022〕17号）</w:t>
            </w:r>
            <w:r>
              <w:t>符合性分析</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70"/>
              <w:gridCol w:w="2688"/>
              <w:gridCol w:w="9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70" w:type="dxa"/>
                  <w:vAlign w:val="center"/>
                </w:tcPr>
                <w:p>
                  <w:pPr>
                    <w:pStyle w:val="34"/>
                    <w:jc w:val="center"/>
                  </w:pPr>
                  <w:r>
                    <w:rPr>
                      <w:rFonts w:hint="eastAsia"/>
                    </w:rPr>
                    <w:t>管控</w:t>
                  </w:r>
                  <w:r>
                    <w:t>内容</w:t>
                  </w:r>
                </w:p>
              </w:tc>
              <w:tc>
                <w:tcPr>
                  <w:tcW w:w="2688" w:type="dxa"/>
                  <w:vAlign w:val="center"/>
                </w:tcPr>
                <w:p>
                  <w:pPr>
                    <w:pStyle w:val="34"/>
                    <w:jc w:val="center"/>
                  </w:pPr>
                  <w:r>
                    <w:t>本项目情况</w:t>
                  </w:r>
                </w:p>
              </w:tc>
              <w:tc>
                <w:tcPr>
                  <w:tcW w:w="927" w:type="dxa"/>
                  <w:vAlign w:val="center"/>
                </w:tcPr>
                <w:p>
                  <w:pPr>
                    <w:pStyle w:val="34"/>
                    <w:jc w:val="center"/>
                  </w:pPr>
                  <w: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70" w:type="dxa"/>
                  <w:vAlign w:val="center"/>
                </w:tcPr>
                <w:p>
                  <w:pPr>
                    <w:pStyle w:val="34"/>
                    <w:jc w:val="left"/>
                  </w:pPr>
                  <w:r>
                    <w:rPr>
                      <w:rFonts w:hint="eastAsia"/>
                    </w:rPr>
                    <w:t>第五条  禁止新建、改建和扩建不符合全国港口布局规划以及《四川省内河水运发展规划》《泸州一宜宾-乐山港口群布局规划》《重庆港总体规划 （2035年）》等省级港口布局规划及市级港口总体规划的码头项目</w:t>
                  </w:r>
                </w:p>
              </w:tc>
              <w:tc>
                <w:tcPr>
                  <w:tcW w:w="2688" w:type="dxa"/>
                  <w:vAlign w:val="center"/>
                </w:tcPr>
                <w:p>
                  <w:pPr>
                    <w:pStyle w:val="34"/>
                    <w:jc w:val="left"/>
                  </w:pPr>
                  <w:r>
                    <w:t>本项目不属于</w:t>
                  </w:r>
                  <w:r>
                    <w:rPr>
                      <w:rFonts w:hint="eastAsia"/>
                    </w:rPr>
                    <w:t>码头</w:t>
                  </w:r>
                  <w:r>
                    <w:t>项目。</w:t>
                  </w:r>
                </w:p>
              </w:tc>
              <w:tc>
                <w:tcPr>
                  <w:tcW w:w="927" w:type="dxa"/>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70" w:type="dxa"/>
                  <w:vAlign w:val="center"/>
                </w:tcPr>
                <w:p>
                  <w:pPr>
                    <w:pStyle w:val="34"/>
                    <w:jc w:val="left"/>
                  </w:pPr>
                  <w:r>
                    <w:rPr>
                      <w:rFonts w:hint="eastAsia"/>
                    </w:rPr>
                    <w:t>第六条  禁止新建、改建和扩建不符合《长江干线过江通道布局规划（2020--2035年）》的过长江通道项目（含桥梁、道），国家发展改革委同意过长江通道线位调整的除外。</w:t>
                  </w:r>
                </w:p>
              </w:tc>
              <w:tc>
                <w:tcPr>
                  <w:tcW w:w="2688" w:type="dxa"/>
                  <w:vAlign w:val="center"/>
                </w:tcPr>
                <w:p>
                  <w:pPr>
                    <w:pStyle w:val="34"/>
                    <w:jc w:val="left"/>
                  </w:pPr>
                  <w:r>
                    <w:t>本项目不属于《长江干线过江通道布局规划》的过长江通道项目。</w:t>
                  </w:r>
                </w:p>
              </w:tc>
              <w:tc>
                <w:tcPr>
                  <w:tcW w:w="927" w:type="dxa"/>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4570" w:type="dxa"/>
                  <w:vAlign w:val="center"/>
                </w:tcPr>
                <w:p>
                  <w:pPr>
                    <w:pStyle w:val="34"/>
                    <w:jc w:val="left"/>
                  </w:pPr>
                  <w:r>
                    <w:rPr>
                      <w:rFonts w:hint="eastAsia"/>
                    </w:rPr>
                    <w:t xml:space="preserve">第七条  </w:t>
                  </w:r>
                  <w:r>
                    <w:t>禁止在自然保护区核心区、缓冲区的岸线和河段范围内投资建设旅游和生产经营项目。</w:t>
                  </w:r>
                  <w:r>
                    <w:rPr>
                      <w:rFonts w:hint="eastAsia"/>
                    </w:rPr>
                    <w:t>自然</w:t>
                  </w:r>
                  <w:r>
                    <w:t>保护区的内部未分区的，依照核心区和</w:t>
                  </w:r>
                  <w:r>
                    <w:rPr>
                      <w:rFonts w:hint="eastAsia"/>
                    </w:rPr>
                    <w:t>缓冲区</w:t>
                  </w:r>
                  <w:r>
                    <w:t>的规定管控。</w:t>
                  </w:r>
                </w:p>
              </w:tc>
              <w:tc>
                <w:tcPr>
                  <w:tcW w:w="2688" w:type="dxa"/>
                  <w:vAlign w:val="center"/>
                </w:tcPr>
                <w:p>
                  <w:pPr>
                    <w:pStyle w:val="34"/>
                    <w:jc w:val="left"/>
                  </w:pPr>
                  <w:r>
                    <w:t>本项目未在自然保护区核心区、缓冲区的岸线和河段范围内。</w:t>
                  </w:r>
                </w:p>
              </w:tc>
              <w:tc>
                <w:tcPr>
                  <w:tcW w:w="927" w:type="dxa"/>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70" w:type="dxa"/>
                  <w:vAlign w:val="center"/>
                </w:tcPr>
                <w:p>
                  <w:pPr>
                    <w:pStyle w:val="34"/>
                    <w:jc w:val="left"/>
                  </w:pPr>
                  <w:r>
                    <w:rPr>
                      <w:rFonts w:hint="eastAsia"/>
                    </w:rPr>
                    <w:t>第八条  禁止违反风景名胜区规划，在风景名胜区内设立各类开发区。禁止在风景名胜区核心景区的岸线和河段范围内建设宾馆、招待所、培训中心、疗养院以及与风景名胜资源保护无关的项目。</w:t>
                  </w:r>
                </w:p>
              </w:tc>
              <w:tc>
                <w:tcPr>
                  <w:tcW w:w="2688" w:type="dxa"/>
                  <w:vAlign w:val="center"/>
                </w:tcPr>
                <w:p>
                  <w:pPr>
                    <w:pStyle w:val="34"/>
                    <w:jc w:val="left"/>
                  </w:pPr>
                  <w:r>
                    <w:t>本项目不在</w:t>
                  </w:r>
                  <w:r>
                    <w:rPr>
                      <w:rFonts w:hint="eastAsia"/>
                    </w:rPr>
                    <w:t>风景名胜区核心景区的岸线和河段范围内。</w:t>
                  </w:r>
                </w:p>
              </w:tc>
              <w:tc>
                <w:tcPr>
                  <w:tcW w:w="927" w:type="dxa"/>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70" w:type="dxa"/>
                  <w:vAlign w:val="center"/>
                </w:tcPr>
                <w:p>
                  <w:pPr>
                    <w:pStyle w:val="34"/>
                    <w:jc w:val="left"/>
                  </w:pPr>
                  <w:r>
                    <w:rPr>
                      <w:rFonts w:hint="eastAsia"/>
                    </w:rPr>
                    <w:t xml:space="preserve">第九条 </w:t>
                  </w:r>
                  <w:r>
                    <w:t xml:space="preserve"> </w:t>
                  </w:r>
                  <w:r>
                    <w:rPr>
                      <w:rFonts w:hint="eastAsia"/>
                    </w:rPr>
                    <w:t>禁止在饮用水水源准保护区的岸线和河段范围内新建、扩建对水体污染严重的建设项目，禁止改建增加排污量的建设项目。</w:t>
                  </w:r>
                </w:p>
              </w:tc>
              <w:tc>
                <w:tcPr>
                  <w:tcW w:w="2688" w:type="dxa"/>
                  <w:vAlign w:val="center"/>
                </w:tcPr>
                <w:p>
                  <w:pPr>
                    <w:pStyle w:val="34"/>
                    <w:jc w:val="left"/>
                  </w:pPr>
                  <w:r>
                    <w:t>本项目不在饮用水水源保护区的岸线和河段范围内</w:t>
                  </w:r>
                  <w:r>
                    <w:rPr>
                      <w:rFonts w:hint="eastAsia"/>
                    </w:rPr>
                    <w:t>。</w:t>
                  </w:r>
                </w:p>
              </w:tc>
              <w:tc>
                <w:tcPr>
                  <w:tcW w:w="927" w:type="dxa"/>
                  <w:vAlign w:val="center"/>
                </w:tcPr>
                <w:p>
                  <w:pPr>
                    <w:pStyle w:val="34"/>
                    <w:jc w:val="center"/>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70" w:type="dxa"/>
                  <w:vAlign w:val="center"/>
                </w:tcPr>
                <w:p>
                  <w:pPr>
                    <w:pStyle w:val="34"/>
                    <w:jc w:val="left"/>
                  </w:pPr>
                  <w:r>
                    <w:rPr>
                      <w:rFonts w:hint="eastAsia"/>
                    </w:rPr>
                    <w:t>第十条  饮用水水源二级保护区的岸线和河段范围内，除遵守准保护区规定外，禁止新建、改建、扩建排放污染物的投资建设项目；禁止从事对水体有污染的水产养殖等活动。</w:t>
                  </w:r>
                </w:p>
              </w:tc>
              <w:tc>
                <w:tcPr>
                  <w:tcW w:w="2688" w:type="dxa"/>
                  <w:vAlign w:val="center"/>
                </w:tcPr>
                <w:p>
                  <w:pPr>
                    <w:pStyle w:val="34"/>
                    <w:jc w:val="left"/>
                  </w:pPr>
                  <w:r>
                    <w:t>本项目不在饮用水水源保护区的岸线和河段范围内</w:t>
                  </w:r>
                  <w:r>
                    <w:rPr>
                      <w:rFonts w:hint="eastAsia"/>
                    </w:rPr>
                    <w:t>。</w:t>
                  </w:r>
                </w:p>
              </w:tc>
              <w:tc>
                <w:tcPr>
                  <w:tcW w:w="927" w:type="dxa"/>
                  <w:vAlign w:val="center"/>
                </w:tcPr>
                <w:p>
                  <w:pPr>
                    <w:pStyle w:val="34"/>
                    <w:jc w:val="center"/>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4570" w:type="dxa"/>
                  <w:vAlign w:val="center"/>
                </w:tcPr>
                <w:p>
                  <w:pPr>
                    <w:pStyle w:val="34"/>
                    <w:jc w:val="left"/>
                  </w:pPr>
                  <w:r>
                    <w:rPr>
                      <w:rFonts w:hint="eastAsia"/>
                    </w:rPr>
                    <w:t>第十一条  饮用水水源一级保护区的岸线和河段范围内，除遵守二级保护区规定外，禁止新建、改建、扩建与供水设施和保护水源无关的项目，以及网箱养殖、畜禽养殖、旅游等可能污染饮用水水体的投资建设项目。</w:t>
                  </w:r>
                </w:p>
              </w:tc>
              <w:tc>
                <w:tcPr>
                  <w:tcW w:w="2688" w:type="dxa"/>
                  <w:vAlign w:val="center"/>
                </w:tcPr>
                <w:p>
                  <w:pPr>
                    <w:pStyle w:val="34"/>
                    <w:jc w:val="left"/>
                  </w:pPr>
                  <w:r>
                    <w:t>本项目不在饮用水水源保护区的岸线和河段范围内</w:t>
                  </w:r>
                  <w:r>
                    <w:rPr>
                      <w:rFonts w:hint="eastAsia"/>
                    </w:rPr>
                    <w:t>。</w:t>
                  </w:r>
                </w:p>
              </w:tc>
              <w:tc>
                <w:tcPr>
                  <w:tcW w:w="927" w:type="dxa"/>
                  <w:vAlign w:val="center"/>
                </w:tcPr>
                <w:p>
                  <w:pPr>
                    <w:pStyle w:val="34"/>
                    <w:jc w:val="center"/>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70" w:type="dxa"/>
                  <w:vAlign w:val="center"/>
                </w:tcPr>
                <w:p>
                  <w:pPr>
                    <w:pStyle w:val="34"/>
                    <w:jc w:val="left"/>
                  </w:pPr>
                  <w:r>
                    <w:rPr>
                      <w:rFonts w:hint="eastAsia"/>
                    </w:rPr>
                    <w:t>第十二条  禁止在水产种质资源保护区岸线和河段范围内新建围湖造田、围湖造地或挖沙采石等投资建设项目。</w:t>
                  </w:r>
                </w:p>
              </w:tc>
              <w:tc>
                <w:tcPr>
                  <w:tcW w:w="2688" w:type="dxa"/>
                  <w:vAlign w:val="center"/>
                </w:tcPr>
                <w:p>
                  <w:pPr>
                    <w:pStyle w:val="34"/>
                    <w:jc w:val="left"/>
                  </w:pPr>
                  <w:r>
                    <w:t>本项目不在水产种质资源保护区的岸线和河段</w:t>
                  </w:r>
                  <w:r>
                    <w:rPr>
                      <w:rFonts w:hint="eastAsia"/>
                    </w:rPr>
                    <w:t>，</w:t>
                  </w:r>
                  <w:r>
                    <w:t>且不属于</w:t>
                  </w:r>
                  <w:r>
                    <w:rPr>
                      <w:rFonts w:hint="eastAsia"/>
                    </w:rPr>
                    <w:t>围湖造田、围湖造地或挖沙采石等投资建设项目。</w:t>
                  </w:r>
                </w:p>
              </w:tc>
              <w:tc>
                <w:tcPr>
                  <w:tcW w:w="927" w:type="dxa"/>
                  <w:vAlign w:val="center"/>
                </w:tcPr>
                <w:p>
                  <w:pPr>
                    <w:pStyle w:val="34"/>
                    <w:jc w:val="center"/>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70" w:type="dxa"/>
                  <w:vAlign w:val="center"/>
                </w:tcPr>
                <w:p>
                  <w:pPr>
                    <w:pStyle w:val="34"/>
                    <w:jc w:val="left"/>
                  </w:pPr>
                  <w:r>
                    <w:rPr>
                      <w:rFonts w:hint="eastAsia"/>
                    </w:rPr>
                    <w:t>第十三条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河游通道。</w:t>
                  </w:r>
                </w:p>
              </w:tc>
              <w:tc>
                <w:tcPr>
                  <w:tcW w:w="2688" w:type="dxa"/>
                  <w:vAlign w:val="center"/>
                </w:tcPr>
                <w:p>
                  <w:pPr>
                    <w:pStyle w:val="34"/>
                    <w:jc w:val="left"/>
                  </w:pPr>
                  <w:r>
                    <w:rPr>
                      <w:rFonts w:hint="eastAsia"/>
                    </w:rPr>
                    <w:t>本项目</w:t>
                  </w:r>
                  <w:r>
                    <w:t>不在国家湿地公园的岸线和河段范围内</w:t>
                  </w:r>
                  <w:r>
                    <w:rPr>
                      <w:rFonts w:hint="eastAsia"/>
                    </w:rPr>
                    <w:t>，</w:t>
                  </w:r>
                  <w:r>
                    <w:t>且</w:t>
                  </w:r>
                  <w:r>
                    <w:rPr>
                      <w:rFonts w:hint="eastAsia"/>
                    </w:rPr>
                    <w:t>不属于</w:t>
                  </w:r>
                  <w:r>
                    <w:t>文件禁止</w:t>
                  </w:r>
                  <w:r>
                    <w:rPr>
                      <w:rFonts w:hint="eastAsia"/>
                    </w:rPr>
                    <w:t>类</w:t>
                  </w:r>
                  <w:r>
                    <w:t>项目。</w:t>
                  </w:r>
                </w:p>
              </w:tc>
              <w:tc>
                <w:tcPr>
                  <w:tcW w:w="927" w:type="dxa"/>
                  <w:vAlign w:val="center"/>
                </w:tcPr>
                <w:p>
                  <w:pPr>
                    <w:pStyle w:val="34"/>
                    <w:jc w:val="center"/>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70" w:type="dxa"/>
                  <w:vAlign w:val="center"/>
                </w:tcPr>
                <w:p>
                  <w:pPr>
                    <w:pStyle w:val="34"/>
                    <w:jc w:val="left"/>
                  </w:pPr>
                  <w:r>
                    <w:rPr>
                      <w:rFonts w:hint="eastAsia"/>
                    </w:rPr>
                    <w:t>第十四条  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2688" w:type="dxa"/>
                  <w:vAlign w:val="center"/>
                </w:tcPr>
                <w:p>
                  <w:pPr>
                    <w:pStyle w:val="34"/>
                    <w:jc w:val="left"/>
                  </w:pPr>
                  <w:r>
                    <w:t>本项目不在</w:t>
                  </w:r>
                  <w:r>
                    <w:rPr>
                      <w:rFonts w:hint="eastAsia"/>
                    </w:rPr>
                    <w:t>《长江岸线保护和开发利用总体规划》划定的岸线保护区和岸线保留区内。</w:t>
                  </w:r>
                </w:p>
              </w:tc>
              <w:tc>
                <w:tcPr>
                  <w:tcW w:w="927" w:type="dxa"/>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4570" w:type="dxa"/>
                  <w:vAlign w:val="center"/>
                </w:tcPr>
                <w:p>
                  <w:pPr>
                    <w:pStyle w:val="34"/>
                    <w:jc w:val="left"/>
                  </w:pPr>
                  <w:r>
                    <w:rPr>
                      <w:rFonts w:hint="eastAsia"/>
                    </w:rPr>
                    <w:t>第十五条  禁止在《全国重要江河湖泊水功能区划》划定的河段及湖泊保护区、保留区内投资建设不利于水资源及自然生态保护的项目。</w:t>
                  </w:r>
                </w:p>
              </w:tc>
              <w:tc>
                <w:tcPr>
                  <w:tcW w:w="2688" w:type="dxa"/>
                  <w:vAlign w:val="center"/>
                </w:tcPr>
                <w:p>
                  <w:pPr>
                    <w:pStyle w:val="34"/>
                    <w:jc w:val="left"/>
                  </w:pPr>
                  <w:r>
                    <w:rPr>
                      <w:rFonts w:hint="eastAsia"/>
                    </w:rPr>
                    <w:t>本</w:t>
                  </w:r>
                  <w:r>
                    <w:t>项目不涉及。</w:t>
                  </w:r>
                </w:p>
              </w:tc>
              <w:tc>
                <w:tcPr>
                  <w:tcW w:w="927" w:type="dxa"/>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70" w:type="dxa"/>
                  <w:vAlign w:val="center"/>
                </w:tcPr>
                <w:p>
                  <w:pPr>
                    <w:pStyle w:val="34"/>
                    <w:jc w:val="left"/>
                  </w:pPr>
                  <w:r>
                    <w:rPr>
                      <w:rFonts w:hint="eastAsia"/>
                    </w:rPr>
                    <w:t>第十六条  禁止在长江流域江河、湖泊新设、改设或者扩大排污口，经有管辖权的生态环境主管部门或者长江流域生态环境监督管理机构同意的除外。</w:t>
                  </w:r>
                </w:p>
              </w:tc>
              <w:tc>
                <w:tcPr>
                  <w:tcW w:w="2688" w:type="dxa"/>
                  <w:vAlign w:val="center"/>
                </w:tcPr>
                <w:p>
                  <w:pPr>
                    <w:pStyle w:val="34"/>
                    <w:jc w:val="left"/>
                  </w:pPr>
                  <w:r>
                    <w:rPr>
                      <w:rFonts w:hint="eastAsia"/>
                    </w:rPr>
                    <w:t>本</w:t>
                  </w:r>
                  <w:r>
                    <w:t>项目不涉及。</w:t>
                  </w:r>
                </w:p>
              </w:tc>
              <w:tc>
                <w:tcPr>
                  <w:tcW w:w="927" w:type="dxa"/>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70" w:type="dxa"/>
                  <w:vAlign w:val="center"/>
                </w:tcPr>
                <w:p>
                  <w:pPr>
                    <w:pStyle w:val="34"/>
                    <w:jc w:val="left"/>
                  </w:pPr>
                  <w:r>
                    <w:rPr>
                      <w:rFonts w:hint="eastAsia"/>
                    </w:rPr>
                    <w:t>第十七条  禁止在长江干流、大渡河、氓江、赤水河、沱江、嘉陵江、乌江、汉江和51个（四川省45个、重庆市6个）水生生物保护区开展生产性捕捞。</w:t>
                  </w:r>
                </w:p>
              </w:tc>
              <w:tc>
                <w:tcPr>
                  <w:tcW w:w="2688" w:type="dxa"/>
                  <w:vAlign w:val="center"/>
                </w:tcPr>
                <w:p>
                  <w:pPr>
                    <w:pStyle w:val="34"/>
                    <w:jc w:val="left"/>
                  </w:pPr>
                  <w:r>
                    <w:rPr>
                      <w:rFonts w:hint="eastAsia"/>
                    </w:rPr>
                    <w:t>本</w:t>
                  </w:r>
                  <w:r>
                    <w:t>项目不涉及。</w:t>
                  </w:r>
                </w:p>
              </w:tc>
              <w:tc>
                <w:tcPr>
                  <w:tcW w:w="927" w:type="dxa"/>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70" w:type="dxa"/>
                  <w:vAlign w:val="center"/>
                </w:tcPr>
                <w:p>
                  <w:pPr>
                    <w:pStyle w:val="34"/>
                    <w:jc w:val="left"/>
                  </w:pPr>
                  <w:r>
                    <w:rPr>
                      <w:rFonts w:hint="eastAsia"/>
                    </w:rPr>
                    <w:t>第十八条  禁止在长江干支流、重要湖泊岸线一公里范围内新建、扩建化工园区和化工项目。</w:t>
                  </w:r>
                </w:p>
              </w:tc>
              <w:tc>
                <w:tcPr>
                  <w:tcW w:w="2688" w:type="dxa"/>
                  <w:vAlign w:val="center"/>
                </w:tcPr>
                <w:p>
                  <w:pPr>
                    <w:pStyle w:val="34"/>
                    <w:jc w:val="left"/>
                  </w:pPr>
                  <w:r>
                    <w:rPr>
                      <w:rFonts w:hint="eastAsia"/>
                    </w:rPr>
                    <w:t>本</w:t>
                  </w:r>
                  <w:r>
                    <w:t>项目不涉及。</w:t>
                  </w:r>
                </w:p>
              </w:tc>
              <w:tc>
                <w:tcPr>
                  <w:tcW w:w="927" w:type="dxa"/>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4570" w:type="dxa"/>
                  <w:vAlign w:val="center"/>
                </w:tcPr>
                <w:p>
                  <w:pPr>
                    <w:pStyle w:val="34"/>
                    <w:jc w:val="left"/>
                  </w:pPr>
                  <w:r>
                    <w:rPr>
                      <w:rFonts w:hint="eastAsia"/>
                    </w:rPr>
                    <w:t>第十九条  禁止在长江干流岸线三公里范围内和重要支流岸线一公里范围内新建、改建、扩建尾矿库、冶炼渣库、磷石膏</w:t>
                  </w:r>
                  <w:r>
                    <w:t>库，以提升安全、生态环境保护水平为目的的改建除外。</w:t>
                  </w:r>
                </w:p>
              </w:tc>
              <w:tc>
                <w:tcPr>
                  <w:tcW w:w="2688" w:type="dxa"/>
                  <w:vAlign w:val="center"/>
                </w:tcPr>
                <w:p>
                  <w:pPr>
                    <w:pStyle w:val="34"/>
                    <w:jc w:val="left"/>
                  </w:pPr>
                  <w:r>
                    <w:rPr>
                      <w:rFonts w:hint="eastAsia"/>
                    </w:rPr>
                    <w:t>本</w:t>
                  </w:r>
                  <w:r>
                    <w:t>项目不涉及。</w:t>
                  </w:r>
                </w:p>
              </w:tc>
              <w:tc>
                <w:tcPr>
                  <w:tcW w:w="927" w:type="dxa"/>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70" w:type="dxa"/>
                  <w:vAlign w:val="center"/>
                </w:tcPr>
                <w:p>
                  <w:pPr>
                    <w:pStyle w:val="34"/>
                    <w:jc w:val="left"/>
                  </w:pPr>
                  <w:r>
                    <w:rPr>
                      <w:rFonts w:hint="eastAsia"/>
                    </w:rPr>
                    <w:t>第二十条  禁止在生态保护红线区域、永久基本农田集中区域和其他需要特别保护的区域内选址建设尾矿库、冶炼渣库磷石膏库。</w:t>
                  </w:r>
                </w:p>
              </w:tc>
              <w:tc>
                <w:tcPr>
                  <w:tcW w:w="2688" w:type="dxa"/>
                  <w:vAlign w:val="center"/>
                </w:tcPr>
                <w:p>
                  <w:pPr>
                    <w:pStyle w:val="34"/>
                    <w:jc w:val="left"/>
                  </w:pPr>
                  <w:r>
                    <w:rPr>
                      <w:rFonts w:hint="eastAsia"/>
                    </w:rPr>
                    <w:t>本</w:t>
                  </w:r>
                  <w:r>
                    <w:t>项目不涉及。</w:t>
                  </w:r>
                </w:p>
              </w:tc>
              <w:tc>
                <w:tcPr>
                  <w:tcW w:w="927" w:type="dxa"/>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70" w:type="dxa"/>
                  <w:vAlign w:val="center"/>
                </w:tcPr>
                <w:p>
                  <w:pPr>
                    <w:pStyle w:val="34"/>
                    <w:jc w:val="left"/>
                  </w:pPr>
                  <w:r>
                    <w:rPr>
                      <w:rFonts w:hint="eastAsia"/>
                    </w:rPr>
                    <w:t>第二十一条  禁止在合规园区外新建、扩建钢铁、石化化工、焦化、建材、有色、制浆造纸等高污染项目。</w:t>
                  </w:r>
                </w:p>
              </w:tc>
              <w:tc>
                <w:tcPr>
                  <w:tcW w:w="2688" w:type="dxa"/>
                  <w:vAlign w:val="center"/>
                </w:tcPr>
                <w:p>
                  <w:pPr>
                    <w:pStyle w:val="34"/>
                    <w:jc w:val="left"/>
                  </w:pPr>
                  <w:r>
                    <w:rPr>
                      <w:rFonts w:hint="eastAsia"/>
                    </w:rPr>
                    <w:t>本</w:t>
                  </w:r>
                  <w:r>
                    <w:t>项目不涉及。</w:t>
                  </w:r>
                </w:p>
              </w:tc>
              <w:tc>
                <w:tcPr>
                  <w:tcW w:w="927" w:type="dxa"/>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70" w:type="dxa"/>
                  <w:vAlign w:val="center"/>
                </w:tcPr>
                <w:p>
                  <w:pPr>
                    <w:pStyle w:val="34"/>
                    <w:jc w:val="left"/>
                  </w:pPr>
                  <w:r>
                    <w:rPr>
                      <w:rFonts w:hint="eastAsia"/>
                    </w:rPr>
                    <w:t xml:space="preserve">第二十二条 </w:t>
                  </w:r>
                  <w:r>
                    <w:t xml:space="preserve"> </w:t>
                  </w:r>
                  <w:r>
                    <w:rPr>
                      <w:rFonts w:hint="eastAsia"/>
                    </w:rPr>
                    <w:t>禁止新建、扩建不符合国家石化、现代煤化工等产业布局规划的项目。</w:t>
                  </w:r>
                </w:p>
                <w:p>
                  <w:pPr>
                    <w:pStyle w:val="34"/>
                    <w:jc w:val="left"/>
                  </w:pPr>
                  <w:r>
                    <w:rPr>
                      <w:rFonts w:hint="eastAsia"/>
                    </w:rPr>
                    <w:t>（一）严格控制新增炼油产能，未列入《石化产业规划布局方案（修订版）》的新增炼油产能---律不得建设。</w:t>
                  </w:r>
                </w:p>
                <w:p>
                  <w:pPr>
                    <w:pStyle w:val="34"/>
                    <w:jc w:val="left"/>
                  </w:pPr>
                  <w:r>
                    <w:rPr>
                      <w:rFonts w:hint="eastAsia"/>
                    </w:rPr>
                    <w:t>（二）新建煤制烯烃、煤制芳烃项目必须列入《现代煤化工产业创新发展布局方案》，必须符合《现代煤化工建设项目环境准入条件（试行）》要求。</w:t>
                  </w:r>
                </w:p>
              </w:tc>
              <w:tc>
                <w:tcPr>
                  <w:tcW w:w="2688" w:type="dxa"/>
                  <w:vAlign w:val="center"/>
                </w:tcPr>
                <w:p>
                  <w:pPr>
                    <w:pStyle w:val="34"/>
                    <w:jc w:val="left"/>
                  </w:pPr>
                  <w:r>
                    <w:rPr>
                      <w:rFonts w:hint="eastAsia"/>
                    </w:rPr>
                    <w:t>本</w:t>
                  </w:r>
                  <w:r>
                    <w:t>项目不涉及。</w:t>
                  </w:r>
                </w:p>
              </w:tc>
              <w:tc>
                <w:tcPr>
                  <w:tcW w:w="927" w:type="dxa"/>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4570" w:type="dxa"/>
                  <w:vAlign w:val="center"/>
                </w:tcPr>
                <w:p>
                  <w:pPr>
                    <w:pStyle w:val="34"/>
                    <w:jc w:val="left"/>
                  </w:pPr>
                  <w:r>
                    <w:rPr>
                      <w:rFonts w:hint="eastAsia"/>
                    </w:rPr>
                    <w:t xml:space="preserve">第二十三条 </w:t>
                  </w:r>
                  <w:r>
                    <w:t xml:space="preserve"> </w:t>
                  </w:r>
                  <w:r>
                    <w:rPr>
                      <w:rFonts w:hint="eastAsia"/>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r>
                    <w:t>。</w:t>
                  </w:r>
                </w:p>
              </w:tc>
              <w:tc>
                <w:tcPr>
                  <w:tcW w:w="2688" w:type="dxa"/>
                  <w:vAlign w:val="center"/>
                </w:tcPr>
                <w:p>
                  <w:pPr>
                    <w:pStyle w:val="34"/>
                    <w:jc w:val="left"/>
                  </w:pPr>
                  <w:r>
                    <w:rPr>
                      <w:rFonts w:hint="eastAsia"/>
                    </w:rPr>
                    <w:t>本</w:t>
                  </w:r>
                  <w:r>
                    <w:t>项目</w:t>
                  </w:r>
                  <w:r>
                    <w:rPr>
                      <w:rFonts w:hint="eastAsia"/>
                    </w:rPr>
                    <w:t>不属于禁止</w:t>
                  </w:r>
                  <w:r>
                    <w:t>类</w:t>
                  </w:r>
                  <w:r>
                    <w:rPr>
                      <w:rFonts w:hint="eastAsia"/>
                    </w:rPr>
                    <w:t>、</w:t>
                  </w:r>
                  <w:r>
                    <w:t>淘汰类</w:t>
                  </w:r>
                  <w:r>
                    <w:rPr>
                      <w:rFonts w:hint="eastAsia"/>
                    </w:rPr>
                    <w:t>和限制</w:t>
                  </w:r>
                  <w:r>
                    <w:t>类项目。</w:t>
                  </w:r>
                </w:p>
              </w:tc>
              <w:tc>
                <w:tcPr>
                  <w:tcW w:w="927" w:type="dxa"/>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70" w:type="dxa"/>
                  <w:vAlign w:val="center"/>
                </w:tcPr>
                <w:p>
                  <w:pPr>
                    <w:pStyle w:val="34"/>
                    <w:jc w:val="left"/>
                  </w:pPr>
                  <w:r>
                    <w:rPr>
                      <w:rFonts w:hint="eastAsia"/>
                    </w:rPr>
                    <w:t xml:space="preserve">第二十四条 </w:t>
                  </w:r>
                  <w:r>
                    <w:t xml:space="preserve"> </w:t>
                  </w:r>
                  <w:r>
                    <w:rPr>
                      <w:rFonts w:hint="eastAsia"/>
                    </w:rPr>
                    <w:t>禁止新建、扩建不符合国家产能置换要求的严重过剩产能行业的项目，对于不符合国家产能置换要求的严重过剩产能行业，不得以其他任何名义、任何方式备案新增产能项目。</w:t>
                  </w:r>
                </w:p>
              </w:tc>
              <w:tc>
                <w:tcPr>
                  <w:tcW w:w="2688" w:type="dxa"/>
                  <w:vAlign w:val="center"/>
                </w:tcPr>
                <w:p>
                  <w:pPr>
                    <w:pStyle w:val="34"/>
                    <w:jc w:val="left"/>
                  </w:pPr>
                  <w:r>
                    <w:rPr>
                      <w:rFonts w:hint="eastAsia"/>
                    </w:rPr>
                    <w:t>本</w:t>
                  </w:r>
                  <w:r>
                    <w:t>项目不属于严重过剩产能项目。</w:t>
                  </w:r>
                </w:p>
              </w:tc>
              <w:tc>
                <w:tcPr>
                  <w:tcW w:w="927" w:type="dxa"/>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70" w:type="dxa"/>
                  <w:vAlign w:val="center"/>
                </w:tcPr>
                <w:p>
                  <w:pPr>
                    <w:pStyle w:val="34"/>
                    <w:jc w:val="left"/>
                  </w:pPr>
                  <w:r>
                    <w:rPr>
                      <w:rFonts w:hint="eastAsia"/>
                    </w:rPr>
                    <w:t>第二十五条  禁止建设以下燃油汽车投资项目（不在中国境内销售产品的投资项目除外）：</w:t>
                  </w:r>
                </w:p>
                <w:p>
                  <w:pPr>
                    <w:pStyle w:val="34"/>
                    <w:jc w:val="left"/>
                  </w:pPr>
                  <w:r>
                    <w:rPr>
                      <w:rFonts w:hint="eastAsia"/>
                    </w:rPr>
                    <w:t>（一）新建独立燃油汽车企业；</w:t>
                  </w:r>
                </w:p>
                <w:p>
                  <w:pPr>
                    <w:pStyle w:val="34"/>
                    <w:jc w:val="left"/>
                  </w:pPr>
                  <w:r>
                    <w:rPr>
                      <w:rFonts w:hint="eastAsia"/>
                    </w:rPr>
                    <w:t>（二）现有汽车企业跨乘用车、商用车类别建设燃油汽车生产能力；</w:t>
                  </w:r>
                </w:p>
                <w:p>
                  <w:pPr>
                    <w:pStyle w:val="34"/>
                    <w:jc w:val="left"/>
                  </w:pPr>
                  <w:r>
                    <w:rPr>
                      <w:rFonts w:hint="eastAsia"/>
                    </w:rPr>
                    <w:t>（三）外省现有燃油汽车企业整体搬迁至本省（列入国家级区域发展规划或不改变企业股权结构的项目除外）；</w:t>
                  </w:r>
                </w:p>
                <w:p>
                  <w:pPr>
                    <w:pStyle w:val="34"/>
                    <w:jc w:val="left"/>
                  </w:pPr>
                  <w:r>
                    <w:rPr>
                      <w:rFonts w:hint="eastAsia"/>
                    </w:rPr>
                    <w:t>（四）对行业管理部门特别公示的燃油汽车企业进行投资（企业原有股东投资或将该企业转为非独立法人的投资项目除外）。</w:t>
                  </w:r>
                </w:p>
              </w:tc>
              <w:tc>
                <w:tcPr>
                  <w:tcW w:w="2688" w:type="dxa"/>
                  <w:vAlign w:val="center"/>
                </w:tcPr>
                <w:p>
                  <w:pPr>
                    <w:pStyle w:val="34"/>
                    <w:jc w:val="left"/>
                  </w:pPr>
                  <w:r>
                    <w:rPr>
                      <w:rFonts w:hint="eastAsia"/>
                    </w:rPr>
                    <w:t>本</w:t>
                  </w:r>
                  <w:r>
                    <w:t>项目不涉及。</w:t>
                  </w:r>
                </w:p>
              </w:tc>
              <w:tc>
                <w:tcPr>
                  <w:tcW w:w="927" w:type="dxa"/>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4570" w:type="dxa"/>
                  <w:vAlign w:val="center"/>
                </w:tcPr>
                <w:p>
                  <w:pPr>
                    <w:pStyle w:val="34"/>
                    <w:jc w:val="left"/>
                  </w:pPr>
                  <w:r>
                    <w:rPr>
                      <w:rFonts w:hint="eastAsia"/>
                    </w:rPr>
                    <w:t>第二十六条  禁止</w:t>
                  </w:r>
                  <w:r>
                    <w:t>新建、扩建不符合要求的高耗能</w:t>
                  </w:r>
                  <w:r>
                    <w:rPr>
                      <w:rFonts w:hint="eastAsia"/>
                    </w:rPr>
                    <w:t>、高</w:t>
                  </w:r>
                  <w:r>
                    <w:t>排放、低水平项目</w:t>
                  </w:r>
                  <w:r>
                    <w:rPr>
                      <w:rFonts w:hint="eastAsia"/>
                    </w:rPr>
                    <w:t>。</w:t>
                  </w:r>
                </w:p>
              </w:tc>
              <w:tc>
                <w:tcPr>
                  <w:tcW w:w="2688" w:type="dxa"/>
                  <w:vAlign w:val="center"/>
                </w:tcPr>
                <w:p>
                  <w:pPr>
                    <w:pStyle w:val="34"/>
                    <w:jc w:val="left"/>
                  </w:pPr>
                  <w:r>
                    <w:t>项目不属于高耗能</w:t>
                  </w:r>
                  <w:r>
                    <w:rPr>
                      <w:rFonts w:hint="eastAsia"/>
                    </w:rPr>
                    <w:t>、高</w:t>
                  </w:r>
                  <w:r>
                    <w:t>排放、低水平项目。</w:t>
                  </w:r>
                </w:p>
              </w:tc>
              <w:tc>
                <w:tcPr>
                  <w:tcW w:w="927" w:type="dxa"/>
                  <w:vAlign w:val="center"/>
                </w:tcPr>
                <w:p>
                  <w:pPr>
                    <w:pStyle w:val="34"/>
                    <w:jc w:val="center"/>
                  </w:pPr>
                  <w:r>
                    <w:t>符合</w:t>
                  </w:r>
                </w:p>
              </w:tc>
            </w:tr>
          </w:tbl>
          <w:p>
            <w:pPr>
              <w:spacing w:before="120" w:beforeLines="50"/>
              <w:ind w:firstLine="480"/>
              <w:rPr>
                <w:kern w:val="0"/>
                <w:szCs w:val="21"/>
              </w:rPr>
            </w:pPr>
            <w:r>
              <w:rPr>
                <w:kern w:val="0"/>
                <w:szCs w:val="21"/>
              </w:rPr>
              <w:t>综上所述，本项目符合</w:t>
            </w:r>
            <w:r>
              <w:rPr>
                <w:rFonts w:hint="eastAsia"/>
                <w:kern w:val="0"/>
                <w:szCs w:val="21"/>
              </w:rPr>
              <w:t>《四川省、重庆市长江经济带发展负面清单实施细则（试行，2022年版）》（川长办发〔2022〕17号）</w:t>
            </w:r>
            <w:r>
              <w:rPr>
                <w:kern w:val="0"/>
                <w:szCs w:val="21"/>
              </w:rPr>
              <w:t>。</w:t>
            </w:r>
          </w:p>
          <w:p>
            <w:pPr>
              <w:ind w:firstLine="480"/>
              <w:rPr>
                <w:snapToGrid w:val="0"/>
              </w:rPr>
            </w:pPr>
            <w:r>
              <w:rPr>
                <w:snapToGrid w:val="0"/>
              </w:rPr>
              <w:t>（5）与《中华人民共和国长江保护法》的符合性分析</w:t>
            </w:r>
          </w:p>
          <w:p>
            <w:pPr>
              <w:pStyle w:val="33"/>
              <w:spacing w:before="120"/>
              <w:ind w:firstLine="480"/>
              <w:rPr>
                <w:snapToGrid w:val="0"/>
              </w:rPr>
            </w:pPr>
            <w:r>
              <w:rPr>
                <w:snapToGrid w:val="0"/>
              </w:rPr>
              <w:t>表1-8 与《中华人民共和国长江保护法》的符合性分析</w:t>
            </w:r>
          </w:p>
          <w:tbl>
            <w:tblPr>
              <w:tblStyle w:val="1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434"/>
              <w:gridCol w:w="2763"/>
              <w:gridCol w:w="12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33" w:type="pct"/>
                  <w:vAlign w:val="center"/>
                </w:tcPr>
                <w:p>
                  <w:pPr>
                    <w:pStyle w:val="34"/>
                    <w:jc w:val="center"/>
                  </w:pPr>
                  <w:r>
                    <w:t>水污染防治</w:t>
                  </w:r>
                </w:p>
              </w:tc>
              <w:tc>
                <w:tcPr>
                  <w:tcW w:w="1641" w:type="pct"/>
                  <w:vAlign w:val="center"/>
                </w:tcPr>
                <w:p>
                  <w:pPr>
                    <w:pStyle w:val="34"/>
                    <w:jc w:val="center"/>
                  </w:pPr>
                  <w:r>
                    <w:t>本项目</w:t>
                  </w:r>
                </w:p>
              </w:tc>
              <w:tc>
                <w:tcPr>
                  <w:tcW w:w="726" w:type="pct"/>
                  <w:vAlign w:val="center"/>
                </w:tcPr>
                <w:p>
                  <w:pPr>
                    <w:pStyle w:val="34"/>
                    <w:jc w:val="center"/>
                  </w:pPr>
                  <w: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62" w:hRule="atLeast"/>
              </w:trPr>
              <w:tc>
                <w:tcPr>
                  <w:tcW w:w="2633" w:type="pct"/>
                  <w:vAlign w:val="center"/>
                </w:tcPr>
                <w:p>
                  <w:pPr>
                    <w:pStyle w:val="34"/>
                    <w:jc w:val="left"/>
                  </w:pPr>
                  <w:r>
                    <w:t>第四十六条磷矿开采加工、磷肥和含磷农药制造等企业，应当按照排污许可要求，采取有效措施控制总磷排放浓度和排放总量；对排污口和周边环境进行总磷监测，依法公开监测信息。</w:t>
                  </w:r>
                </w:p>
              </w:tc>
              <w:tc>
                <w:tcPr>
                  <w:tcW w:w="1641" w:type="pct"/>
                  <w:vAlign w:val="center"/>
                </w:tcPr>
                <w:p>
                  <w:pPr>
                    <w:pStyle w:val="34"/>
                    <w:jc w:val="left"/>
                  </w:pPr>
                  <w:r>
                    <w:t>本项目不属于磷矿开采加工、磷肥和含磷农药制造等企业项目，项目</w:t>
                  </w:r>
                  <w:r>
                    <w:rPr>
                      <w:rFonts w:hint="eastAsia"/>
                    </w:rPr>
                    <w:t>污废水</w:t>
                  </w:r>
                  <w:r>
                    <w:t>经处理</w:t>
                  </w:r>
                  <w:r>
                    <w:rPr>
                      <w:rFonts w:hint="eastAsia"/>
                    </w:rPr>
                    <w:t>后</w:t>
                  </w:r>
                  <w:r>
                    <w:t>能达标排放。</w:t>
                  </w:r>
                </w:p>
              </w:tc>
              <w:tc>
                <w:tcPr>
                  <w:tcW w:w="726" w:type="pct"/>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33" w:type="pct"/>
                  <w:vAlign w:val="center"/>
                </w:tcPr>
                <w:p>
                  <w:pPr>
                    <w:pStyle w:val="34"/>
                    <w:jc w:val="left"/>
                  </w:pPr>
                  <w:r>
                    <w:t>第四十七条在长江流域江河、湖泊新设、改设或者扩大排污口，应当按照国家有关规定报经有管辖权的生态环境主管部门或者长江流域生态环境监督管理机构同意。对未达到水质目标的水功能区，除污水集中处理设施排污口外，应当严格控制新设、改设或者扩大排污口。</w:t>
                  </w:r>
                </w:p>
              </w:tc>
              <w:tc>
                <w:tcPr>
                  <w:tcW w:w="1641" w:type="pct"/>
                  <w:vAlign w:val="center"/>
                </w:tcPr>
                <w:p>
                  <w:pPr>
                    <w:pStyle w:val="34"/>
                    <w:jc w:val="left"/>
                  </w:pPr>
                  <w:r>
                    <w:t>本项目</w:t>
                  </w:r>
                  <w:r>
                    <w:rPr>
                      <w:rFonts w:hint="eastAsia"/>
                    </w:rPr>
                    <w:t>污废水</w:t>
                  </w:r>
                  <w:r>
                    <w:t>经过</w:t>
                  </w:r>
                  <w:r>
                    <w:rPr>
                      <w:rFonts w:hint="eastAsia"/>
                    </w:rPr>
                    <w:t>污水处理站</w:t>
                  </w:r>
                  <w:r>
                    <w:t>处理后排入</w:t>
                  </w:r>
                  <w:r>
                    <w:rPr>
                      <w:rFonts w:hint="eastAsia"/>
                    </w:rPr>
                    <w:t>园区</w:t>
                  </w:r>
                  <w:r>
                    <w:t>污水处理厂。</w:t>
                  </w:r>
                </w:p>
              </w:tc>
              <w:tc>
                <w:tcPr>
                  <w:tcW w:w="726" w:type="pct"/>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33" w:type="pct"/>
                  <w:vAlign w:val="center"/>
                </w:tcPr>
                <w:p>
                  <w:pPr>
                    <w:pStyle w:val="34"/>
                    <w:jc w:val="left"/>
                  </w:pPr>
                  <w:r>
                    <w:t>第四十九条禁止在长江流域河湖管理范围内倾倒、填埋、堆放、弃置、处理固体废物。长江流域县级以上地方人民政府应当加强对固体废物非法转移和倾倒的联防联控。</w:t>
                  </w:r>
                </w:p>
              </w:tc>
              <w:tc>
                <w:tcPr>
                  <w:tcW w:w="1641" w:type="pct"/>
                  <w:vAlign w:val="center"/>
                </w:tcPr>
                <w:p>
                  <w:pPr>
                    <w:pStyle w:val="34"/>
                    <w:jc w:val="left"/>
                  </w:pPr>
                  <w:r>
                    <w:t>本项目产生的固体废物分类收集，一般固体废物交回收单位处置。</w:t>
                  </w:r>
                </w:p>
              </w:tc>
              <w:tc>
                <w:tcPr>
                  <w:tcW w:w="726" w:type="pct"/>
                  <w:vAlign w:val="center"/>
                </w:tcPr>
                <w:p>
                  <w:pPr>
                    <w:pStyle w:val="34"/>
                    <w:jc w:val="center"/>
                  </w:pPr>
                  <w: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33" w:type="pct"/>
                  <w:vAlign w:val="center"/>
                </w:tcPr>
                <w:p>
                  <w:pPr>
                    <w:pStyle w:val="34"/>
                    <w:jc w:val="left"/>
                  </w:pPr>
                  <w:r>
                    <w:t>第五十一条禁止在长江流域水上运输剧毒化学品和国家规定禁止通过内河运输的其他危险化学品。长江流域县级以上地方人民政府交通运输主管部门会同本级人民政府有关部门加强对长江流域危险化学品运输的管控。</w:t>
                  </w:r>
                </w:p>
              </w:tc>
              <w:tc>
                <w:tcPr>
                  <w:tcW w:w="1641" w:type="pct"/>
                  <w:vAlign w:val="center"/>
                </w:tcPr>
                <w:p>
                  <w:pPr>
                    <w:pStyle w:val="34"/>
                    <w:jc w:val="left"/>
                  </w:pPr>
                  <w:r>
                    <w:t>本项目不涉及化学品的水上运输。</w:t>
                  </w:r>
                </w:p>
              </w:tc>
              <w:tc>
                <w:tcPr>
                  <w:tcW w:w="726" w:type="pct"/>
                  <w:vAlign w:val="center"/>
                </w:tcPr>
                <w:p>
                  <w:pPr>
                    <w:pStyle w:val="34"/>
                    <w:jc w:val="center"/>
                  </w:pPr>
                  <w:r>
                    <w:t>符合</w:t>
                  </w:r>
                </w:p>
              </w:tc>
            </w:tr>
          </w:tbl>
          <w:p>
            <w:pPr>
              <w:spacing w:before="120" w:beforeLines="50"/>
              <w:ind w:firstLine="480"/>
              <w:rPr>
                <w:snapToGrid w:val="0"/>
              </w:rPr>
            </w:pPr>
            <w:r>
              <w:rPr>
                <w:snapToGrid w:val="0"/>
              </w:rPr>
              <w:t>综上所述，本项目符合《中华人民共和国长江保护法》要求。</w:t>
            </w:r>
          </w:p>
          <w:p>
            <w:pPr>
              <w:autoSpaceDE w:val="0"/>
              <w:autoSpaceDN w:val="0"/>
              <w:ind w:firstLine="360" w:firstLineChars="150"/>
              <w:rPr>
                <w:kern w:val="0"/>
                <w:szCs w:val="21"/>
              </w:rPr>
            </w:pPr>
            <w:r>
              <w:rPr>
                <w:rFonts w:hint="eastAsia"/>
                <w:kern w:val="0"/>
                <w:szCs w:val="21"/>
              </w:rPr>
              <w:t>（</w:t>
            </w:r>
            <w:r>
              <w:rPr>
                <w:kern w:val="0"/>
                <w:szCs w:val="21"/>
              </w:rPr>
              <w:t>6</w:t>
            </w:r>
            <w:r>
              <w:rPr>
                <w:rFonts w:hint="eastAsia"/>
                <w:kern w:val="0"/>
                <w:szCs w:val="21"/>
              </w:rPr>
              <w:t>）</w:t>
            </w:r>
            <w:r>
              <w:rPr>
                <w:kern w:val="0"/>
                <w:szCs w:val="21"/>
              </w:rPr>
              <w:t>《食品生产通用卫生规范》（GB14881-2013）中对企业选址要求</w:t>
            </w:r>
          </w:p>
          <w:p>
            <w:pPr>
              <w:pStyle w:val="33"/>
              <w:spacing w:before="120"/>
              <w:ind w:firstLine="480"/>
              <w:rPr>
                <w:snapToGrid w:val="0"/>
              </w:rPr>
            </w:pPr>
            <w:r>
              <w:rPr>
                <w:snapToGrid w:val="0"/>
              </w:rPr>
              <w:t>表1-9 选址要求符合性分析一览表</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9"/>
              <w:gridCol w:w="3767"/>
              <w:gridCol w:w="3265"/>
              <w:gridCol w:w="6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2664" w:type="pct"/>
                  <w:gridSpan w:val="2"/>
                  <w:vAlign w:val="center"/>
                </w:tcPr>
                <w:p>
                  <w:pPr>
                    <w:autoSpaceDE w:val="0"/>
                    <w:autoSpaceDN w:val="0"/>
                    <w:spacing w:line="240" w:lineRule="auto"/>
                    <w:ind w:firstLine="0" w:firstLineChars="0"/>
                    <w:jc w:val="center"/>
                    <w:rPr>
                      <w:kern w:val="0"/>
                      <w:sz w:val="21"/>
                      <w:szCs w:val="21"/>
                    </w:rPr>
                  </w:pPr>
                  <w:bookmarkStart w:id="3" w:name="_Hlk23691799"/>
                  <w:r>
                    <w:rPr>
                      <w:kern w:val="0"/>
                      <w:sz w:val="21"/>
                      <w:szCs w:val="21"/>
                    </w:rPr>
                    <w:t>《食品生产通用卫生规范符》（GB14881-2013）规定</w:t>
                  </w:r>
                </w:p>
              </w:tc>
              <w:tc>
                <w:tcPr>
                  <w:tcW w:w="2336" w:type="pct"/>
                  <w:gridSpan w:val="2"/>
                  <w:vAlign w:val="center"/>
                </w:tcPr>
                <w:p>
                  <w:pPr>
                    <w:autoSpaceDE w:val="0"/>
                    <w:autoSpaceDN w:val="0"/>
                    <w:spacing w:line="240" w:lineRule="auto"/>
                    <w:ind w:firstLine="0" w:firstLineChars="0"/>
                    <w:jc w:val="center"/>
                    <w:rPr>
                      <w:kern w:val="0"/>
                      <w:sz w:val="21"/>
                      <w:szCs w:val="21"/>
                    </w:rPr>
                  </w:pPr>
                  <w:r>
                    <w:rPr>
                      <w:kern w:val="0"/>
                      <w:sz w:val="21"/>
                      <w:szCs w:val="21"/>
                    </w:rPr>
                    <w:t>符合性分析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203" w:hRule="atLeast"/>
                <w:jc w:val="center"/>
              </w:trPr>
              <w:tc>
                <w:tcPr>
                  <w:tcW w:w="427" w:type="pct"/>
                  <w:vMerge w:val="restart"/>
                  <w:vAlign w:val="center"/>
                </w:tcPr>
                <w:p>
                  <w:pPr>
                    <w:pStyle w:val="34"/>
                    <w:jc w:val="left"/>
                  </w:pPr>
                  <w:r>
                    <w:t>厂区选址要求</w:t>
                  </w:r>
                </w:p>
              </w:tc>
              <w:tc>
                <w:tcPr>
                  <w:tcW w:w="2237" w:type="pct"/>
                  <w:vAlign w:val="center"/>
                </w:tcPr>
                <w:p>
                  <w:pPr>
                    <w:pStyle w:val="34"/>
                    <w:jc w:val="left"/>
                  </w:pPr>
                  <w:r>
                    <w:t>厂区不应选择对食品有显著污染的区域</w:t>
                  </w:r>
                </w:p>
              </w:tc>
              <w:tc>
                <w:tcPr>
                  <w:tcW w:w="1939" w:type="pct"/>
                  <w:vMerge w:val="restart"/>
                  <w:vAlign w:val="center"/>
                </w:tcPr>
                <w:p>
                  <w:pPr>
                    <w:pStyle w:val="34"/>
                    <w:jc w:val="left"/>
                  </w:pPr>
                  <w:r>
                    <w:rPr>
                      <w:rFonts w:hint="eastAsia"/>
                    </w:rPr>
                    <w:t>①</w:t>
                  </w:r>
                  <w:r>
                    <w:t>拟建项目</w:t>
                  </w:r>
                  <w:r>
                    <w:rPr>
                      <w:rFonts w:hint="eastAsia"/>
                    </w:rPr>
                    <w:t>附近</w:t>
                  </w:r>
                  <w:r>
                    <w:t>区域均为食品行业，区域不属于对食品有显著污染的区域。</w:t>
                  </w:r>
                </w:p>
                <w:p>
                  <w:pPr>
                    <w:pStyle w:val="34"/>
                    <w:jc w:val="left"/>
                  </w:pPr>
                  <w:r>
                    <w:rPr>
                      <w:rFonts w:hint="eastAsia"/>
                    </w:rPr>
                    <w:t>②</w:t>
                  </w:r>
                  <w:r>
                    <w:t>周边其他企业均不属于有以有毒、有害、重金属等企业，产生粉尘量和有机废气污染物较小，不产生有害气体、放射性物质。</w:t>
                  </w:r>
                </w:p>
              </w:tc>
              <w:tc>
                <w:tcPr>
                  <w:tcW w:w="397" w:type="pct"/>
                  <w:vMerge w:val="restart"/>
                  <w:vAlign w:val="center"/>
                </w:tcPr>
                <w:p>
                  <w:pPr>
                    <w:autoSpaceDE w:val="0"/>
                    <w:autoSpaceDN w:val="0"/>
                    <w:ind w:firstLine="0" w:firstLineChars="0"/>
                    <w:rPr>
                      <w:kern w:val="0"/>
                      <w:sz w:val="21"/>
                      <w:szCs w:val="21"/>
                    </w:rPr>
                  </w:pPr>
                  <w:r>
                    <w:rPr>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427" w:type="pct"/>
                  <w:vMerge w:val="continue"/>
                  <w:vAlign w:val="center"/>
                </w:tcPr>
                <w:p>
                  <w:pPr>
                    <w:pStyle w:val="34"/>
                    <w:jc w:val="left"/>
                  </w:pPr>
                </w:p>
              </w:tc>
              <w:tc>
                <w:tcPr>
                  <w:tcW w:w="2237" w:type="pct"/>
                  <w:vAlign w:val="center"/>
                </w:tcPr>
                <w:p>
                  <w:pPr>
                    <w:pStyle w:val="34"/>
                    <w:jc w:val="left"/>
                  </w:pPr>
                  <w:r>
                    <w:t>厂区不应选择有害废弃物以及粉尘、有害气体、放射性物质和其他扩散性污染源不能有效清除的地址</w:t>
                  </w:r>
                </w:p>
              </w:tc>
              <w:tc>
                <w:tcPr>
                  <w:tcW w:w="1939" w:type="pct"/>
                  <w:vMerge w:val="continue"/>
                  <w:vAlign w:val="center"/>
                </w:tcPr>
                <w:p>
                  <w:pPr>
                    <w:pStyle w:val="34"/>
                    <w:jc w:val="left"/>
                  </w:pPr>
                </w:p>
              </w:tc>
              <w:tc>
                <w:tcPr>
                  <w:tcW w:w="397" w:type="pct"/>
                  <w:vMerge w:val="continue"/>
                  <w:vAlign w:val="center"/>
                </w:tcPr>
                <w:p>
                  <w:pPr>
                    <w:autoSpaceDE w:val="0"/>
                    <w:autoSpaceDN w:val="0"/>
                    <w:ind w:firstLine="0" w:firstLineChars="0"/>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427" w:type="pct"/>
                  <w:vMerge w:val="continue"/>
                  <w:vAlign w:val="center"/>
                </w:tcPr>
                <w:p>
                  <w:pPr>
                    <w:pStyle w:val="34"/>
                    <w:jc w:val="left"/>
                  </w:pPr>
                </w:p>
              </w:tc>
              <w:tc>
                <w:tcPr>
                  <w:tcW w:w="2237" w:type="pct"/>
                  <w:vAlign w:val="center"/>
                </w:tcPr>
                <w:p>
                  <w:pPr>
                    <w:pStyle w:val="34"/>
                    <w:jc w:val="left"/>
                  </w:pPr>
                  <w:r>
                    <w:t>厂区不宜择易发生洪涝灾害的地区，难以避开时应设计必要的防范措施</w:t>
                  </w:r>
                </w:p>
              </w:tc>
              <w:tc>
                <w:tcPr>
                  <w:tcW w:w="1939" w:type="pct"/>
                  <w:vAlign w:val="center"/>
                </w:tcPr>
                <w:p>
                  <w:pPr>
                    <w:pStyle w:val="34"/>
                    <w:jc w:val="left"/>
                  </w:pPr>
                  <w:r>
                    <w:t>项目选址不在易发生洪涝灾害的地区</w:t>
                  </w:r>
                </w:p>
              </w:tc>
              <w:tc>
                <w:tcPr>
                  <w:tcW w:w="397" w:type="pct"/>
                  <w:vAlign w:val="center"/>
                </w:tcPr>
                <w:p>
                  <w:pPr>
                    <w:autoSpaceDE w:val="0"/>
                    <w:autoSpaceDN w:val="0"/>
                    <w:ind w:firstLine="0" w:firstLineChars="0"/>
                    <w:rPr>
                      <w:kern w:val="0"/>
                      <w:sz w:val="21"/>
                      <w:szCs w:val="21"/>
                    </w:rPr>
                  </w:pPr>
                  <w:r>
                    <w:rPr>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427" w:type="pct"/>
                  <w:vMerge w:val="continue"/>
                  <w:vAlign w:val="center"/>
                </w:tcPr>
                <w:p>
                  <w:pPr>
                    <w:pStyle w:val="34"/>
                    <w:jc w:val="left"/>
                  </w:pPr>
                </w:p>
              </w:tc>
              <w:tc>
                <w:tcPr>
                  <w:tcW w:w="2237" w:type="pct"/>
                  <w:vAlign w:val="center"/>
                </w:tcPr>
                <w:p>
                  <w:pPr>
                    <w:pStyle w:val="34"/>
                    <w:jc w:val="left"/>
                  </w:pPr>
                  <w:r>
                    <w:t>厂区周围不宜有虫害大量滋生的潜在场所，难以避开时应设计必要的防范措施</w:t>
                  </w:r>
                </w:p>
              </w:tc>
              <w:tc>
                <w:tcPr>
                  <w:tcW w:w="1939" w:type="pct"/>
                  <w:vAlign w:val="center"/>
                </w:tcPr>
                <w:p>
                  <w:pPr>
                    <w:pStyle w:val="34"/>
                    <w:jc w:val="left"/>
                  </w:pPr>
                  <w:r>
                    <w:t>项目周边生产厂区较为干净整洁，不存在虫害大量滋生的潜在场所。</w:t>
                  </w:r>
                </w:p>
              </w:tc>
              <w:tc>
                <w:tcPr>
                  <w:tcW w:w="397" w:type="pct"/>
                  <w:vAlign w:val="center"/>
                </w:tcPr>
                <w:p>
                  <w:pPr>
                    <w:autoSpaceDE w:val="0"/>
                    <w:autoSpaceDN w:val="0"/>
                    <w:ind w:firstLine="0" w:firstLineChars="0"/>
                    <w:rPr>
                      <w:kern w:val="0"/>
                      <w:sz w:val="21"/>
                      <w:szCs w:val="21"/>
                    </w:rPr>
                  </w:pPr>
                  <w:r>
                    <w:rPr>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427" w:type="pct"/>
                  <w:vMerge w:val="restart"/>
                  <w:vAlign w:val="center"/>
                </w:tcPr>
                <w:p>
                  <w:pPr>
                    <w:pStyle w:val="34"/>
                    <w:jc w:val="left"/>
                  </w:pPr>
                  <w:r>
                    <w:t>厂区环境要求</w:t>
                  </w:r>
                </w:p>
              </w:tc>
              <w:tc>
                <w:tcPr>
                  <w:tcW w:w="2237" w:type="pct"/>
                  <w:vAlign w:val="center"/>
                </w:tcPr>
                <w:p>
                  <w:pPr>
                    <w:pStyle w:val="34"/>
                    <w:jc w:val="left"/>
                  </w:pPr>
                  <w:r>
                    <w:t>应考虑环境给食品生产带来的潜在污染风险，并采取适当的措施将其降至最低水平</w:t>
                  </w:r>
                </w:p>
              </w:tc>
              <w:tc>
                <w:tcPr>
                  <w:tcW w:w="1939" w:type="pct"/>
                  <w:vAlign w:val="center"/>
                </w:tcPr>
                <w:p>
                  <w:pPr>
                    <w:pStyle w:val="34"/>
                    <w:jc w:val="left"/>
                  </w:pPr>
                  <w:r>
                    <w:t>项目所在地地势干燥，交通方便，有充足的水源。项目周边环境质量现状达标，满足相关环境质量标准要求。</w:t>
                  </w:r>
                </w:p>
              </w:tc>
              <w:tc>
                <w:tcPr>
                  <w:tcW w:w="397" w:type="pct"/>
                  <w:vAlign w:val="center"/>
                </w:tcPr>
                <w:p>
                  <w:pPr>
                    <w:autoSpaceDE w:val="0"/>
                    <w:autoSpaceDN w:val="0"/>
                    <w:ind w:firstLine="0" w:firstLineChars="0"/>
                    <w:rPr>
                      <w:kern w:val="0"/>
                      <w:sz w:val="21"/>
                      <w:szCs w:val="21"/>
                    </w:rPr>
                  </w:pPr>
                  <w:r>
                    <w:rPr>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78" w:hRule="atLeast"/>
                <w:jc w:val="center"/>
              </w:trPr>
              <w:tc>
                <w:tcPr>
                  <w:tcW w:w="427" w:type="pct"/>
                  <w:vMerge w:val="continue"/>
                  <w:vAlign w:val="center"/>
                </w:tcPr>
                <w:p>
                  <w:pPr>
                    <w:pStyle w:val="34"/>
                    <w:jc w:val="left"/>
                  </w:pPr>
                </w:p>
              </w:tc>
              <w:tc>
                <w:tcPr>
                  <w:tcW w:w="2237" w:type="pct"/>
                  <w:vAlign w:val="center"/>
                </w:tcPr>
                <w:p>
                  <w:pPr>
                    <w:pStyle w:val="34"/>
                    <w:jc w:val="left"/>
                  </w:pPr>
                  <w:r>
                    <w:t>厂区应合理布局，各功能区域划分明显，并有适当的分离或分隔措施，防止交叉污染</w:t>
                  </w:r>
                </w:p>
              </w:tc>
              <w:tc>
                <w:tcPr>
                  <w:tcW w:w="1939" w:type="pct"/>
                  <w:vAlign w:val="center"/>
                </w:tcPr>
                <w:p>
                  <w:pPr>
                    <w:pStyle w:val="34"/>
                    <w:jc w:val="left"/>
                  </w:pPr>
                  <w:r>
                    <w:t>项目厂区布置遵循办公区与生产区分开布置的原则，生产厂房</w:t>
                  </w:r>
                  <w:r>
                    <w:rPr>
                      <w:rFonts w:hint="eastAsia"/>
                    </w:rPr>
                    <w:t>、</w:t>
                  </w:r>
                  <w:r>
                    <w:t>办公区各功能区域划分明显，防止交叉污染。</w:t>
                  </w:r>
                </w:p>
              </w:tc>
              <w:tc>
                <w:tcPr>
                  <w:tcW w:w="397" w:type="pct"/>
                  <w:vAlign w:val="center"/>
                </w:tcPr>
                <w:p>
                  <w:pPr>
                    <w:autoSpaceDE w:val="0"/>
                    <w:autoSpaceDN w:val="0"/>
                    <w:ind w:firstLine="0" w:firstLineChars="0"/>
                    <w:rPr>
                      <w:kern w:val="0"/>
                      <w:sz w:val="21"/>
                      <w:szCs w:val="21"/>
                    </w:rPr>
                  </w:pPr>
                  <w:r>
                    <w:rPr>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427" w:type="pct"/>
                  <w:vMerge w:val="continue"/>
                  <w:vAlign w:val="center"/>
                </w:tcPr>
                <w:p>
                  <w:pPr>
                    <w:pStyle w:val="34"/>
                    <w:jc w:val="left"/>
                  </w:pPr>
                </w:p>
              </w:tc>
              <w:tc>
                <w:tcPr>
                  <w:tcW w:w="2237" w:type="pct"/>
                  <w:vAlign w:val="center"/>
                </w:tcPr>
                <w:p>
                  <w:pPr>
                    <w:pStyle w:val="34"/>
                    <w:jc w:val="left"/>
                  </w:pPr>
                  <w:r>
                    <w:t>厂区内的道路应铺设混凝土、沥青、或者其他硬质材料；空地应采取必要措施，如铺设水泥、地砖或铺设草坪等方式，保持环境清洁，防止正常天气下扬尘和积水等现象的发生</w:t>
                  </w:r>
                </w:p>
              </w:tc>
              <w:tc>
                <w:tcPr>
                  <w:tcW w:w="1939" w:type="pct"/>
                  <w:vAlign w:val="center"/>
                </w:tcPr>
                <w:p>
                  <w:pPr>
                    <w:pStyle w:val="34"/>
                    <w:jc w:val="left"/>
                  </w:pPr>
                  <w:r>
                    <w:t>厂区内的道路铺设混凝土、沥青等硬质材料，便于保持环境清洁，不会导致扬尘和积水等现象发生</w:t>
                  </w:r>
                </w:p>
              </w:tc>
              <w:tc>
                <w:tcPr>
                  <w:tcW w:w="397" w:type="pct"/>
                  <w:vAlign w:val="center"/>
                </w:tcPr>
                <w:p>
                  <w:pPr>
                    <w:autoSpaceDE w:val="0"/>
                    <w:autoSpaceDN w:val="0"/>
                    <w:ind w:firstLine="0" w:firstLineChars="0"/>
                    <w:rPr>
                      <w:kern w:val="0"/>
                      <w:sz w:val="21"/>
                      <w:szCs w:val="21"/>
                    </w:rPr>
                  </w:pPr>
                  <w:r>
                    <w:rPr>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427" w:type="pct"/>
                  <w:vMerge w:val="continue"/>
                  <w:vAlign w:val="center"/>
                </w:tcPr>
                <w:p>
                  <w:pPr>
                    <w:pStyle w:val="34"/>
                    <w:jc w:val="left"/>
                  </w:pPr>
                </w:p>
              </w:tc>
              <w:tc>
                <w:tcPr>
                  <w:tcW w:w="2237" w:type="pct"/>
                  <w:vAlign w:val="center"/>
                </w:tcPr>
                <w:p>
                  <w:pPr>
                    <w:pStyle w:val="34"/>
                    <w:jc w:val="left"/>
                  </w:pPr>
                  <w:r>
                    <w:t>厂区绿化应与生产车间保持适当距离，植被应定期维护，以防止虫害的</w:t>
                  </w:r>
                  <w:r>
                    <w:rPr>
                      <w:rFonts w:hint="eastAsia"/>
                    </w:rPr>
                    <w:t>滋生。</w:t>
                  </w:r>
                </w:p>
              </w:tc>
              <w:tc>
                <w:tcPr>
                  <w:tcW w:w="1939" w:type="pct"/>
                  <w:vAlign w:val="center"/>
                </w:tcPr>
                <w:p>
                  <w:pPr>
                    <w:pStyle w:val="34"/>
                    <w:jc w:val="left"/>
                  </w:pPr>
                  <w:r>
                    <w:t>项目厂区内</w:t>
                  </w:r>
                  <w:r>
                    <w:rPr>
                      <w:rFonts w:hint="eastAsia"/>
                    </w:rPr>
                    <w:t>人行道和车型道</w:t>
                  </w:r>
                  <w:r>
                    <w:t>地面均采用硬化处理，</w:t>
                  </w:r>
                  <w:r>
                    <w:rPr>
                      <w:rFonts w:hint="eastAsia"/>
                    </w:rPr>
                    <w:t>生产车间与</w:t>
                  </w:r>
                  <w:r>
                    <w:t>绿化</w:t>
                  </w:r>
                  <w:r>
                    <w:rPr>
                      <w:rFonts w:hint="eastAsia"/>
                    </w:rPr>
                    <w:t>带保持一定的距离</w:t>
                  </w:r>
                  <w:r>
                    <w:t>，</w:t>
                  </w:r>
                  <w:r>
                    <w:rPr>
                      <w:rFonts w:hint="eastAsia"/>
                    </w:rPr>
                    <w:t>生产车间不会受到</w:t>
                  </w:r>
                  <w:r>
                    <w:t>虫害</w:t>
                  </w:r>
                  <w:r>
                    <w:rPr>
                      <w:rFonts w:hint="eastAsia"/>
                    </w:rPr>
                    <w:t>影响，项目定期对植被进行维护，不会有虫害</w:t>
                  </w:r>
                  <w:r>
                    <w:t>的</w:t>
                  </w:r>
                  <w:r>
                    <w:rPr>
                      <w:rFonts w:hint="eastAsia"/>
                    </w:rPr>
                    <w:t>滋生</w:t>
                  </w:r>
                  <w:r>
                    <w:t>；</w:t>
                  </w:r>
                </w:p>
              </w:tc>
              <w:tc>
                <w:tcPr>
                  <w:tcW w:w="397" w:type="pct"/>
                  <w:vAlign w:val="center"/>
                </w:tcPr>
                <w:p>
                  <w:pPr>
                    <w:autoSpaceDE w:val="0"/>
                    <w:autoSpaceDN w:val="0"/>
                    <w:ind w:firstLine="0" w:firstLineChars="0"/>
                    <w:rPr>
                      <w:kern w:val="0"/>
                      <w:sz w:val="21"/>
                      <w:szCs w:val="21"/>
                    </w:rPr>
                  </w:pPr>
                  <w:r>
                    <w:rPr>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427" w:type="pct"/>
                  <w:vMerge w:val="continue"/>
                  <w:vAlign w:val="center"/>
                </w:tcPr>
                <w:p>
                  <w:pPr>
                    <w:pStyle w:val="34"/>
                    <w:jc w:val="left"/>
                  </w:pPr>
                </w:p>
              </w:tc>
              <w:tc>
                <w:tcPr>
                  <w:tcW w:w="2237" w:type="pct"/>
                  <w:vAlign w:val="center"/>
                </w:tcPr>
                <w:p>
                  <w:pPr>
                    <w:pStyle w:val="34"/>
                    <w:jc w:val="left"/>
                  </w:pPr>
                  <w:r>
                    <w:t>厂区应有适当的排水系统</w:t>
                  </w:r>
                </w:p>
              </w:tc>
              <w:tc>
                <w:tcPr>
                  <w:tcW w:w="1939" w:type="pct"/>
                  <w:vAlign w:val="center"/>
                </w:tcPr>
                <w:p>
                  <w:pPr>
                    <w:pStyle w:val="34"/>
                    <w:jc w:val="left"/>
                  </w:pPr>
                  <w:r>
                    <w:t>厂区内设置有完善的废水处理系统和排水系统，排放的污水能够接入市政污水管网，不会发生溢流的现象</w:t>
                  </w:r>
                </w:p>
              </w:tc>
              <w:tc>
                <w:tcPr>
                  <w:tcW w:w="397" w:type="pct"/>
                  <w:vAlign w:val="center"/>
                </w:tcPr>
                <w:p>
                  <w:pPr>
                    <w:autoSpaceDE w:val="0"/>
                    <w:autoSpaceDN w:val="0"/>
                    <w:ind w:firstLine="0" w:firstLineChars="0"/>
                    <w:rPr>
                      <w:kern w:val="0"/>
                      <w:sz w:val="21"/>
                      <w:szCs w:val="21"/>
                    </w:rPr>
                  </w:pPr>
                  <w:r>
                    <w:rPr>
                      <w:kern w:val="0"/>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0" w:hRule="atLeast"/>
                <w:jc w:val="center"/>
              </w:trPr>
              <w:tc>
                <w:tcPr>
                  <w:tcW w:w="427" w:type="pct"/>
                  <w:vMerge w:val="continue"/>
                  <w:vAlign w:val="center"/>
                </w:tcPr>
                <w:p>
                  <w:pPr>
                    <w:pStyle w:val="34"/>
                    <w:jc w:val="left"/>
                  </w:pPr>
                </w:p>
              </w:tc>
              <w:tc>
                <w:tcPr>
                  <w:tcW w:w="2237" w:type="pct"/>
                  <w:vAlign w:val="center"/>
                </w:tcPr>
                <w:p>
                  <w:pPr>
                    <w:pStyle w:val="34"/>
                    <w:jc w:val="left"/>
                  </w:pPr>
                  <w:r>
                    <w:t>宿舍、食堂、职工娱乐设施等生活区应与生产区保持适当距离或分隔。</w:t>
                  </w:r>
                </w:p>
              </w:tc>
              <w:tc>
                <w:tcPr>
                  <w:tcW w:w="1939" w:type="pct"/>
                  <w:vAlign w:val="center"/>
                </w:tcPr>
                <w:p>
                  <w:pPr>
                    <w:pStyle w:val="34"/>
                    <w:jc w:val="left"/>
                  </w:pPr>
                  <w:r>
                    <w:t>项目办公生活区与生产车间为独立建筑，不会产生交叉影响</w:t>
                  </w:r>
                </w:p>
              </w:tc>
              <w:tc>
                <w:tcPr>
                  <w:tcW w:w="397" w:type="pct"/>
                  <w:vAlign w:val="center"/>
                </w:tcPr>
                <w:p>
                  <w:pPr>
                    <w:autoSpaceDE w:val="0"/>
                    <w:autoSpaceDN w:val="0"/>
                    <w:ind w:firstLine="0" w:firstLineChars="0"/>
                    <w:rPr>
                      <w:kern w:val="0"/>
                      <w:sz w:val="21"/>
                      <w:szCs w:val="21"/>
                    </w:rPr>
                  </w:pPr>
                  <w:r>
                    <w:rPr>
                      <w:kern w:val="0"/>
                      <w:sz w:val="21"/>
                      <w:szCs w:val="21"/>
                    </w:rPr>
                    <w:t>符合</w:t>
                  </w:r>
                </w:p>
              </w:tc>
            </w:tr>
            <w:bookmarkEnd w:id="3"/>
          </w:tbl>
          <w:p>
            <w:pPr>
              <w:autoSpaceDE w:val="0"/>
              <w:autoSpaceDN w:val="0"/>
              <w:spacing w:before="120" w:beforeLines="50"/>
              <w:ind w:firstLine="199" w:firstLineChars="83"/>
              <w:rPr>
                <w:kern w:val="0"/>
                <w:szCs w:val="21"/>
              </w:rPr>
            </w:pPr>
            <w:r>
              <w:rPr>
                <w:kern w:val="0"/>
                <w:szCs w:val="21"/>
              </w:rPr>
              <w:t>综上所述，拟建项目选址要求以满足《食品企业通用卫生规范》（GB14881-2013）中相关要求。</w:t>
            </w:r>
          </w:p>
        </w:tc>
      </w:tr>
    </w:tbl>
    <w:p>
      <w:pPr>
        <w:ind w:firstLine="600"/>
        <w:jc w:val="center"/>
        <w:outlineLvl w:val="0"/>
        <w:rPr>
          <w:snapToGrid w:val="0"/>
          <w:sz w:val="30"/>
          <w:szCs w:val="30"/>
        </w:rPr>
        <w:sectPr>
          <w:footerReference r:id="rId11" w:type="default"/>
          <w:pgSz w:w="11906" w:h="16838"/>
          <w:pgMar w:top="1440" w:right="1080" w:bottom="1440" w:left="1080" w:header="851" w:footer="851" w:gutter="0"/>
          <w:pgNumType w:start="1"/>
          <w:cols w:space="720" w:num="1"/>
          <w:docGrid w:linePitch="312" w:charSpace="0"/>
        </w:sectPr>
      </w:pPr>
    </w:p>
    <w:p>
      <w:pPr>
        <w:ind w:firstLine="600"/>
        <w:jc w:val="center"/>
        <w:outlineLvl w:val="0"/>
        <w:rPr>
          <w:snapToGrid w:val="0"/>
          <w:sz w:val="30"/>
          <w:szCs w:val="30"/>
        </w:rPr>
      </w:pPr>
      <w:r>
        <w:rPr>
          <w:snapToGrid w:val="0"/>
          <w:sz w:val="30"/>
          <w:szCs w:val="30"/>
        </w:rPr>
        <w:t>二、建设项目工程分析</w:t>
      </w:r>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62"/>
        <w:gridCol w:w="950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52" w:type="dxa"/>
            <w:vAlign w:val="center"/>
          </w:tcPr>
          <w:p>
            <w:pPr>
              <w:adjustRightInd w:val="0"/>
              <w:snapToGrid w:val="0"/>
              <w:ind w:firstLine="0" w:firstLineChars="0"/>
              <w:rPr>
                <w:szCs w:val="21"/>
              </w:rPr>
            </w:pPr>
            <w:r>
              <w:rPr>
                <w:szCs w:val="21"/>
              </w:rPr>
              <w:t>建设内容</w:t>
            </w:r>
          </w:p>
        </w:tc>
        <w:tc>
          <w:tcPr>
            <w:tcW w:w="9274" w:type="dxa"/>
          </w:tcPr>
          <w:p>
            <w:pPr>
              <w:ind w:firstLine="482"/>
              <w:rPr>
                <w:b/>
                <w:bCs/>
                <w:szCs w:val="21"/>
              </w:rPr>
            </w:pPr>
            <w:r>
              <w:rPr>
                <w:b/>
                <w:bCs/>
                <w:szCs w:val="21"/>
              </w:rPr>
              <w:t>1、项目由来</w:t>
            </w:r>
          </w:p>
          <w:p>
            <w:pPr>
              <w:ind w:firstLine="480"/>
            </w:pPr>
            <w:r>
              <w:t>烤丞相（重庆）食品有限公司</w:t>
            </w:r>
            <w:r>
              <w:rPr>
                <w:rFonts w:hint="eastAsia"/>
              </w:rPr>
              <w:t>成立于2</w:t>
            </w:r>
            <w:r>
              <w:t>023</w:t>
            </w:r>
            <w:r>
              <w:rPr>
                <w:rFonts w:hint="eastAsia"/>
              </w:rPr>
              <w:t>年</w:t>
            </w:r>
            <w:r>
              <w:t>3</w:t>
            </w:r>
            <w:r>
              <w:rPr>
                <w:rFonts w:hint="eastAsia"/>
              </w:rPr>
              <w:t>月</w:t>
            </w:r>
            <w:r>
              <w:t>，</w:t>
            </w:r>
            <w:r>
              <w:rPr>
                <w:rFonts w:hint="eastAsia"/>
              </w:rPr>
              <w:t>是一家</w:t>
            </w:r>
            <w:r>
              <w:t>从事</w:t>
            </w:r>
            <w:r>
              <w:rPr>
                <w:rFonts w:hint="eastAsia"/>
              </w:rPr>
              <w:t>苕皮、</w:t>
            </w:r>
            <w:r>
              <w:t>豆干等农副食品加工生产</w:t>
            </w:r>
            <w:r>
              <w:rPr>
                <w:rFonts w:hint="eastAsia"/>
              </w:rPr>
              <w:t>的</w:t>
            </w:r>
            <w:r>
              <w:t>企业。</w:t>
            </w:r>
            <w:r>
              <w:rPr>
                <w:rFonts w:hint="eastAsia"/>
              </w:rPr>
              <w:t>2023年</w:t>
            </w:r>
            <w:r>
              <w:t>5</w:t>
            </w:r>
            <w:r>
              <w:rPr>
                <w:rFonts w:hint="eastAsia"/>
              </w:rPr>
              <w:t>月</w:t>
            </w:r>
            <w:r>
              <w:t>，烤丞相（重庆）食品有限公司</w:t>
            </w:r>
            <w:r>
              <w:rPr>
                <w:rFonts w:hint="eastAsia"/>
              </w:rPr>
              <w:t>租用重庆宜</w:t>
            </w:r>
            <w:r>
              <w:t>企</w:t>
            </w:r>
            <w:r>
              <w:rPr>
                <w:rFonts w:hint="eastAsia"/>
              </w:rPr>
              <w:t>健</w:t>
            </w:r>
            <w:r>
              <w:t>企业管理有限公司2</w:t>
            </w:r>
            <w:r>
              <w:rPr>
                <w:rFonts w:hint="eastAsia"/>
              </w:rPr>
              <w:t>#厂房2楼部分生产车间，面积约</w:t>
            </w:r>
            <w:r>
              <w:t>1682</w:t>
            </w:r>
            <w:r>
              <w:rPr>
                <w:rFonts w:hint="eastAsia"/>
              </w:rPr>
              <w:t>平方米，</w:t>
            </w:r>
            <w:r>
              <w:t>建设“</w:t>
            </w:r>
            <w:r>
              <w:rPr>
                <w:szCs w:val="21"/>
              </w:rPr>
              <w:t>苕皮、豆干生产项目</w:t>
            </w:r>
            <w:r>
              <w:t>”</w:t>
            </w:r>
            <w:r>
              <w:rPr>
                <w:rFonts w:hint="eastAsia"/>
              </w:rPr>
              <w:t>。202</w:t>
            </w:r>
            <w:r>
              <w:t>4</w:t>
            </w:r>
            <w:r>
              <w:rPr>
                <w:rFonts w:hint="eastAsia"/>
              </w:rPr>
              <w:t>年</w:t>
            </w:r>
            <w:r>
              <w:t>1</w:t>
            </w:r>
            <w:r>
              <w:rPr>
                <w:rFonts w:hint="eastAsia"/>
              </w:rPr>
              <w:t>月2日</w:t>
            </w:r>
            <w:r>
              <w:t>，</w:t>
            </w:r>
            <w:r>
              <w:rPr>
                <w:rFonts w:hint="eastAsia"/>
              </w:rPr>
              <w:t>重庆市</w:t>
            </w:r>
            <w:r>
              <w:t>合川区生态环境保护综合行政执法支队</w:t>
            </w:r>
            <w:r>
              <w:rPr>
                <w:rFonts w:hint="eastAsia"/>
              </w:rPr>
              <w:t>对</w:t>
            </w:r>
            <w:r>
              <w:t>烤丞相（重庆）食品有限公司</w:t>
            </w:r>
            <w:r>
              <w:rPr>
                <w:rFonts w:hint="eastAsia"/>
              </w:rPr>
              <w:t>进行了</w:t>
            </w:r>
            <w:r>
              <w:t>检查，发现其建设至今未依法报批环境影响评价</w:t>
            </w:r>
            <w:r>
              <w:rPr>
                <w:rFonts w:hint="eastAsia"/>
              </w:rPr>
              <w:t>文件</w:t>
            </w:r>
            <w:r>
              <w:t>，项目配套建设的环境保护措施未通过环保验收，</w:t>
            </w:r>
            <w:r>
              <w:rPr>
                <w:rFonts w:hint="eastAsia"/>
              </w:rPr>
              <w:t>对其</w:t>
            </w:r>
            <w:r>
              <w:t>出具了责令整改违法</w:t>
            </w:r>
            <w:r>
              <w:rPr>
                <w:rFonts w:hint="eastAsia"/>
              </w:rPr>
              <w:t>行为</w:t>
            </w:r>
            <w:r>
              <w:t>决定书</w:t>
            </w:r>
            <w:r>
              <w:rPr>
                <w:rFonts w:hint="eastAsia"/>
              </w:rPr>
              <w:t>（合</w:t>
            </w:r>
            <w:r>
              <w:t>环（</w:t>
            </w:r>
            <w:r>
              <w:rPr>
                <w:rFonts w:hint="eastAsia"/>
              </w:rPr>
              <w:t>执</w:t>
            </w:r>
            <w:r>
              <w:t>）</w:t>
            </w:r>
            <w:r>
              <w:rPr>
                <w:rFonts w:hint="eastAsia"/>
              </w:rPr>
              <w:t>责</w:t>
            </w:r>
            <w:r>
              <w:t>改字</w:t>
            </w:r>
            <w:r>
              <w:rPr>
                <w:rFonts w:hint="eastAsia"/>
              </w:rPr>
              <w:t>〔2024〕3号）。项目</w:t>
            </w:r>
            <w:r>
              <w:t>属于未批先建，</w:t>
            </w:r>
            <w:r>
              <w:rPr>
                <w:rFonts w:hint="eastAsia"/>
              </w:rPr>
              <w:t>本次</w:t>
            </w:r>
            <w:r>
              <w:t>评价</w:t>
            </w:r>
            <w:r>
              <w:rPr>
                <w:rFonts w:hint="eastAsia"/>
              </w:rPr>
              <w:t>为</w:t>
            </w:r>
            <w:r>
              <w:t>完善该项目的环保手续。</w:t>
            </w:r>
          </w:p>
          <w:p>
            <w:pPr>
              <w:ind w:firstLine="480"/>
            </w:pPr>
            <w:r>
              <w:t>烤丞相（重庆）食品有限公司投资1</w:t>
            </w:r>
            <w:r>
              <w:rPr>
                <w:rFonts w:hint="eastAsia"/>
              </w:rPr>
              <w:t>00万</w:t>
            </w:r>
            <w:r>
              <w:t>建设“</w:t>
            </w:r>
            <w:r>
              <w:rPr>
                <w:szCs w:val="21"/>
              </w:rPr>
              <w:t>苕皮、豆干生产项目</w:t>
            </w:r>
            <w:r>
              <w:t>”</w:t>
            </w:r>
            <w:r>
              <w:rPr>
                <w:rFonts w:hint="eastAsia"/>
              </w:rPr>
              <w:t>，布置2条</w:t>
            </w:r>
            <w:r>
              <w:t>苕皮生产线和</w:t>
            </w:r>
            <w:r>
              <w:rPr>
                <w:rFonts w:hint="eastAsia"/>
              </w:rPr>
              <w:t>1条豆干加工</w:t>
            </w:r>
            <w:r>
              <w:t>生产线，</w:t>
            </w:r>
            <w:r>
              <w:rPr>
                <w:rFonts w:hint="eastAsia"/>
              </w:rPr>
              <w:t>形成</w:t>
            </w:r>
            <w:r>
              <w:t>年产苕皮</w:t>
            </w:r>
            <w:r>
              <w:rPr>
                <w:rFonts w:hint="eastAsia"/>
              </w:rPr>
              <w:t>3000吨、</w:t>
            </w:r>
            <w:r>
              <w:t>卤豆干</w:t>
            </w:r>
            <w:r>
              <w:rPr>
                <w:rFonts w:hint="eastAsia"/>
              </w:rPr>
              <w:t>300吨的</w:t>
            </w:r>
            <w:r>
              <w:t>生产规模</w:t>
            </w:r>
            <w:r>
              <w:rPr>
                <w:rFonts w:hint="eastAsia"/>
              </w:rPr>
              <w:t>。</w:t>
            </w:r>
          </w:p>
          <w:p>
            <w:pPr>
              <w:ind w:firstLine="480"/>
            </w:pPr>
            <w:r>
              <w:t>项目获得重庆市</w:t>
            </w:r>
            <w:r>
              <w:rPr>
                <w:rFonts w:hint="eastAsia"/>
              </w:rPr>
              <w:t>合川</w:t>
            </w:r>
            <w:r>
              <w:rPr>
                <w:rFonts w:hint="eastAsia"/>
                <w:lang w:eastAsia="zh-CN"/>
              </w:rPr>
              <w:t>区发展和改革委员会</w:t>
            </w:r>
            <w:r>
              <w:t>（项目代码：2401-500117-04-01-384969）。</w:t>
            </w:r>
          </w:p>
          <w:p>
            <w:pPr>
              <w:ind w:firstLine="482"/>
              <w:rPr>
                <w:b/>
                <w:bCs/>
                <w:szCs w:val="21"/>
              </w:rPr>
            </w:pPr>
            <w:r>
              <w:rPr>
                <w:b/>
                <w:bCs/>
                <w:szCs w:val="21"/>
              </w:rPr>
              <w:t>2、项目概况</w:t>
            </w:r>
          </w:p>
          <w:p>
            <w:pPr>
              <w:ind w:firstLine="480"/>
              <w:rPr>
                <w:szCs w:val="21"/>
              </w:rPr>
            </w:pPr>
            <w:r>
              <w:rPr>
                <w:szCs w:val="21"/>
              </w:rPr>
              <w:t>（1）项目名称：苕皮、豆干生产项目；</w:t>
            </w:r>
          </w:p>
          <w:p>
            <w:pPr>
              <w:ind w:firstLine="480"/>
              <w:rPr>
                <w:szCs w:val="21"/>
              </w:rPr>
            </w:pPr>
            <w:r>
              <w:rPr>
                <w:szCs w:val="21"/>
              </w:rPr>
              <w:t>（2）建设单位：烤丞相（重庆）食品有限公司；</w:t>
            </w:r>
          </w:p>
          <w:p>
            <w:pPr>
              <w:ind w:firstLine="480"/>
              <w:rPr>
                <w:szCs w:val="21"/>
              </w:rPr>
            </w:pPr>
            <w:r>
              <w:rPr>
                <w:szCs w:val="21"/>
              </w:rPr>
              <w:t>（3）建设性质：</w:t>
            </w:r>
            <w:r>
              <w:rPr>
                <w:rFonts w:hint="eastAsia"/>
                <w:szCs w:val="21"/>
              </w:rPr>
              <w:t>新建</w:t>
            </w:r>
            <w:r>
              <w:rPr>
                <w:szCs w:val="21"/>
              </w:rPr>
              <w:t>；</w:t>
            </w:r>
          </w:p>
          <w:p>
            <w:pPr>
              <w:ind w:firstLine="480"/>
              <w:rPr>
                <w:szCs w:val="21"/>
              </w:rPr>
            </w:pPr>
            <w:r>
              <w:rPr>
                <w:szCs w:val="21"/>
              </w:rPr>
              <w:t>（4）建设地点：重庆市合川区</w:t>
            </w:r>
            <w:r>
              <w:rPr>
                <w:rFonts w:hint="eastAsia"/>
                <w:szCs w:val="21"/>
              </w:rPr>
              <w:t>南津街</w:t>
            </w:r>
            <w:r>
              <w:rPr>
                <w:szCs w:val="21"/>
              </w:rPr>
              <w:t>街道高阳路1028号；</w:t>
            </w:r>
          </w:p>
          <w:p>
            <w:pPr>
              <w:ind w:firstLine="480"/>
              <w:rPr>
                <w:szCs w:val="21"/>
              </w:rPr>
            </w:pPr>
            <w:r>
              <w:rPr>
                <w:szCs w:val="21"/>
              </w:rPr>
              <w:t>（5）建设面积：</w:t>
            </w:r>
            <w:r>
              <w:t>租赁</w:t>
            </w:r>
            <w:r>
              <w:rPr>
                <w:rFonts w:hint="eastAsia"/>
              </w:rPr>
              <w:t>重庆宜</w:t>
            </w:r>
            <w:r>
              <w:t>企</w:t>
            </w:r>
            <w:r>
              <w:rPr>
                <w:rFonts w:hint="eastAsia"/>
              </w:rPr>
              <w:t>健</w:t>
            </w:r>
            <w:r>
              <w:t>企业管理有限公司2</w:t>
            </w:r>
            <w:r>
              <w:rPr>
                <w:rFonts w:hint="eastAsia"/>
              </w:rPr>
              <w:t>#厂房2楼部分生产车间，</w:t>
            </w:r>
            <w:r>
              <w:rPr>
                <w:szCs w:val="21"/>
              </w:rPr>
              <w:t>建筑面积约1682m</w:t>
            </w:r>
            <w:r>
              <w:rPr>
                <w:szCs w:val="21"/>
                <w:vertAlign w:val="superscript"/>
              </w:rPr>
              <w:t>2</w:t>
            </w:r>
            <w:r>
              <w:rPr>
                <w:szCs w:val="21"/>
              </w:rPr>
              <w:t>；</w:t>
            </w:r>
          </w:p>
          <w:p>
            <w:pPr>
              <w:ind w:firstLine="480"/>
              <w:rPr>
                <w:szCs w:val="21"/>
              </w:rPr>
            </w:pPr>
            <w:r>
              <w:rPr>
                <w:szCs w:val="21"/>
              </w:rPr>
              <w:t>（6）项目投资：100万，其中环保投资合计10万元，占总投资的10%；</w:t>
            </w:r>
          </w:p>
          <w:p>
            <w:pPr>
              <w:ind w:firstLine="480"/>
              <w:rPr>
                <w:szCs w:val="21"/>
              </w:rPr>
            </w:pPr>
            <w:r>
              <w:rPr>
                <w:szCs w:val="21"/>
              </w:rPr>
              <w:t>（7）劳动定员及工作制度：本项目劳动定员20人，年工作300天，1班8小时制；</w:t>
            </w:r>
          </w:p>
          <w:p>
            <w:pPr>
              <w:ind w:firstLine="482"/>
              <w:rPr>
                <w:b/>
                <w:bCs/>
                <w:szCs w:val="21"/>
              </w:rPr>
            </w:pPr>
            <w:r>
              <w:rPr>
                <w:b/>
                <w:bCs/>
                <w:szCs w:val="21"/>
              </w:rPr>
              <w:t>3、产品规模与生产方案</w:t>
            </w:r>
          </w:p>
          <w:p>
            <w:pPr>
              <w:ind w:firstLine="480"/>
              <w:rPr>
                <w:bCs/>
                <w:szCs w:val="21"/>
              </w:rPr>
            </w:pPr>
            <w:r>
              <w:rPr>
                <w:bCs/>
                <w:szCs w:val="21"/>
              </w:rPr>
              <w:t>项目主要产品为</w:t>
            </w:r>
            <w:r>
              <w:rPr>
                <w:rFonts w:hint="eastAsia"/>
                <w:bCs/>
                <w:szCs w:val="21"/>
              </w:rPr>
              <w:t>卤豆干苕皮</w:t>
            </w:r>
            <w:r>
              <w:rPr>
                <w:bCs/>
                <w:szCs w:val="21"/>
              </w:rPr>
              <w:t>，产品</w:t>
            </w:r>
            <w:r>
              <w:rPr>
                <w:rFonts w:hint="eastAsia"/>
                <w:bCs/>
                <w:szCs w:val="21"/>
              </w:rPr>
              <w:t>生产</w:t>
            </w:r>
            <w:r>
              <w:rPr>
                <w:bCs/>
                <w:szCs w:val="21"/>
              </w:rPr>
              <w:t>规模及产品方案见表2-1。</w:t>
            </w:r>
          </w:p>
          <w:p>
            <w:pPr>
              <w:pStyle w:val="33"/>
              <w:spacing w:before="120"/>
            </w:pPr>
            <w:r>
              <w:t>表2-1  项目生产规模</w:t>
            </w:r>
            <w:r>
              <w:rPr>
                <w:rFonts w:hint="eastAsia"/>
              </w:rPr>
              <w:t>及</w:t>
            </w:r>
            <w:r>
              <w:t>产品</w:t>
            </w:r>
            <w:r>
              <w:rPr>
                <w:rFonts w:hint="eastAsia"/>
              </w:rPr>
              <w:t>方案</w:t>
            </w:r>
            <w:r>
              <w:t xml:space="preserve">一览表 </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14"/>
              <w:gridCol w:w="2578"/>
              <w:gridCol w:w="45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42" w:type="pct"/>
                  <w:vAlign w:val="center"/>
                </w:tcPr>
                <w:p>
                  <w:pPr>
                    <w:pStyle w:val="34"/>
                    <w:jc w:val="center"/>
                  </w:pPr>
                  <w:r>
                    <w:t>产品名称</w:t>
                  </w:r>
                </w:p>
              </w:tc>
              <w:tc>
                <w:tcPr>
                  <w:tcW w:w="1393" w:type="pct"/>
                  <w:vAlign w:val="center"/>
                </w:tcPr>
                <w:p>
                  <w:pPr>
                    <w:pStyle w:val="34"/>
                    <w:jc w:val="center"/>
                  </w:pPr>
                  <w:r>
                    <w:rPr>
                      <w:rFonts w:hint="eastAsia"/>
                    </w:rPr>
                    <w:t>年产量（</w:t>
                  </w:r>
                  <w:r>
                    <w:t>t</w:t>
                  </w:r>
                  <w:r>
                    <w:rPr>
                      <w:rFonts w:hint="eastAsia"/>
                    </w:rPr>
                    <w:t>）</w:t>
                  </w:r>
                </w:p>
              </w:tc>
              <w:tc>
                <w:tcPr>
                  <w:tcW w:w="2465" w:type="pct"/>
                  <w:tcBorders>
                    <w:right w:val="single" w:color="auto" w:sz="4" w:space="0"/>
                  </w:tcBorders>
                  <w:vAlign w:val="center"/>
                </w:tcPr>
                <w:p>
                  <w:pPr>
                    <w:pStyle w:val="34"/>
                    <w:jc w:val="center"/>
                  </w:pPr>
                  <w:r>
                    <w:rPr>
                      <w:rFonts w:hint="eastAsia"/>
                    </w:rPr>
                    <w:t>产品规格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42" w:type="pct"/>
                  <w:vAlign w:val="center"/>
                </w:tcPr>
                <w:p>
                  <w:pPr>
                    <w:pStyle w:val="34"/>
                    <w:jc w:val="center"/>
                  </w:pPr>
                  <w:r>
                    <w:rPr>
                      <w:rFonts w:hint="eastAsia"/>
                    </w:rPr>
                    <w:t>豆干</w:t>
                  </w:r>
                </w:p>
              </w:tc>
              <w:tc>
                <w:tcPr>
                  <w:tcW w:w="1393" w:type="pct"/>
                  <w:vAlign w:val="center"/>
                </w:tcPr>
                <w:p>
                  <w:pPr>
                    <w:pStyle w:val="34"/>
                    <w:jc w:val="center"/>
                  </w:pPr>
                  <w:r>
                    <w:t>300</w:t>
                  </w:r>
                </w:p>
              </w:tc>
              <w:tc>
                <w:tcPr>
                  <w:tcW w:w="2465" w:type="pct"/>
                  <w:tcBorders>
                    <w:right w:val="single" w:color="auto" w:sz="4" w:space="0"/>
                  </w:tcBorders>
                  <w:vAlign w:val="center"/>
                </w:tcPr>
                <w:p>
                  <w:pPr>
                    <w:pStyle w:val="34"/>
                    <w:jc w:val="center"/>
                  </w:pPr>
                  <w:r>
                    <w:rPr>
                      <w:rFonts w:hint="eastAsia"/>
                    </w:rPr>
                    <w:t>15</w:t>
                  </w:r>
                  <w:r>
                    <w:t>cm</w:t>
                  </w:r>
                  <w:r>
                    <w:rPr>
                      <w:rFonts w:hint="eastAsia" w:ascii="宋体" w:hAnsi="宋体"/>
                    </w:rPr>
                    <w:t>×</w:t>
                  </w:r>
                  <w:r>
                    <w:t>19cm</w:t>
                  </w:r>
                  <w:r>
                    <w:rPr>
                      <w:rFonts w:hint="eastAsia"/>
                    </w:rPr>
                    <w:t>，1</w:t>
                  </w:r>
                  <w:r>
                    <w:t>kg/</w:t>
                  </w:r>
                  <w:r>
                    <w:rPr>
                      <w:rFonts w:hint="eastAsia"/>
                    </w:rPr>
                    <w:t>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42" w:type="pct"/>
                  <w:vAlign w:val="center"/>
                </w:tcPr>
                <w:p>
                  <w:pPr>
                    <w:pStyle w:val="34"/>
                    <w:jc w:val="center"/>
                  </w:pPr>
                  <w:r>
                    <w:rPr>
                      <w:rFonts w:hint="eastAsia"/>
                      <w:bCs/>
                      <w:szCs w:val="21"/>
                    </w:rPr>
                    <w:t>苕皮</w:t>
                  </w:r>
                </w:p>
              </w:tc>
              <w:tc>
                <w:tcPr>
                  <w:tcW w:w="1393" w:type="pct"/>
                  <w:vAlign w:val="center"/>
                </w:tcPr>
                <w:p>
                  <w:pPr>
                    <w:pStyle w:val="34"/>
                    <w:jc w:val="center"/>
                  </w:pPr>
                  <w:r>
                    <w:t>3000</w:t>
                  </w:r>
                </w:p>
              </w:tc>
              <w:tc>
                <w:tcPr>
                  <w:tcW w:w="2465" w:type="pct"/>
                  <w:tcBorders>
                    <w:right w:val="single" w:color="auto" w:sz="4" w:space="0"/>
                  </w:tcBorders>
                  <w:vAlign w:val="center"/>
                </w:tcPr>
                <w:p>
                  <w:pPr>
                    <w:pStyle w:val="34"/>
                    <w:jc w:val="center"/>
                  </w:pPr>
                  <w:r>
                    <w:rPr>
                      <w:rFonts w:hint="eastAsia"/>
                    </w:rPr>
                    <w:t>15</w:t>
                  </w:r>
                  <w:r>
                    <w:t>cm</w:t>
                  </w:r>
                  <w:r>
                    <w:rPr>
                      <w:rFonts w:hint="eastAsia" w:ascii="宋体" w:hAnsi="宋体"/>
                    </w:rPr>
                    <w:t>×</w:t>
                  </w:r>
                  <w:r>
                    <w:t>19cm</w:t>
                  </w:r>
                  <w:r>
                    <w:rPr>
                      <w:rFonts w:hint="eastAsia"/>
                    </w:rPr>
                    <w:t>，1</w:t>
                  </w:r>
                  <w:r>
                    <w:t>kg/</w:t>
                  </w:r>
                  <w:r>
                    <w:rPr>
                      <w:rFonts w:hint="eastAsia"/>
                    </w:rPr>
                    <w:t>袋</w:t>
                  </w:r>
                </w:p>
              </w:tc>
            </w:tr>
          </w:tbl>
          <w:p>
            <w:pPr>
              <w:spacing w:before="120" w:beforeLines="50"/>
              <w:ind w:firstLine="482"/>
              <w:rPr>
                <w:b/>
                <w:bCs/>
                <w:szCs w:val="21"/>
              </w:rPr>
            </w:pPr>
          </w:p>
          <w:p>
            <w:pPr>
              <w:spacing w:before="120" w:beforeLines="50"/>
              <w:ind w:firstLine="482"/>
              <w:rPr>
                <w:b/>
                <w:bCs/>
                <w:szCs w:val="21"/>
              </w:rPr>
            </w:pPr>
          </w:p>
          <w:p>
            <w:pPr>
              <w:spacing w:before="120" w:beforeLines="50"/>
              <w:ind w:firstLine="482"/>
              <w:rPr>
                <w:b/>
                <w:bCs/>
                <w:szCs w:val="21"/>
              </w:rPr>
            </w:pPr>
            <w:r>
              <w:rPr>
                <w:b/>
                <w:bCs/>
                <w:szCs w:val="21"/>
              </w:rPr>
              <w:t>4、项目组成</w:t>
            </w:r>
          </w:p>
          <w:p>
            <w:pPr>
              <w:ind w:firstLine="480"/>
              <w:rPr>
                <w:szCs w:val="21"/>
              </w:rPr>
            </w:pPr>
            <w:r>
              <w:rPr>
                <w:szCs w:val="21"/>
              </w:rPr>
              <w:t>建设内容主要为：</w:t>
            </w:r>
            <w:r>
              <w:t>租赁</w:t>
            </w:r>
            <w:r>
              <w:rPr>
                <w:rFonts w:hint="eastAsia"/>
              </w:rPr>
              <w:t>重庆宜</w:t>
            </w:r>
            <w:r>
              <w:t>企</w:t>
            </w:r>
            <w:r>
              <w:rPr>
                <w:rFonts w:hint="eastAsia"/>
              </w:rPr>
              <w:t>健</w:t>
            </w:r>
            <w:r>
              <w:t>企业管理有限公司2</w:t>
            </w:r>
            <w:r>
              <w:rPr>
                <w:rFonts w:hint="eastAsia"/>
              </w:rPr>
              <w:t>#厂房2楼部分生产车间，布置生产设施</w:t>
            </w:r>
            <w:r>
              <w:t>设备。</w:t>
            </w:r>
            <w:r>
              <w:rPr>
                <w:rFonts w:hint="eastAsia"/>
              </w:rPr>
              <w:t>给排水</w:t>
            </w:r>
            <w:r>
              <w:t>、供电等公辅设施依托租赁厂房现有。</w:t>
            </w:r>
          </w:p>
          <w:p>
            <w:pPr>
              <w:ind w:firstLine="480"/>
            </w:pPr>
            <w:r>
              <w:t>项目组成情况见表2-2。</w:t>
            </w:r>
          </w:p>
          <w:p>
            <w:pPr>
              <w:pStyle w:val="33"/>
              <w:spacing w:before="120"/>
            </w:pPr>
            <w:r>
              <w:t>表2-2   建设内容及规模</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691"/>
              <w:gridCol w:w="995"/>
              <w:gridCol w:w="1269"/>
              <w:gridCol w:w="5249"/>
              <w:gridCol w:w="8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1686" w:type="dxa"/>
                  <w:gridSpan w:val="2"/>
                  <w:vAlign w:val="center"/>
                </w:tcPr>
                <w:p>
                  <w:pPr>
                    <w:pStyle w:val="34"/>
                    <w:jc w:val="center"/>
                  </w:pPr>
                  <w:r>
                    <w:t>项目组成</w:t>
                  </w:r>
                </w:p>
              </w:tc>
              <w:tc>
                <w:tcPr>
                  <w:tcW w:w="6518" w:type="dxa"/>
                  <w:gridSpan w:val="2"/>
                  <w:vAlign w:val="center"/>
                </w:tcPr>
                <w:p>
                  <w:pPr>
                    <w:pStyle w:val="34"/>
                    <w:jc w:val="center"/>
                  </w:pPr>
                  <w:r>
                    <w:t>主要建设内容</w:t>
                  </w:r>
                </w:p>
              </w:tc>
              <w:tc>
                <w:tcPr>
                  <w:tcW w:w="821" w:type="dxa"/>
                  <w:vAlign w:val="center"/>
                </w:tcPr>
                <w:p>
                  <w:pPr>
                    <w:pStyle w:val="34"/>
                    <w:jc w:val="center"/>
                  </w:pPr>
                  <w: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1" w:type="dxa"/>
                  <w:vAlign w:val="center"/>
                </w:tcPr>
                <w:p>
                  <w:pPr>
                    <w:pStyle w:val="34"/>
                    <w:jc w:val="center"/>
                    <w:rPr>
                      <w:kern w:val="0"/>
                    </w:rPr>
                  </w:pPr>
                  <w:r>
                    <w:rPr>
                      <w:kern w:val="0"/>
                    </w:rPr>
                    <w:t>主体</w:t>
                  </w:r>
                </w:p>
                <w:p>
                  <w:pPr>
                    <w:pStyle w:val="34"/>
                    <w:jc w:val="center"/>
                    <w:rPr>
                      <w:kern w:val="0"/>
                    </w:rPr>
                  </w:pPr>
                  <w:r>
                    <w:rPr>
                      <w:kern w:val="0"/>
                    </w:rPr>
                    <w:t>工程</w:t>
                  </w:r>
                </w:p>
              </w:tc>
              <w:tc>
                <w:tcPr>
                  <w:tcW w:w="995" w:type="dxa"/>
                  <w:vAlign w:val="center"/>
                </w:tcPr>
                <w:p>
                  <w:pPr>
                    <w:pStyle w:val="34"/>
                    <w:jc w:val="center"/>
                    <w:rPr>
                      <w:kern w:val="0"/>
                    </w:rPr>
                  </w:pPr>
                  <w:r>
                    <w:rPr>
                      <w:rFonts w:hint="eastAsia"/>
                      <w:kern w:val="0"/>
                    </w:rPr>
                    <w:t>生产区</w:t>
                  </w:r>
                </w:p>
              </w:tc>
              <w:tc>
                <w:tcPr>
                  <w:tcW w:w="6518" w:type="dxa"/>
                  <w:gridSpan w:val="2"/>
                  <w:vAlign w:val="center"/>
                </w:tcPr>
                <w:p>
                  <w:pPr>
                    <w:pStyle w:val="34"/>
                  </w:pPr>
                  <w:r>
                    <w:t>位于车间</w:t>
                  </w:r>
                  <w:r>
                    <w:rPr>
                      <w:rFonts w:hint="eastAsia"/>
                    </w:rPr>
                    <w:t>西侧</w:t>
                  </w:r>
                  <w:r>
                    <w:t>，</w:t>
                  </w:r>
                  <w:r>
                    <w:rPr>
                      <w:rFonts w:hint="eastAsia"/>
                    </w:rPr>
                    <w:t>面积</w:t>
                  </w:r>
                  <w:r>
                    <w:t>约430m</w:t>
                  </w:r>
                  <w:r>
                    <w:rPr>
                      <w:vertAlign w:val="superscript"/>
                    </w:rPr>
                    <w:t>2</w:t>
                  </w:r>
                  <w:r>
                    <w:t>，</w:t>
                  </w:r>
                  <w:r>
                    <w:rPr>
                      <w:rFonts w:hint="eastAsia"/>
                    </w:rPr>
                    <w:t>布置搅拌间</w:t>
                  </w:r>
                  <w:r>
                    <w:t>和成型间，搅拌间被布置</w:t>
                  </w:r>
                  <w:r>
                    <w:rPr>
                      <w:rFonts w:hint="eastAsia"/>
                    </w:rPr>
                    <w:t>1个</w:t>
                  </w:r>
                  <w:r>
                    <w:t>夹层锅和</w:t>
                  </w:r>
                  <w:r>
                    <w:rPr>
                      <w:rFonts w:hint="eastAsia"/>
                    </w:rPr>
                    <w:t>1台</w:t>
                  </w:r>
                  <w:r>
                    <w:t>搅拌机，用于苕皮制作的搅拌和勾芡；成型间布置</w:t>
                  </w:r>
                  <w:r>
                    <w:rPr>
                      <w:rFonts w:hint="eastAsia"/>
                    </w:rPr>
                    <w:t>2个</w:t>
                  </w:r>
                  <w:r>
                    <w:t>卤制锅</w:t>
                  </w:r>
                  <w:r>
                    <w:rPr>
                      <w:rFonts w:hint="eastAsia"/>
                    </w:rPr>
                    <w:t>，3个</w:t>
                  </w:r>
                  <w:r>
                    <w:t>摊凉架，用于</w:t>
                  </w:r>
                  <w:r>
                    <w:rPr>
                      <w:rFonts w:hint="eastAsia"/>
                    </w:rPr>
                    <w:t>豆干</w:t>
                  </w:r>
                  <w:r>
                    <w:t>的卤制生产；布置</w:t>
                  </w:r>
                  <w:r>
                    <w:rPr>
                      <w:rFonts w:hint="eastAsia"/>
                    </w:rPr>
                    <w:t>2条苕皮蒸煮</w:t>
                  </w:r>
                  <w:r>
                    <w:t>、冷却、成型一体</w:t>
                  </w:r>
                  <w:r>
                    <w:rPr>
                      <w:rFonts w:hint="eastAsia"/>
                    </w:rPr>
                    <w:t>线</w:t>
                  </w:r>
                  <w:r>
                    <w:t>，用于苕皮</w:t>
                  </w:r>
                  <w:r>
                    <w:rPr>
                      <w:rFonts w:hint="eastAsia"/>
                    </w:rPr>
                    <w:t>生产</w:t>
                  </w:r>
                  <w:r>
                    <w:t>。</w:t>
                  </w:r>
                </w:p>
              </w:tc>
              <w:tc>
                <w:tcPr>
                  <w:tcW w:w="821" w:type="dxa"/>
                  <w:vAlign w:val="center"/>
                </w:tcPr>
                <w:p>
                  <w:pPr>
                    <w:pStyle w:val="34"/>
                    <w:jc w:val="center"/>
                  </w:pPr>
                  <w: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1" w:type="dxa"/>
                  <w:vMerge w:val="restart"/>
                  <w:vAlign w:val="center"/>
                </w:tcPr>
                <w:p>
                  <w:pPr>
                    <w:pStyle w:val="34"/>
                    <w:jc w:val="center"/>
                  </w:pPr>
                  <w:r>
                    <w:t>辅助</w:t>
                  </w:r>
                </w:p>
                <w:p>
                  <w:pPr>
                    <w:pStyle w:val="34"/>
                    <w:jc w:val="center"/>
                  </w:pPr>
                  <w:r>
                    <w:t>工程</w:t>
                  </w:r>
                </w:p>
              </w:tc>
              <w:tc>
                <w:tcPr>
                  <w:tcW w:w="995" w:type="dxa"/>
                  <w:vAlign w:val="center"/>
                </w:tcPr>
                <w:p>
                  <w:pPr>
                    <w:pStyle w:val="34"/>
                    <w:jc w:val="center"/>
                  </w:pPr>
                  <w:r>
                    <w:rPr>
                      <w:rFonts w:hint="eastAsia"/>
                    </w:rPr>
                    <w:t>办公室</w:t>
                  </w:r>
                </w:p>
              </w:tc>
              <w:tc>
                <w:tcPr>
                  <w:tcW w:w="6518" w:type="dxa"/>
                  <w:gridSpan w:val="2"/>
                  <w:vAlign w:val="center"/>
                </w:tcPr>
                <w:p>
                  <w:pPr>
                    <w:pStyle w:val="34"/>
                  </w:pPr>
                  <w:r>
                    <w:rPr>
                      <w:rFonts w:hint="eastAsia"/>
                    </w:rPr>
                    <w:t>面积</w:t>
                  </w:r>
                  <w:r>
                    <w:t>约99m</w:t>
                  </w:r>
                  <w:r>
                    <w:rPr>
                      <w:vertAlign w:val="superscript"/>
                    </w:rPr>
                    <w:t>2</w:t>
                  </w:r>
                  <w:r>
                    <w:t>，</w:t>
                  </w:r>
                  <w:r>
                    <w:rPr>
                      <w:rFonts w:hint="eastAsia"/>
                    </w:rPr>
                    <w:t>用于</w:t>
                  </w:r>
                  <w:r>
                    <w:t>办公和接待。</w:t>
                  </w:r>
                </w:p>
              </w:tc>
              <w:tc>
                <w:tcPr>
                  <w:tcW w:w="821" w:type="dxa"/>
                  <w:vAlign w:val="center"/>
                </w:tcPr>
                <w:p>
                  <w:pPr>
                    <w:pStyle w:val="34"/>
                    <w:jc w:val="center"/>
                  </w:pPr>
                  <w: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1" w:type="dxa"/>
                  <w:vMerge w:val="continue"/>
                  <w:vAlign w:val="center"/>
                </w:tcPr>
                <w:p>
                  <w:pPr>
                    <w:pStyle w:val="34"/>
                    <w:jc w:val="center"/>
                  </w:pPr>
                </w:p>
              </w:tc>
              <w:tc>
                <w:tcPr>
                  <w:tcW w:w="995" w:type="dxa"/>
                  <w:vAlign w:val="center"/>
                </w:tcPr>
                <w:p>
                  <w:pPr>
                    <w:pStyle w:val="34"/>
                    <w:jc w:val="center"/>
                  </w:pPr>
                  <w:r>
                    <w:rPr>
                      <w:rFonts w:hint="eastAsia"/>
                    </w:rPr>
                    <w:t>检验室</w:t>
                  </w:r>
                </w:p>
              </w:tc>
              <w:tc>
                <w:tcPr>
                  <w:tcW w:w="6518" w:type="dxa"/>
                  <w:gridSpan w:val="2"/>
                  <w:vAlign w:val="center"/>
                </w:tcPr>
                <w:p>
                  <w:pPr>
                    <w:pStyle w:val="34"/>
                  </w:pPr>
                  <w:r>
                    <w:rPr>
                      <w:rFonts w:hint="eastAsia"/>
                    </w:rPr>
                    <w:t>面积</w:t>
                  </w:r>
                  <w:r>
                    <w:t>约15m</w:t>
                  </w:r>
                  <w:r>
                    <w:rPr>
                      <w:vertAlign w:val="superscript"/>
                    </w:rPr>
                    <w:t>2</w:t>
                  </w:r>
                  <w:r>
                    <w:t>，</w:t>
                  </w:r>
                  <w:r>
                    <w:rPr>
                      <w:rFonts w:hint="eastAsia"/>
                    </w:rPr>
                    <w:t>用于苕皮的</w:t>
                  </w:r>
                  <w:r>
                    <w:t>含水率的</w:t>
                  </w:r>
                  <w:r>
                    <w:rPr>
                      <w:rFonts w:hint="eastAsia"/>
                    </w:rPr>
                    <w:t>检验</w:t>
                  </w:r>
                  <w:r>
                    <w:t>。</w:t>
                  </w:r>
                </w:p>
              </w:tc>
              <w:tc>
                <w:tcPr>
                  <w:tcW w:w="821" w:type="dxa"/>
                  <w:vAlign w:val="center"/>
                </w:tcPr>
                <w:p>
                  <w:pPr>
                    <w:pStyle w:val="34"/>
                    <w:jc w:val="center"/>
                  </w:pPr>
                  <w: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1" w:type="dxa"/>
                  <w:vMerge w:val="continue"/>
                  <w:vAlign w:val="center"/>
                </w:tcPr>
                <w:p>
                  <w:pPr>
                    <w:pStyle w:val="34"/>
                    <w:jc w:val="center"/>
                  </w:pPr>
                </w:p>
              </w:tc>
              <w:tc>
                <w:tcPr>
                  <w:tcW w:w="995" w:type="dxa"/>
                  <w:vAlign w:val="center"/>
                </w:tcPr>
                <w:p>
                  <w:pPr>
                    <w:pStyle w:val="34"/>
                    <w:jc w:val="center"/>
                  </w:pPr>
                  <w:r>
                    <w:rPr>
                      <w:rFonts w:hint="eastAsia"/>
                    </w:rPr>
                    <w:t>配料</w:t>
                  </w:r>
                  <w:r>
                    <w:t>间</w:t>
                  </w:r>
                </w:p>
              </w:tc>
              <w:tc>
                <w:tcPr>
                  <w:tcW w:w="6518" w:type="dxa"/>
                  <w:gridSpan w:val="2"/>
                  <w:vAlign w:val="center"/>
                </w:tcPr>
                <w:p>
                  <w:pPr>
                    <w:pStyle w:val="34"/>
                  </w:pPr>
                  <w:r>
                    <w:rPr>
                      <w:rFonts w:hint="eastAsia"/>
                    </w:rPr>
                    <w:t>面积</w:t>
                  </w:r>
                  <w:r>
                    <w:t>约35m</w:t>
                  </w:r>
                  <w:r>
                    <w:rPr>
                      <w:vertAlign w:val="superscript"/>
                    </w:rPr>
                    <w:t>2</w:t>
                  </w:r>
                  <w:r>
                    <w:t>，</w:t>
                  </w:r>
                  <w:r>
                    <w:rPr>
                      <w:rFonts w:hint="eastAsia"/>
                    </w:rPr>
                    <w:t>用于辅料、</w:t>
                  </w:r>
                  <w:r>
                    <w:t>添加剂等的配置。</w:t>
                  </w:r>
                </w:p>
              </w:tc>
              <w:tc>
                <w:tcPr>
                  <w:tcW w:w="821" w:type="dxa"/>
                  <w:vAlign w:val="center"/>
                </w:tcPr>
                <w:p>
                  <w:pPr>
                    <w:pStyle w:val="34"/>
                    <w:jc w:val="center"/>
                  </w:pPr>
                  <w:r>
                    <w:rPr>
                      <w:rFonts w:hint="eastAsia"/>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1" w:type="dxa"/>
                  <w:vMerge w:val="continue"/>
                  <w:vAlign w:val="center"/>
                </w:tcPr>
                <w:p>
                  <w:pPr>
                    <w:pStyle w:val="34"/>
                    <w:jc w:val="center"/>
                  </w:pPr>
                </w:p>
              </w:tc>
              <w:tc>
                <w:tcPr>
                  <w:tcW w:w="995" w:type="dxa"/>
                  <w:vAlign w:val="center"/>
                </w:tcPr>
                <w:p>
                  <w:pPr>
                    <w:pStyle w:val="34"/>
                    <w:jc w:val="center"/>
                  </w:pPr>
                  <w:r>
                    <w:rPr>
                      <w:rFonts w:hint="eastAsia"/>
                    </w:rPr>
                    <w:t>包装</w:t>
                  </w:r>
                  <w:r>
                    <w:t>间</w:t>
                  </w:r>
                </w:p>
              </w:tc>
              <w:tc>
                <w:tcPr>
                  <w:tcW w:w="6518" w:type="dxa"/>
                  <w:gridSpan w:val="2"/>
                  <w:vAlign w:val="center"/>
                </w:tcPr>
                <w:p>
                  <w:pPr>
                    <w:pStyle w:val="34"/>
                  </w:pPr>
                  <w:r>
                    <w:rPr>
                      <w:rFonts w:hint="eastAsia"/>
                    </w:rPr>
                    <w:t>面积</w:t>
                  </w:r>
                  <w:r>
                    <w:t>约219m</w:t>
                  </w:r>
                  <w:r>
                    <w:rPr>
                      <w:vertAlign w:val="superscript"/>
                    </w:rPr>
                    <w:t>2</w:t>
                  </w:r>
                  <w:r>
                    <w:t>，</w:t>
                  </w:r>
                  <w:r>
                    <w:rPr>
                      <w:rFonts w:hint="eastAsia"/>
                    </w:rPr>
                    <w:t>分为</w:t>
                  </w:r>
                  <w:r>
                    <w:t>内包装</w:t>
                  </w:r>
                  <w:r>
                    <w:rPr>
                      <w:rFonts w:hint="eastAsia"/>
                    </w:rPr>
                    <w:t>间</w:t>
                  </w:r>
                  <w:r>
                    <w:t>和外包装间</w:t>
                  </w:r>
                  <w:r>
                    <w:rPr>
                      <w:rFonts w:hint="eastAsia"/>
                    </w:rPr>
                    <w:t>，</w:t>
                  </w:r>
                  <w:r>
                    <w:t>内包装</w:t>
                  </w:r>
                  <w:r>
                    <w:rPr>
                      <w:rFonts w:hint="eastAsia"/>
                    </w:rPr>
                    <w:t>1</w:t>
                  </w:r>
                  <w:r>
                    <w:t>面积约150m</w:t>
                  </w:r>
                  <w:r>
                    <w:rPr>
                      <w:vertAlign w:val="superscript"/>
                    </w:rPr>
                    <w:t>2</w:t>
                  </w:r>
                  <w:r>
                    <w:t>，</w:t>
                  </w:r>
                  <w:r>
                    <w:rPr>
                      <w:rFonts w:hint="eastAsia"/>
                    </w:rPr>
                    <w:t>布置3台真空</w:t>
                  </w:r>
                  <w:r>
                    <w:t>包装机</w:t>
                  </w:r>
                  <w:r>
                    <w:rPr>
                      <w:rFonts w:hint="eastAsia"/>
                    </w:rPr>
                    <w:t>，</w:t>
                  </w:r>
                  <w:r>
                    <w:t>用于包装苕皮</w:t>
                  </w:r>
                  <w:r>
                    <w:rPr>
                      <w:rFonts w:hint="eastAsia"/>
                    </w:rPr>
                    <w:t>；</w:t>
                  </w:r>
                  <w:r>
                    <w:t>内包装2面积约24m</w:t>
                  </w:r>
                  <w:r>
                    <w:rPr>
                      <w:vertAlign w:val="superscript"/>
                    </w:rPr>
                    <w:t>2</w:t>
                  </w:r>
                  <w:r>
                    <w:t>，</w:t>
                  </w:r>
                  <w:r>
                    <w:rPr>
                      <w:rFonts w:hint="eastAsia"/>
                    </w:rPr>
                    <w:t>布置</w:t>
                  </w:r>
                  <w:r>
                    <w:t>1</w:t>
                  </w:r>
                  <w:r>
                    <w:rPr>
                      <w:rFonts w:hint="eastAsia"/>
                    </w:rPr>
                    <w:t>台真空</w:t>
                  </w:r>
                  <w:r>
                    <w:t>包装机</w:t>
                  </w:r>
                  <w:r>
                    <w:rPr>
                      <w:rFonts w:hint="eastAsia"/>
                    </w:rPr>
                    <w:t>，</w:t>
                  </w:r>
                  <w:r>
                    <w:t>用于包装</w:t>
                  </w:r>
                  <w:r>
                    <w:rPr>
                      <w:rFonts w:hint="eastAsia"/>
                    </w:rPr>
                    <w:t>豆干；</w:t>
                  </w:r>
                  <w:r>
                    <w:t>外包装间</w:t>
                  </w:r>
                  <w:r>
                    <w:rPr>
                      <w:rFonts w:hint="eastAsia"/>
                    </w:rPr>
                    <w:t>面积</w:t>
                  </w:r>
                  <w:r>
                    <w:t>约45m</w:t>
                  </w:r>
                  <w:r>
                    <w:rPr>
                      <w:vertAlign w:val="superscript"/>
                    </w:rPr>
                    <w:t>2</w:t>
                  </w:r>
                  <w:r>
                    <w:rPr>
                      <w:rFonts w:hint="eastAsia"/>
                    </w:rPr>
                    <w:t>，用于</w:t>
                  </w:r>
                  <w:r>
                    <w:t>产品打包装箱</w:t>
                  </w:r>
                  <w:r>
                    <w:rPr>
                      <w:rFonts w:hint="eastAsia"/>
                    </w:rPr>
                    <w:t>。</w:t>
                  </w:r>
                </w:p>
              </w:tc>
              <w:tc>
                <w:tcPr>
                  <w:tcW w:w="821" w:type="dxa"/>
                  <w:vAlign w:val="center"/>
                </w:tcPr>
                <w:p>
                  <w:pPr>
                    <w:pStyle w:val="34"/>
                    <w:jc w:val="center"/>
                  </w:pPr>
                  <w:r>
                    <w:rPr>
                      <w:rFonts w:hint="eastAsia"/>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1" w:type="dxa"/>
                  <w:vMerge w:val="continue"/>
                  <w:vAlign w:val="center"/>
                </w:tcPr>
                <w:p>
                  <w:pPr>
                    <w:pStyle w:val="34"/>
                    <w:jc w:val="center"/>
                  </w:pPr>
                </w:p>
              </w:tc>
              <w:tc>
                <w:tcPr>
                  <w:tcW w:w="995" w:type="dxa"/>
                  <w:vAlign w:val="center"/>
                </w:tcPr>
                <w:p>
                  <w:pPr>
                    <w:pStyle w:val="34"/>
                    <w:jc w:val="center"/>
                  </w:pPr>
                  <w:r>
                    <w:rPr>
                      <w:rFonts w:hint="eastAsia"/>
                    </w:rPr>
                    <w:t>更衣室</w:t>
                  </w:r>
                </w:p>
              </w:tc>
              <w:tc>
                <w:tcPr>
                  <w:tcW w:w="6518" w:type="dxa"/>
                  <w:gridSpan w:val="2"/>
                  <w:vAlign w:val="center"/>
                </w:tcPr>
                <w:p>
                  <w:pPr>
                    <w:pStyle w:val="34"/>
                  </w:pPr>
                  <w:r>
                    <w:rPr>
                      <w:rFonts w:hint="eastAsia"/>
                    </w:rPr>
                    <w:t>面积</w:t>
                  </w:r>
                  <w:r>
                    <w:t>约11m</w:t>
                  </w:r>
                  <w:r>
                    <w:rPr>
                      <w:vertAlign w:val="superscript"/>
                    </w:rPr>
                    <w:t>2</w:t>
                  </w:r>
                  <w:r>
                    <w:t>，</w:t>
                  </w:r>
                  <w:r>
                    <w:rPr>
                      <w:rFonts w:hint="eastAsia"/>
                    </w:rPr>
                    <w:t>用于</w:t>
                  </w:r>
                  <w:r>
                    <w:t>生产</w:t>
                  </w:r>
                  <w:r>
                    <w:rPr>
                      <w:rFonts w:hint="eastAsia"/>
                    </w:rPr>
                    <w:t>前后</w:t>
                  </w:r>
                  <w:r>
                    <w:t>员工更换衣物。</w:t>
                  </w:r>
                </w:p>
              </w:tc>
              <w:tc>
                <w:tcPr>
                  <w:tcW w:w="821" w:type="dxa"/>
                  <w:vAlign w:val="center"/>
                </w:tcPr>
                <w:p>
                  <w:pPr>
                    <w:pStyle w:val="34"/>
                    <w:jc w:val="center"/>
                  </w:pPr>
                  <w:r>
                    <w:rPr>
                      <w:rFonts w:hint="eastAsia"/>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1" w:type="dxa"/>
                  <w:vMerge w:val="restart"/>
                  <w:vAlign w:val="center"/>
                </w:tcPr>
                <w:p>
                  <w:pPr>
                    <w:pStyle w:val="34"/>
                    <w:jc w:val="center"/>
                  </w:pPr>
                  <w:r>
                    <w:t>储运</w:t>
                  </w:r>
                </w:p>
                <w:p>
                  <w:pPr>
                    <w:pStyle w:val="34"/>
                    <w:jc w:val="center"/>
                  </w:pPr>
                  <w:r>
                    <w:t>工程</w:t>
                  </w:r>
                </w:p>
              </w:tc>
              <w:tc>
                <w:tcPr>
                  <w:tcW w:w="995" w:type="dxa"/>
                  <w:vAlign w:val="center"/>
                </w:tcPr>
                <w:p>
                  <w:pPr>
                    <w:pStyle w:val="34"/>
                    <w:jc w:val="center"/>
                  </w:pPr>
                  <w:r>
                    <w:rPr>
                      <w:kern w:val="0"/>
                    </w:rPr>
                    <w:t>原</w:t>
                  </w:r>
                  <w:r>
                    <w:rPr>
                      <w:rFonts w:hint="eastAsia"/>
                      <w:kern w:val="0"/>
                    </w:rPr>
                    <w:t>料库</w:t>
                  </w:r>
                </w:p>
              </w:tc>
              <w:tc>
                <w:tcPr>
                  <w:tcW w:w="6518" w:type="dxa"/>
                  <w:gridSpan w:val="2"/>
                  <w:vAlign w:val="center"/>
                </w:tcPr>
                <w:p>
                  <w:pPr>
                    <w:pStyle w:val="34"/>
                  </w:pPr>
                  <w:r>
                    <w:t>面积</w:t>
                  </w:r>
                  <w:r>
                    <w:rPr>
                      <w:rFonts w:hint="eastAsia"/>
                    </w:rPr>
                    <w:t>约</w:t>
                  </w:r>
                  <w:r>
                    <w:t>180m</w:t>
                  </w:r>
                  <w:r>
                    <w:rPr>
                      <w:vertAlign w:val="superscript"/>
                    </w:rPr>
                    <w:t>2</w:t>
                  </w:r>
                  <w:r>
                    <w:t>，</w:t>
                  </w:r>
                  <w:r>
                    <w:rPr>
                      <w:rFonts w:hint="eastAsia"/>
                    </w:rPr>
                    <w:t>用于</w:t>
                  </w:r>
                  <w:r>
                    <w:t>堆放</w:t>
                  </w:r>
                  <w:r>
                    <w:rPr>
                      <w:rFonts w:hint="eastAsia"/>
                    </w:rPr>
                    <w:t>红薯</w:t>
                  </w:r>
                  <w:r>
                    <w:t>淀粉</w:t>
                  </w:r>
                  <w:r>
                    <w:rPr>
                      <w:rFonts w:hint="eastAsia"/>
                    </w:rPr>
                    <w:t>、</w:t>
                  </w:r>
                  <w:r>
                    <w:t>木薯淀粉、玉米淀粉、蕨根粉等原材料</w:t>
                  </w:r>
                  <w:r>
                    <w:rPr>
                      <w:rFonts w:hint="eastAsia"/>
                    </w:rPr>
                    <w:t>，豆胚</w:t>
                  </w:r>
                  <w:r>
                    <w:t>每日送至原料库暂存，用于当日生产。</w:t>
                  </w:r>
                </w:p>
              </w:tc>
              <w:tc>
                <w:tcPr>
                  <w:tcW w:w="821" w:type="dxa"/>
                  <w:vAlign w:val="center"/>
                </w:tcPr>
                <w:p>
                  <w:pPr>
                    <w:pStyle w:val="34"/>
                    <w:jc w:val="center"/>
                  </w:pPr>
                  <w: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1" w:type="dxa"/>
                  <w:vMerge w:val="continue"/>
                  <w:vAlign w:val="center"/>
                </w:tcPr>
                <w:p>
                  <w:pPr>
                    <w:pStyle w:val="34"/>
                    <w:jc w:val="center"/>
                  </w:pPr>
                </w:p>
              </w:tc>
              <w:tc>
                <w:tcPr>
                  <w:tcW w:w="995" w:type="dxa"/>
                  <w:vAlign w:val="center"/>
                </w:tcPr>
                <w:p>
                  <w:pPr>
                    <w:pStyle w:val="34"/>
                    <w:jc w:val="center"/>
                    <w:rPr>
                      <w:kern w:val="0"/>
                    </w:rPr>
                  </w:pPr>
                  <w:r>
                    <w:rPr>
                      <w:rFonts w:hint="eastAsia"/>
                      <w:kern w:val="0"/>
                    </w:rPr>
                    <w:t>包材</w:t>
                  </w:r>
                  <w:r>
                    <w:rPr>
                      <w:kern w:val="0"/>
                    </w:rPr>
                    <w:t>库</w:t>
                  </w:r>
                </w:p>
              </w:tc>
              <w:tc>
                <w:tcPr>
                  <w:tcW w:w="6518" w:type="dxa"/>
                  <w:gridSpan w:val="2"/>
                  <w:vAlign w:val="center"/>
                </w:tcPr>
                <w:p>
                  <w:pPr>
                    <w:pStyle w:val="34"/>
                  </w:pPr>
                  <w:r>
                    <w:rPr>
                      <w:rFonts w:hint="eastAsia"/>
                    </w:rPr>
                    <w:t>面积</w:t>
                  </w:r>
                  <w:r>
                    <w:t>约116m</w:t>
                  </w:r>
                  <w:r>
                    <w:rPr>
                      <w:vertAlign w:val="superscript"/>
                    </w:rPr>
                    <w:t>2</w:t>
                  </w:r>
                  <w:r>
                    <w:t>，</w:t>
                  </w:r>
                  <w:r>
                    <w:rPr>
                      <w:rFonts w:hint="eastAsia"/>
                    </w:rPr>
                    <w:t>用于放置内外</w:t>
                  </w:r>
                  <w:r>
                    <w:t>包装材料</w:t>
                  </w:r>
                  <w:r>
                    <w:rPr>
                      <w:rFonts w:hint="eastAsia"/>
                    </w:rPr>
                    <w:t>。</w:t>
                  </w:r>
                </w:p>
              </w:tc>
              <w:tc>
                <w:tcPr>
                  <w:tcW w:w="821" w:type="dxa"/>
                  <w:vAlign w:val="center"/>
                </w:tcPr>
                <w:p>
                  <w:pPr>
                    <w:pStyle w:val="34"/>
                    <w:jc w:val="center"/>
                  </w:pPr>
                  <w: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1" w:type="dxa"/>
                  <w:vMerge w:val="continue"/>
                  <w:vAlign w:val="center"/>
                </w:tcPr>
                <w:p>
                  <w:pPr>
                    <w:pStyle w:val="34"/>
                    <w:jc w:val="center"/>
                  </w:pPr>
                </w:p>
              </w:tc>
              <w:tc>
                <w:tcPr>
                  <w:tcW w:w="995" w:type="dxa"/>
                  <w:vAlign w:val="center"/>
                </w:tcPr>
                <w:p>
                  <w:pPr>
                    <w:pStyle w:val="34"/>
                    <w:jc w:val="center"/>
                    <w:rPr>
                      <w:kern w:val="0"/>
                    </w:rPr>
                  </w:pPr>
                  <w:r>
                    <w:rPr>
                      <w:rFonts w:hint="eastAsia"/>
                      <w:kern w:val="0"/>
                    </w:rPr>
                    <w:t>辅料</w:t>
                  </w:r>
                  <w:r>
                    <w:rPr>
                      <w:kern w:val="0"/>
                    </w:rPr>
                    <w:t>库</w:t>
                  </w:r>
                </w:p>
              </w:tc>
              <w:tc>
                <w:tcPr>
                  <w:tcW w:w="6518" w:type="dxa"/>
                  <w:gridSpan w:val="2"/>
                  <w:vAlign w:val="center"/>
                </w:tcPr>
                <w:p>
                  <w:pPr>
                    <w:pStyle w:val="34"/>
                  </w:pPr>
                  <w:r>
                    <w:rPr>
                      <w:rFonts w:hint="eastAsia"/>
                    </w:rPr>
                    <w:t>面积</w:t>
                  </w:r>
                  <w:r>
                    <w:t>约8m</w:t>
                  </w:r>
                  <w:r>
                    <w:rPr>
                      <w:vertAlign w:val="superscript"/>
                    </w:rPr>
                    <w:t>2</w:t>
                  </w:r>
                  <w:r>
                    <w:t>，用于</w:t>
                  </w:r>
                  <w:r>
                    <w:rPr>
                      <w:rFonts w:hint="eastAsia"/>
                    </w:rPr>
                    <w:t>放置</w:t>
                  </w:r>
                  <w:r>
                    <w:t>糖色、食盐、</w:t>
                  </w:r>
                  <w:r>
                    <w:rPr>
                      <w:rFonts w:hint="eastAsia"/>
                    </w:rPr>
                    <w:t>香辛料、</w:t>
                  </w:r>
                  <w:r>
                    <w:t>脱氧乙酸钠和林檬酸等辅料</w:t>
                  </w:r>
                  <w:r>
                    <w:rPr>
                      <w:rFonts w:hint="eastAsia"/>
                    </w:rPr>
                    <w:t>和</w:t>
                  </w:r>
                  <w:r>
                    <w:t>添加剂。</w:t>
                  </w:r>
                </w:p>
              </w:tc>
              <w:tc>
                <w:tcPr>
                  <w:tcW w:w="821" w:type="dxa"/>
                  <w:vAlign w:val="center"/>
                </w:tcPr>
                <w:p>
                  <w:pPr>
                    <w:pStyle w:val="34"/>
                    <w:jc w:val="center"/>
                  </w:pPr>
                  <w: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1" w:type="dxa"/>
                  <w:vMerge w:val="continue"/>
                  <w:vAlign w:val="center"/>
                </w:tcPr>
                <w:p>
                  <w:pPr>
                    <w:pStyle w:val="34"/>
                    <w:jc w:val="center"/>
                  </w:pPr>
                </w:p>
              </w:tc>
              <w:tc>
                <w:tcPr>
                  <w:tcW w:w="995" w:type="dxa"/>
                  <w:vAlign w:val="center"/>
                </w:tcPr>
                <w:p>
                  <w:pPr>
                    <w:pStyle w:val="34"/>
                    <w:jc w:val="center"/>
                    <w:rPr>
                      <w:bCs/>
                    </w:rPr>
                  </w:pPr>
                  <w:r>
                    <w:rPr>
                      <w:rFonts w:hint="eastAsia"/>
                      <w:bCs/>
                    </w:rPr>
                    <w:t>冷库</w:t>
                  </w:r>
                </w:p>
              </w:tc>
              <w:tc>
                <w:tcPr>
                  <w:tcW w:w="6518" w:type="dxa"/>
                  <w:gridSpan w:val="2"/>
                  <w:vAlign w:val="center"/>
                </w:tcPr>
                <w:p>
                  <w:pPr>
                    <w:pStyle w:val="34"/>
                  </w:pPr>
                  <w:r>
                    <w:rPr>
                      <w:rFonts w:hint="eastAsia"/>
                    </w:rPr>
                    <w:t>共</w:t>
                  </w:r>
                  <w:r>
                    <w:t>设置两个冷库，分别用于存放</w:t>
                  </w:r>
                  <w:r>
                    <w:rPr>
                      <w:rFonts w:hint="eastAsia"/>
                    </w:rPr>
                    <w:t>卤豆干</w:t>
                  </w:r>
                  <w:r>
                    <w:t>成品</w:t>
                  </w:r>
                  <w:r>
                    <w:rPr>
                      <w:rFonts w:hint="eastAsia"/>
                    </w:rPr>
                    <w:t>和</w:t>
                  </w:r>
                  <w:r>
                    <w:t>苕皮加工冷却，</w:t>
                  </w:r>
                  <w:r>
                    <w:rPr>
                      <w:rFonts w:hint="eastAsia"/>
                    </w:rPr>
                    <w:t>豆干成品</w:t>
                  </w:r>
                  <w:r>
                    <w:t>冷库面积</w:t>
                  </w:r>
                  <w:r>
                    <w:rPr>
                      <w:rFonts w:hint="eastAsia"/>
                    </w:rPr>
                    <w:t>约</w:t>
                  </w:r>
                  <w:r>
                    <w:t>1</w:t>
                  </w:r>
                  <w:r>
                    <w:rPr>
                      <w:rFonts w:hint="eastAsia"/>
                    </w:rPr>
                    <w:t>8</w:t>
                  </w:r>
                  <w:r>
                    <w:t>m</w:t>
                  </w:r>
                  <w:r>
                    <w:rPr>
                      <w:vertAlign w:val="superscript"/>
                    </w:rPr>
                    <w:t>2</w:t>
                  </w:r>
                  <w:r>
                    <w:rPr>
                      <w:rFonts w:hint="eastAsia"/>
                    </w:rPr>
                    <w:t>，苕皮</w:t>
                  </w:r>
                  <w:r>
                    <w:t>加工冷库面积</w:t>
                  </w:r>
                  <w:r>
                    <w:rPr>
                      <w:rFonts w:hint="eastAsia"/>
                    </w:rPr>
                    <w:t>约</w:t>
                  </w:r>
                  <w:r>
                    <w:t>40m</w:t>
                  </w:r>
                  <w:r>
                    <w:rPr>
                      <w:vertAlign w:val="superscript"/>
                    </w:rPr>
                    <w:t>2</w:t>
                  </w:r>
                  <w:r>
                    <w:rPr>
                      <w:rFonts w:hint="eastAsia"/>
                    </w:rPr>
                    <w:t>，</w:t>
                  </w:r>
                  <w:r>
                    <w:t>用</w:t>
                  </w:r>
                  <w:r>
                    <w:rPr>
                      <w:rFonts w:hint="eastAsia"/>
                    </w:rPr>
                    <w:t>于</w:t>
                  </w:r>
                  <w:r>
                    <w:t>苕皮降温冷却。</w:t>
                  </w:r>
                  <w:r>
                    <w:rPr>
                      <w:rFonts w:hint="eastAsia"/>
                    </w:rPr>
                    <w:t>冷库</w:t>
                  </w:r>
                  <w:r>
                    <w:t>温度</w:t>
                  </w:r>
                  <w:r>
                    <w:rPr>
                      <w:rFonts w:hint="eastAsia"/>
                    </w:rPr>
                    <w:t>为2~5℃</w:t>
                  </w:r>
                  <w:r>
                    <w:t>，制冷剂为</w:t>
                  </w:r>
                  <w:r>
                    <w:rPr>
                      <w:rFonts w:hint="eastAsia"/>
                    </w:rPr>
                    <w:t>R404A</w:t>
                  </w:r>
                  <w:r>
                    <w:t>。</w:t>
                  </w:r>
                </w:p>
              </w:tc>
              <w:tc>
                <w:tcPr>
                  <w:tcW w:w="821" w:type="dxa"/>
                  <w:vAlign w:val="center"/>
                </w:tcPr>
                <w:p>
                  <w:pPr>
                    <w:pStyle w:val="34"/>
                    <w:jc w:val="center"/>
                  </w:pPr>
                  <w: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1" w:type="dxa"/>
                  <w:vMerge w:val="continue"/>
                  <w:vAlign w:val="center"/>
                </w:tcPr>
                <w:p>
                  <w:pPr>
                    <w:pStyle w:val="34"/>
                    <w:jc w:val="center"/>
                  </w:pPr>
                </w:p>
              </w:tc>
              <w:tc>
                <w:tcPr>
                  <w:tcW w:w="995" w:type="dxa"/>
                  <w:vAlign w:val="center"/>
                </w:tcPr>
                <w:p>
                  <w:pPr>
                    <w:pStyle w:val="34"/>
                    <w:jc w:val="center"/>
                    <w:rPr>
                      <w:bCs/>
                    </w:rPr>
                  </w:pPr>
                  <w:r>
                    <w:rPr>
                      <w:rFonts w:hint="eastAsia"/>
                      <w:bCs/>
                    </w:rPr>
                    <w:t>成品</w:t>
                  </w:r>
                  <w:r>
                    <w:rPr>
                      <w:bCs/>
                    </w:rPr>
                    <w:t>库</w:t>
                  </w:r>
                </w:p>
              </w:tc>
              <w:tc>
                <w:tcPr>
                  <w:tcW w:w="6518" w:type="dxa"/>
                  <w:gridSpan w:val="2"/>
                  <w:vAlign w:val="center"/>
                </w:tcPr>
                <w:p>
                  <w:pPr>
                    <w:pStyle w:val="34"/>
                  </w:pPr>
                  <w:r>
                    <w:rPr>
                      <w:rFonts w:hint="eastAsia"/>
                    </w:rPr>
                    <w:t>面积</w:t>
                  </w:r>
                  <w:r>
                    <w:t>约168m</w:t>
                  </w:r>
                  <w:r>
                    <w:rPr>
                      <w:vertAlign w:val="superscript"/>
                    </w:rPr>
                    <w:t>2</w:t>
                  </w:r>
                  <w:r>
                    <w:t>，</w:t>
                  </w:r>
                  <w:r>
                    <w:rPr>
                      <w:rFonts w:hint="eastAsia"/>
                    </w:rPr>
                    <w:t>用于</w:t>
                  </w:r>
                  <w:r>
                    <w:t>暂存苕皮成品。</w:t>
                  </w:r>
                </w:p>
              </w:tc>
              <w:tc>
                <w:tcPr>
                  <w:tcW w:w="821" w:type="dxa"/>
                  <w:vAlign w:val="center"/>
                </w:tcPr>
                <w:p>
                  <w:pPr>
                    <w:pStyle w:val="34"/>
                    <w:jc w:val="center"/>
                  </w:pPr>
                  <w: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1" w:type="dxa"/>
                  <w:vMerge w:val="restart"/>
                  <w:vAlign w:val="center"/>
                </w:tcPr>
                <w:p>
                  <w:pPr>
                    <w:pStyle w:val="34"/>
                    <w:jc w:val="center"/>
                  </w:pPr>
                  <w:r>
                    <w:t>公用</w:t>
                  </w:r>
                </w:p>
                <w:p>
                  <w:pPr>
                    <w:pStyle w:val="34"/>
                    <w:jc w:val="center"/>
                  </w:pPr>
                  <w:r>
                    <w:t>工程</w:t>
                  </w:r>
                </w:p>
              </w:tc>
              <w:tc>
                <w:tcPr>
                  <w:tcW w:w="995" w:type="dxa"/>
                  <w:vAlign w:val="center"/>
                </w:tcPr>
                <w:p>
                  <w:pPr>
                    <w:pStyle w:val="34"/>
                    <w:jc w:val="center"/>
                  </w:pPr>
                  <w:r>
                    <w:t>供电系统</w:t>
                  </w:r>
                </w:p>
              </w:tc>
              <w:tc>
                <w:tcPr>
                  <w:tcW w:w="6518" w:type="dxa"/>
                  <w:gridSpan w:val="2"/>
                  <w:vAlign w:val="center"/>
                </w:tcPr>
                <w:p>
                  <w:pPr>
                    <w:pStyle w:val="34"/>
                  </w:pPr>
                  <w:r>
                    <w:t>依托园区现有市政电网。</w:t>
                  </w:r>
                </w:p>
              </w:tc>
              <w:tc>
                <w:tcPr>
                  <w:tcW w:w="821" w:type="dxa"/>
                  <w:vAlign w:val="center"/>
                </w:tcPr>
                <w:p>
                  <w:pPr>
                    <w:pStyle w:val="34"/>
                    <w:jc w:val="center"/>
                  </w:pPr>
                  <w: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1" w:type="dxa"/>
                  <w:vMerge w:val="continue"/>
                  <w:vAlign w:val="center"/>
                </w:tcPr>
                <w:p>
                  <w:pPr>
                    <w:pStyle w:val="34"/>
                    <w:jc w:val="center"/>
                  </w:pPr>
                </w:p>
              </w:tc>
              <w:tc>
                <w:tcPr>
                  <w:tcW w:w="995" w:type="dxa"/>
                  <w:vAlign w:val="center"/>
                </w:tcPr>
                <w:p>
                  <w:pPr>
                    <w:pStyle w:val="34"/>
                    <w:jc w:val="center"/>
                  </w:pPr>
                  <w:r>
                    <w:t>供水系统</w:t>
                  </w:r>
                </w:p>
              </w:tc>
              <w:tc>
                <w:tcPr>
                  <w:tcW w:w="6518" w:type="dxa"/>
                  <w:gridSpan w:val="2"/>
                  <w:vAlign w:val="center"/>
                </w:tcPr>
                <w:p>
                  <w:pPr>
                    <w:pStyle w:val="34"/>
                  </w:pPr>
                  <w:r>
                    <w:t>依托园区现有市政供水管网。</w:t>
                  </w:r>
                </w:p>
              </w:tc>
              <w:tc>
                <w:tcPr>
                  <w:tcW w:w="821" w:type="dxa"/>
                  <w:vAlign w:val="center"/>
                </w:tcPr>
                <w:p>
                  <w:pPr>
                    <w:pStyle w:val="34"/>
                    <w:jc w:val="center"/>
                  </w:pPr>
                  <w: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1" w:type="dxa"/>
                  <w:vMerge w:val="continue"/>
                  <w:vAlign w:val="center"/>
                </w:tcPr>
                <w:p>
                  <w:pPr>
                    <w:pStyle w:val="34"/>
                    <w:jc w:val="center"/>
                  </w:pPr>
                </w:p>
              </w:tc>
              <w:tc>
                <w:tcPr>
                  <w:tcW w:w="995" w:type="dxa"/>
                  <w:vAlign w:val="center"/>
                </w:tcPr>
                <w:p>
                  <w:pPr>
                    <w:pStyle w:val="34"/>
                    <w:jc w:val="center"/>
                  </w:pPr>
                  <w:r>
                    <w:rPr>
                      <w:rFonts w:hint="eastAsia"/>
                    </w:rPr>
                    <w:t>蒸汽</w:t>
                  </w:r>
                  <w:r>
                    <w:t>系统</w:t>
                  </w:r>
                </w:p>
              </w:tc>
              <w:tc>
                <w:tcPr>
                  <w:tcW w:w="6518" w:type="dxa"/>
                  <w:gridSpan w:val="2"/>
                  <w:vAlign w:val="center"/>
                </w:tcPr>
                <w:p>
                  <w:pPr>
                    <w:pStyle w:val="34"/>
                  </w:pPr>
                  <w:r>
                    <w:rPr>
                      <w:rFonts w:hint="eastAsia"/>
                    </w:rPr>
                    <w:t>依托</w:t>
                  </w:r>
                  <w:r>
                    <w:t>厂区锅炉房提供蒸汽。</w:t>
                  </w:r>
                </w:p>
              </w:tc>
              <w:tc>
                <w:tcPr>
                  <w:tcW w:w="821" w:type="dxa"/>
                  <w:vAlign w:val="center"/>
                </w:tcPr>
                <w:p>
                  <w:pPr>
                    <w:pStyle w:val="34"/>
                    <w:jc w:val="center"/>
                  </w:pPr>
                  <w: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325" w:hRule="atLeast"/>
                <w:jc w:val="center"/>
              </w:trPr>
              <w:tc>
                <w:tcPr>
                  <w:tcW w:w="691" w:type="dxa"/>
                  <w:vMerge w:val="continue"/>
                  <w:vAlign w:val="center"/>
                </w:tcPr>
                <w:p>
                  <w:pPr>
                    <w:pStyle w:val="34"/>
                    <w:jc w:val="center"/>
                  </w:pPr>
                </w:p>
              </w:tc>
              <w:tc>
                <w:tcPr>
                  <w:tcW w:w="995" w:type="dxa"/>
                  <w:vAlign w:val="center"/>
                </w:tcPr>
                <w:p>
                  <w:pPr>
                    <w:pStyle w:val="34"/>
                    <w:jc w:val="center"/>
                  </w:pPr>
                  <w:r>
                    <w:t>排水系统</w:t>
                  </w:r>
                </w:p>
              </w:tc>
              <w:tc>
                <w:tcPr>
                  <w:tcW w:w="6518" w:type="dxa"/>
                  <w:gridSpan w:val="2"/>
                  <w:vAlign w:val="center"/>
                </w:tcPr>
                <w:p>
                  <w:pPr>
                    <w:pStyle w:val="34"/>
                  </w:pPr>
                  <w:r>
                    <w:t>雨污分流，锅具</w:t>
                  </w:r>
                  <w:r>
                    <w:rPr>
                      <w:rFonts w:hint="eastAsia"/>
                    </w:rPr>
                    <w:t>等</w:t>
                  </w:r>
                  <w:r>
                    <w:t>清洗废水</w:t>
                  </w:r>
                  <w:r>
                    <w:rPr>
                      <w:rFonts w:hint="eastAsia"/>
                    </w:rPr>
                    <w:t>、</w:t>
                  </w:r>
                  <w:r>
                    <w:t>地面清洁废水和卤制废水</w:t>
                  </w:r>
                  <w:r>
                    <w:rPr>
                      <w:rFonts w:hint="eastAsia"/>
                    </w:rPr>
                    <w:t>经新建的</w:t>
                  </w:r>
                  <w:r>
                    <w:t>一体化处理设施处理达</w:t>
                  </w:r>
                  <w:r>
                    <w:rPr>
                      <w:rFonts w:hint="eastAsia"/>
                    </w:rPr>
                    <w:t>《淀粉工业水污染物排放标准》（GB25461-2010）表2中间接排放标准后排入宜企健现有</w:t>
                  </w:r>
                  <w:r>
                    <w:t>污水处理站</w:t>
                  </w:r>
                  <w:r>
                    <w:rPr>
                      <w:rFonts w:hint="eastAsia"/>
                    </w:rPr>
                    <w:t>，</w:t>
                  </w:r>
                  <w:r>
                    <w:t>生活污水</w:t>
                  </w:r>
                  <w:r>
                    <w:rPr>
                      <w:rFonts w:hint="eastAsia"/>
                    </w:rPr>
                    <w:t>排入宜企健</w:t>
                  </w:r>
                  <w:r>
                    <w:t>现有</w:t>
                  </w:r>
                  <w:r>
                    <w:rPr>
                      <w:rFonts w:hint="eastAsia"/>
                    </w:rPr>
                    <w:t>污水处理</w:t>
                  </w:r>
                  <w:r>
                    <w:t>站处理达</w:t>
                  </w:r>
                  <w:r>
                    <w:rPr>
                      <w:rFonts w:hint="eastAsia"/>
                    </w:rPr>
                    <w:t>《肉类加工工业</w:t>
                  </w:r>
                  <w:r>
                    <w:t>水污染物排放标准》（GB13457-1992）</w:t>
                  </w:r>
                  <w:r>
                    <w:rPr>
                      <w:rFonts w:hint="eastAsia"/>
                    </w:rPr>
                    <w:t>肉制品</w:t>
                  </w:r>
                  <w:r>
                    <w:t>加工企业三级标准后，进入园区污水处理厂处理</w:t>
                  </w:r>
                  <w:r>
                    <w:rPr>
                      <w:rFonts w:hint="eastAsia"/>
                    </w:rPr>
                    <w:t>达到《城镇污水处理厂污染物排放标准》（GB18918-2002）一级B标准后排入建梁河。</w:t>
                  </w:r>
                </w:p>
              </w:tc>
              <w:tc>
                <w:tcPr>
                  <w:tcW w:w="821" w:type="dxa"/>
                  <w:vAlign w:val="center"/>
                </w:tcPr>
                <w:p>
                  <w:pPr>
                    <w:pStyle w:val="34"/>
                    <w:jc w:val="center"/>
                  </w:pPr>
                  <w:r>
                    <w:t>依托</w:t>
                  </w:r>
                  <w:r>
                    <w:rPr>
                      <w:rFonts w:hint="eastAsia"/>
                    </w:rPr>
                    <w:t>+</w:t>
                  </w:r>
                  <w: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1" w:type="dxa"/>
                  <w:vMerge w:val="restart"/>
                  <w:vAlign w:val="center"/>
                </w:tcPr>
                <w:p>
                  <w:pPr>
                    <w:pStyle w:val="34"/>
                    <w:jc w:val="center"/>
                  </w:pPr>
                  <w:r>
                    <w:t>环保</w:t>
                  </w:r>
                </w:p>
                <w:p>
                  <w:pPr>
                    <w:pStyle w:val="34"/>
                    <w:jc w:val="center"/>
                  </w:pPr>
                  <w:r>
                    <w:t>工程</w:t>
                  </w:r>
                </w:p>
              </w:tc>
              <w:tc>
                <w:tcPr>
                  <w:tcW w:w="995" w:type="dxa"/>
                  <w:vAlign w:val="center"/>
                </w:tcPr>
                <w:p>
                  <w:pPr>
                    <w:pStyle w:val="34"/>
                    <w:jc w:val="center"/>
                  </w:pPr>
                  <w:r>
                    <w:t>废水处理设施</w:t>
                  </w:r>
                </w:p>
              </w:tc>
              <w:tc>
                <w:tcPr>
                  <w:tcW w:w="6518" w:type="dxa"/>
                  <w:gridSpan w:val="2"/>
                  <w:vAlign w:val="center"/>
                </w:tcPr>
                <w:p>
                  <w:pPr>
                    <w:pStyle w:val="34"/>
                  </w:pPr>
                  <w:r>
                    <w:t>锅具</w:t>
                  </w:r>
                  <w:r>
                    <w:rPr>
                      <w:rFonts w:hint="eastAsia"/>
                    </w:rPr>
                    <w:t>等</w:t>
                  </w:r>
                  <w:r>
                    <w:t>清洗废水</w:t>
                  </w:r>
                  <w:r>
                    <w:rPr>
                      <w:rFonts w:hint="eastAsia"/>
                    </w:rPr>
                    <w:t>、</w:t>
                  </w:r>
                  <w:r>
                    <w:t>地面清洁废水和卤制废水</w:t>
                  </w:r>
                  <w:r>
                    <w:rPr>
                      <w:rFonts w:hint="eastAsia"/>
                    </w:rPr>
                    <w:t>经新建的</w:t>
                  </w:r>
                  <w:r>
                    <w:t>一体化处理设施</w:t>
                  </w:r>
                  <w:r>
                    <w:rPr>
                      <w:rFonts w:hint="eastAsia"/>
                    </w:rPr>
                    <w:t>（采用“沉淀+好氧+除磷”，</w:t>
                  </w:r>
                  <w:r>
                    <w:t>处理</w:t>
                  </w:r>
                  <w:r>
                    <w:rPr>
                      <w:rFonts w:hint="eastAsia"/>
                    </w:rPr>
                    <w:t>规模</w:t>
                  </w:r>
                  <w:r>
                    <w:t>为2m</w:t>
                  </w:r>
                  <w:r>
                    <w:rPr>
                      <w:vertAlign w:val="superscript"/>
                    </w:rPr>
                    <w:t>3</w:t>
                  </w:r>
                  <w:r>
                    <w:t>/d</w:t>
                  </w:r>
                  <w:r>
                    <w:rPr>
                      <w:rFonts w:hint="eastAsia"/>
                    </w:rPr>
                    <w:t>）</w:t>
                  </w:r>
                  <w:r>
                    <w:t>处理达</w:t>
                  </w:r>
                  <w:r>
                    <w:rPr>
                      <w:rFonts w:hint="eastAsia"/>
                    </w:rPr>
                    <w:t>《淀粉工业水污染物排放标准》（GB25461-2010）表2中间接排放标准后排入宜企健现有</w:t>
                  </w:r>
                  <w:r>
                    <w:t>污水处理站</w:t>
                  </w:r>
                  <w:r>
                    <w:rPr>
                      <w:rFonts w:hint="eastAsia"/>
                    </w:rPr>
                    <w:t>。</w:t>
                  </w:r>
                  <w:r>
                    <w:t>生活污水</w:t>
                  </w:r>
                  <w:r>
                    <w:rPr>
                      <w:rFonts w:hint="eastAsia"/>
                    </w:rPr>
                    <w:t>排入宜企健</w:t>
                  </w:r>
                  <w:r>
                    <w:t>现有</w:t>
                  </w:r>
                  <w:r>
                    <w:rPr>
                      <w:rFonts w:hint="eastAsia"/>
                    </w:rPr>
                    <w:t>污水处理</w:t>
                  </w:r>
                  <w:r>
                    <w:t>站处理达</w:t>
                  </w:r>
                  <w:r>
                    <w:rPr>
                      <w:rFonts w:hint="eastAsia"/>
                    </w:rPr>
                    <w:t>《肉类加工工业</w:t>
                  </w:r>
                  <w:r>
                    <w:t>水污染物排放标准》（GB13457-1992）</w:t>
                  </w:r>
                  <w:r>
                    <w:rPr>
                      <w:rFonts w:hint="eastAsia"/>
                    </w:rPr>
                    <w:t>肉制品</w:t>
                  </w:r>
                  <w:r>
                    <w:t>加工企业三级标准后，进入园区污水处理厂处理</w:t>
                  </w:r>
                  <w:r>
                    <w:rPr>
                      <w:rFonts w:hint="eastAsia"/>
                    </w:rPr>
                    <w:t>。依托</w:t>
                  </w:r>
                  <w:r>
                    <w:t>的</w:t>
                  </w:r>
                  <w:r>
                    <w:rPr>
                      <w:rFonts w:hint="eastAsia"/>
                    </w:rPr>
                    <w:t>宜企健公司</w:t>
                  </w:r>
                  <w:r>
                    <w:t>污水处理站处理规模为300m</w:t>
                  </w:r>
                  <w:r>
                    <w:rPr>
                      <w:vertAlign w:val="superscript"/>
                    </w:rPr>
                    <w:t>3</w:t>
                  </w:r>
                  <w:r>
                    <w:t>/d</w:t>
                  </w:r>
                  <w:r>
                    <w:rPr>
                      <w:rFonts w:hint="eastAsia"/>
                    </w:rPr>
                    <w:t>。</w:t>
                  </w:r>
                </w:p>
              </w:tc>
              <w:tc>
                <w:tcPr>
                  <w:tcW w:w="821" w:type="dxa"/>
                  <w:vAlign w:val="center"/>
                </w:tcPr>
                <w:p>
                  <w:pPr>
                    <w:pStyle w:val="34"/>
                    <w:jc w:val="center"/>
                  </w:pPr>
                  <w:r>
                    <w:rPr>
                      <w:rFonts w:hint="eastAsia"/>
                    </w:rPr>
                    <w:t>依托+</w:t>
                  </w:r>
                  <w: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1" w:type="dxa"/>
                  <w:vMerge w:val="continue"/>
                  <w:vAlign w:val="center"/>
                </w:tcPr>
                <w:p>
                  <w:pPr>
                    <w:pStyle w:val="34"/>
                    <w:jc w:val="center"/>
                  </w:pPr>
                </w:p>
              </w:tc>
              <w:tc>
                <w:tcPr>
                  <w:tcW w:w="995" w:type="dxa"/>
                  <w:vMerge w:val="restart"/>
                  <w:vAlign w:val="center"/>
                </w:tcPr>
                <w:p>
                  <w:pPr>
                    <w:pStyle w:val="34"/>
                    <w:jc w:val="center"/>
                  </w:pPr>
                  <w:r>
                    <w:t>固体废物暂存区</w:t>
                  </w:r>
                </w:p>
              </w:tc>
              <w:tc>
                <w:tcPr>
                  <w:tcW w:w="1269" w:type="dxa"/>
                  <w:vAlign w:val="center"/>
                </w:tcPr>
                <w:p>
                  <w:pPr>
                    <w:pStyle w:val="34"/>
                    <w:jc w:val="center"/>
                  </w:pPr>
                  <w:r>
                    <w:t>一般固体废物暂存区</w:t>
                  </w:r>
                </w:p>
              </w:tc>
              <w:tc>
                <w:tcPr>
                  <w:tcW w:w="5249" w:type="dxa"/>
                  <w:vAlign w:val="center"/>
                </w:tcPr>
                <w:p>
                  <w:pPr>
                    <w:pStyle w:val="34"/>
                  </w:pPr>
                  <w:r>
                    <w:t>位于车间</w:t>
                  </w:r>
                  <w:r>
                    <w:rPr>
                      <w:rFonts w:hint="eastAsia"/>
                    </w:rPr>
                    <w:t>南</w:t>
                  </w:r>
                  <w:r>
                    <w:t>侧，面积</w:t>
                  </w:r>
                  <w:r>
                    <w:rPr>
                      <w:rFonts w:hint="eastAsia"/>
                    </w:rPr>
                    <w:t>约</w:t>
                  </w:r>
                  <w:r>
                    <w:t>8m</w:t>
                  </w:r>
                  <w:r>
                    <w:rPr>
                      <w:vertAlign w:val="superscript"/>
                    </w:rPr>
                    <w:t>2</w:t>
                  </w:r>
                  <w:r>
                    <w:t>。</w:t>
                  </w:r>
                  <w:r>
                    <w:rPr>
                      <w:rFonts w:hint="eastAsia"/>
                    </w:rPr>
                    <w:t>用于</w:t>
                  </w:r>
                  <w:r>
                    <w:t>堆放废包装材料，</w:t>
                  </w:r>
                  <w:r>
                    <w:rPr>
                      <w:rFonts w:hint="eastAsia"/>
                    </w:rPr>
                    <w:t>不合格</w:t>
                  </w:r>
                  <w:r>
                    <w:t>废</w:t>
                  </w:r>
                  <w:r>
                    <w:rPr>
                      <w:rFonts w:hint="eastAsia"/>
                    </w:rPr>
                    <w:t>品</w:t>
                  </w:r>
                  <w:r>
                    <w:t>等一般</w:t>
                  </w:r>
                  <w:r>
                    <w:rPr>
                      <w:rFonts w:hint="eastAsia"/>
                    </w:rPr>
                    <w:t>工业</w:t>
                  </w:r>
                  <w:r>
                    <w:t>固废。</w:t>
                  </w:r>
                </w:p>
              </w:tc>
              <w:tc>
                <w:tcPr>
                  <w:tcW w:w="821" w:type="dxa"/>
                  <w:vAlign w:val="center"/>
                </w:tcPr>
                <w:p>
                  <w:pPr>
                    <w:pStyle w:val="34"/>
                    <w:jc w:val="center"/>
                  </w:pPr>
                  <w: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691" w:type="dxa"/>
                  <w:vMerge w:val="continue"/>
                  <w:vAlign w:val="center"/>
                </w:tcPr>
                <w:p>
                  <w:pPr>
                    <w:pStyle w:val="34"/>
                  </w:pPr>
                </w:p>
              </w:tc>
              <w:tc>
                <w:tcPr>
                  <w:tcW w:w="995" w:type="dxa"/>
                  <w:vMerge w:val="continue"/>
                  <w:vAlign w:val="center"/>
                </w:tcPr>
                <w:p>
                  <w:pPr>
                    <w:pStyle w:val="34"/>
                  </w:pPr>
                </w:p>
              </w:tc>
              <w:tc>
                <w:tcPr>
                  <w:tcW w:w="6518" w:type="dxa"/>
                  <w:gridSpan w:val="2"/>
                  <w:vAlign w:val="center"/>
                </w:tcPr>
                <w:p>
                  <w:pPr>
                    <w:pStyle w:val="34"/>
                  </w:pPr>
                  <w:r>
                    <w:rPr>
                      <w:kern w:val="0"/>
                    </w:rPr>
                    <w:t>生活垃圾由环卫部门统一清运。</w:t>
                  </w:r>
                </w:p>
              </w:tc>
              <w:tc>
                <w:tcPr>
                  <w:tcW w:w="821" w:type="dxa"/>
                  <w:vAlign w:val="center"/>
                </w:tcPr>
                <w:p>
                  <w:pPr>
                    <w:pStyle w:val="34"/>
                    <w:jc w:val="center"/>
                  </w:pPr>
                  <w:r>
                    <w:t>/</w:t>
                  </w:r>
                </w:p>
              </w:tc>
            </w:tr>
          </w:tbl>
          <w:p>
            <w:pPr>
              <w:spacing w:before="120" w:beforeLines="50"/>
              <w:ind w:firstLine="482"/>
              <w:rPr>
                <w:b/>
              </w:rPr>
            </w:pPr>
            <w:r>
              <w:rPr>
                <w:b/>
              </w:rPr>
              <w:t>5、依托工程</w:t>
            </w:r>
          </w:p>
          <w:p>
            <w:pPr>
              <w:ind w:firstLine="480"/>
              <w:rPr>
                <w:bCs/>
                <w:szCs w:val="21"/>
              </w:rPr>
            </w:pPr>
            <w:r>
              <w:rPr>
                <w:rFonts w:hint="eastAsia"/>
              </w:rPr>
              <w:t>重庆宜企健企业管理有限公司共</w:t>
            </w:r>
            <w:r>
              <w:t>建设</w:t>
            </w:r>
            <w:r>
              <w:rPr>
                <w:rFonts w:hint="eastAsia"/>
              </w:rPr>
              <w:t>有3栋</w:t>
            </w:r>
            <w:r>
              <w:t>生产厂房，</w:t>
            </w:r>
            <w:r>
              <w:rPr>
                <w:rFonts w:hint="eastAsia"/>
                <w:bCs/>
                <w:szCs w:val="21"/>
              </w:rPr>
              <w:t>项目租用</w:t>
            </w:r>
            <w:r>
              <w:rPr>
                <w:rFonts w:hint="eastAsia"/>
              </w:rPr>
              <w:t>其中</w:t>
            </w:r>
            <w:r>
              <w:t>的2</w:t>
            </w:r>
            <w:r>
              <w:rPr>
                <w:rFonts w:hint="eastAsia"/>
              </w:rPr>
              <w:t>#厂房2楼部分车间</w:t>
            </w:r>
            <w:r>
              <w:t>进行建设</w:t>
            </w:r>
            <w:r>
              <w:rPr>
                <w:rFonts w:hint="eastAsia"/>
              </w:rPr>
              <w:t>，</w:t>
            </w:r>
            <w:r>
              <w:t>2</w:t>
            </w:r>
            <w:r>
              <w:rPr>
                <w:rFonts w:hint="eastAsia"/>
              </w:rPr>
              <w:t>#厂房</w:t>
            </w:r>
            <w:r>
              <w:t>建筑面积共约19101.76m</w:t>
            </w:r>
            <w:r>
              <w:rPr>
                <w:vertAlign w:val="superscript"/>
              </w:rPr>
              <w:t>2</w:t>
            </w:r>
            <w:r>
              <w:rPr>
                <w:rFonts w:hint="eastAsia"/>
              </w:rPr>
              <w:t>，本项目</w:t>
            </w:r>
            <w:r>
              <w:t>使用</w:t>
            </w:r>
            <w:r>
              <w:rPr>
                <w:rFonts w:hint="eastAsia"/>
              </w:rPr>
              <w:t>使用面积</w:t>
            </w:r>
            <w:r>
              <w:t>为</w:t>
            </w:r>
            <w:r>
              <w:rPr>
                <w:szCs w:val="21"/>
              </w:rPr>
              <w:t>1682m</w:t>
            </w:r>
            <w:r>
              <w:rPr>
                <w:szCs w:val="21"/>
                <w:vertAlign w:val="superscript"/>
              </w:rPr>
              <w:t>2</w:t>
            </w:r>
            <w:r>
              <w:rPr>
                <w:rFonts w:hint="eastAsia"/>
                <w:szCs w:val="21"/>
              </w:rPr>
              <w:t>。</w:t>
            </w:r>
            <w:r>
              <w:rPr>
                <w:bCs/>
                <w:szCs w:val="21"/>
              </w:rPr>
              <w:t>项目与现有设施依托情况详见表2-3。</w:t>
            </w:r>
          </w:p>
          <w:p>
            <w:pPr>
              <w:pStyle w:val="33"/>
              <w:spacing w:before="120"/>
            </w:pPr>
            <w:r>
              <w:t>表2-3   项目与现有设施依托关系一览表</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498"/>
              <w:gridCol w:w="931"/>
              <w:gridCol w:w="1890"/>
              <w:gridCol w:w="2993"/>
              <w:gridCol w:w="25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36" w:type="pct"/>
                  <w:vAlign w:val="center"/>
                </w:tcPr>
                <w:p>
                  <w:pPr>
                    <w:pStyle w:val="34"/>
                    <w:jc w:val="center"/>
                  </w:pPr>
                  <w:r>
                    <w:t>序号</w:t>
                  </w:r>
                </w:p>
              </w:tc>
              <w:tc>
                <w:tcPr>
                  <w:tcW w:w="772" w:type="pct"/>
                  <w:gridSpan w:val="2"/>
                  <w:vAlign w:val="center"/>
                </w:tcPr>
                <w:p>
                  <w:pPr>
                    <w:pStyle w:val="34"/>
                    <w:jc w:val="center"/>
                  </w:pPr>
                  <w:r>
                    <w:t>项目</w:t>
                  </w:r>
                </w:p>
              </w:tc>
              <w:tc>
                <w:tcPr>
                  <w:tcW w:w="1021" w:type="pct"/>
                  <w:vAlign w:val="center"/>
                </w:tcPr>
                <w:p>
                  <w:pPr>
                    <w:pStyle w:val="34"/>
                    <w:jc w:val="center"/>
                  </w:pPr>
                  <w:r>
                    <w:rPr>
                      <w:rFonts w:hint="eastAsia"/>
                    </w:rPr>
                    <w:t>厂区</w:t>
                  </w:r>
                  <w:r>
                    <w:t>建设情况</w:t>
                  </w:r>
                </w:p>
              </w:tc>
              <w:tc>
                <w:tcPr>
                  <w:tcW w:w="1617" w:type="pct"/>
                  <w:vAlign w:val="center"/>
                </w:tcPr>
                <w:p>
                  <w:pPr>
                    <w:pStyle w:val="34"/>
                    <w:jc w:val="center"/>
                  </w:pPr>
                  <w:r>
                    <w:rPr>
                      <w:rFonts w:hint="eastAsia"/>
                    </w:rPr>
                    <w:t>本项目建设情况</w:t>
                  </w:r>
                </w:p>
              </w:tc>
              <w:tc>
                <w:tcPr>
                  <w:tcW w:w="1354" w:type="pct"/>
                  <w:vAlign w:val="center"/>
                </w:tcPr>
                <w:p>
                  <w:pPr>
                    <w:pStyle w:val="34"/>
                    <w:jc w:val="center"/>
                  </w:pPr>
                  <w:r>
                    <w:t>依托可行性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 w:type="pct"/>
                  <w:vAlign w:val="center"/>
                </w:tcPr>
                <w:p>
                  <w:pPr>
                    <w:pStyle w:val="34"/>
                    <w:jc w:val="center"/>
                  </w:pPr>
                  <w:r>
                    <w:t>1</w:t>
                  </w:r>
                </w:p>
              </w:tc>
              <w:tc>
                <w:tcPr>
                  <w:tcW w:w="269" w:type="pct"/>
                  <w:vMerge w:val="restart"/>
                  <w:vAlign w:val="center"/>
                </w:tcPr>
                <w:p>
                  <w:pPr>
                    <w:pStyle w:val="34"/>
                    <w:jc w:val="center"/>
                  </w:pPr>
                  <w:r>
                    <w:t>公用工程</w:t>
                  </w:r>
                </w:p>
              </w:tc>
              <w:tc>
                <w:tcPr>
                  <w:tcW w:w="503" w:type="pct"/>
                  <w:vAlign w:val="center"/>
                </w:tcPr>
                <w:p>
                  <w:pPr>
                    <w:pStyle w:val="34"/>
                    <w:jc w:val="center"/>
                  </w:pPr>
                  <w:r>
                    <w:t>供电</w:t>
                  </w:r>
                </w:p>
                <w:p>
                  <w:pPr>
                    <w:pStyle w:val="34"/>
                    <w:jc w:val="center"/>
                  </w:pPr>
                  <w:r>
                    <w:t>供水</w:t>
                  </w:r>
                </w:p>
              </w:tc>
              <w:tc>
                <w:tcPr>
                  <w:tcW w:w="1021" w:type="pct"/>
                  <w:vAlign w:val="center"/>
                </w:tcPr>
                <w:p>
                  <w:pPr>
                    <w:pStyle w:val="34"/>
                    <w:jc w:val="center"/>
                  </w:pPr>
                  <w:r>
                    <w:t>由市政电网、</w:t>
                  </w:r>
                  <w:r>
                    <w:rPr>
                      <w:rFonts w:hint="eastAsia"/>
                    </w:rPr>
                    <w:t>自来水</w:t>
                  </w:r>
                  <w:r>
                    <w:t>管网供给</w:t>
                  </w:r>
                  <w:r>
                    <w:rPr>
                      <w:rFonts w:hint="eastAsia"/>
                    </w:rPr>
                    <w:t>。</w:t>
                  </w:r>
                </w:p>
              </w:tc>
              <w:tc>
                <w:tcPr>
                  <w:tcW w:w="1617" w:type="pct"/>
                  <w:vAlign w:val="center"/>
                </w:tcPr>
                <w:p>
                  <w:pPr>
                    <w:pStyle w:val="34"/>
                    <w:jc w:val="left"/>
                  </w:pPr>
                  <w:r>
                    <w:t>依托厂区现有</w:t>
                  </w:r>
                  <w:r>
                    <w:rPr>
                      <w:rFonts w:hint="eastAsia"/>
                    </w:rPr>
                    <w:t>电网</w:t>
                  </w:r>
                  <w:r>
                    <w:t>及自来水管网。</w:t>
                  </w:r>
                </w:p>
              </w:tc>
              <w:tc>
                <w:tcPr>
                  <w:tcW w:w="1354" w:type="pct"/>
                  <w:vAlign w:val="center"/>
                </w:tcPr>
                <w:p>
                  <w:pPr>
                    <w:pStyle w:val="34"/>
                    <w:jc w:val="left"/>
                  </w:pPr>
                  <w:r>
                    <w:t>由市政电网和管网供给，能满足本项目用电用水要求，依托可行。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 w:type="pct"/>
                  <w:vAlign w:val="center"/>
                </w:tcPr>
                <w:p>
                  <w:pPr>
                    <w:pStyle w:val="34"/>
                    <w:jc w:val="center"/>
                  </w:pPr>
                  <w:r>
                    <w:t>2</w:t>
                  </w:r>
                </w:p>
              </w:tc>
              <w:tc>
                <w:tcPr>
                  <w:tcW w:w="269" w:type="pct"/>
                  <w:vMerge w:val="continue"/>
                  <w:vAlign w:val="center"/>
                </w:tcPr>
                <w:p>
                  <w:pPr>
                    <w:pStyle w:val="34"/>
                    <w:jc w:val="center"/>
                  </w:pPr>
                </w:p>
              </w:tc>
              <w:tc>
                <w:tcPr>
                  <w:tcW w:w="503" w:type="pct"/>
                  <w:vAlign w:val="center"/>
                </w:tcPr>
                <w:p>
                  <w:pPr>
                    <w:pStyle w:val="34"/>
                    <w:jc w:val="center"/>
                  </w:pPr>
                  <w:r>
                    <w:rPr>
                      <w:rFonts w:hint="eastAsia"/>
                    </w:rPr>
                    <w:t>供</w:t>
                  </w:r>
                  <w:r>
                    <w:t>蒸汽</w:t>
                  </w:r>
                </w:p>
              </w:tc>
              <w:tc>
                <w:tcPr>
                  <w:tcW w:w="1021" w:type="pct"/>
                  <w:vAlign w:val="center"/>
                </w:tcPr>
                <w:p>
                  <w:pPr>
                    <w:pStyle w:val="34"/>
                    <w:jc w:val="center"/>
                  </w:pPr>
                  <w:r>
                    <w:rPr>
                      <w:rFonts w:hint="eastAsia"/>
                    </w:rPr>
                    <w:t>建设有</w:t>
                  </w:r>
                  <w:r>
                    <w:t>锅炉房，</w:t>
                  </w:r>
                  <w:r>
                    <w:rPr>
                      <w:rFonts w:hint="eastAsia"/>
                    </w:rPr>
                    <w:t>设置1台4</w:t>
                  </w:r>
                  <w:r>
                    <w:t>t/h的锅炉</w:t>
                  </w:r>
                  <w:r>
                    <w:rPr>
                      <w:rFonts w:hint="eastAsia"/>
                    </w:rPr>
                    <w:t>和1台</w:t>
                  </w:r>
                  <w:r>
                    <w:t>2t/h的锅炉，锅炉</w:t>
                  </w:r>
                  <w:r>
                    <w:rPr>
                      <w:rFonts w:hint="eastAsia"/>
                    </w:rPr>
                    <w:t>20小时</w:t>
                  </w:r>
                  <w:r>
                    <w:t>运行。</w:t>
                  </w:r>
                </w:p>
              </w:tc>
              <w:tc>
                <w:tcPr>
                  <w:tcW w:w="1617" w:type="pct"/>
                  <w:vAlign w:val="center"/>
                </w:tcPr>
                <w:p>
                  <w:pPr>
                    <w:pStyle w:val="34"/>
                    <w:jc w:val="left"/>
                  </w:pPr>
                  <w:r>
                    <w:rPr>
                      <w:rFonts w:hint="eastAsia"/>
                    </w:rPr>
                    <w:t>依托</w:t>
                  </w:r>
                  <w:r>
                    <w:t>厂区锅炉房提供蒸汽。</w:t>
                  </w:r>
                </w:p>
              </w:tc>
              <w:tc>
                <w:tcPr>
                  <w:tcW w:w="1354" w:type="pct"/>
                  <w:vAlign w:val="center"/>
                </w:tcPr>
                <w:p>
                  <w:pPr>
                    <w:pStyle w:val="34"/>
                    <w:jc w:val="left"/>
                  </w:pPr>
                  <w:r>
                    <w:rPr>
                      <w:rFonts w:hint="eastAsia"/>
                    </w:rPr>
                    <w:t>锅炉房</w:t>
                  </w:r>
                  <w:r>
                    <w:t>蒸汽产生量为120t/d，</w:t>
                  </w:r>
                  <w:r>
                    <w:rPr>
                      <w:rFonts w:hint="eastAsia"/>
                    </w:rPr>
                    <w:t>其他</w:t>
                  </w:r>
                  <w:r>
                    <w:t>企业蒸汽使用量</w:t>
                  </w:r>
                  <w:r>
                    <w:rPr>
                      <w:rFonts w:hint="eastAsia"/>
                    </w:rPr>
                    <w:t>合计</w:t>
                  </w:r>
                  <w:r>
                    <w:t>约40t/d，本项目蒸汽使用量为15t/d</w:t>
                  </w:r>
                  <w:r>
                    <w:rPr>
                      <w:rFonts w:hint="eastAsia"/>
                    </w:rPr>
                    <w:t>，</w:t>
                  </w:r>
                  <w:r>
                    <w:t>蒸汽量富余，依托可行。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 w:type="pct"/>
                  <w:vAlign w:val="center"/>
                </w:tcPr>
                <w:p>
                  <w:pPr>
                    <w:pStyle w:val="34"/>
                    <w:jc w:val="center"/>
                  </w:pPr>
                  <w:r>
                    <w:rPr>
                      <w:rFonts w:hint="eastAsia"/>
                    </w:rPr>
                    <w:t>3</w:t>
                  </w:r>
                </w:p>
              </w:tc>
              <w:tc>
                <w:tcPr>
                  <w:tcW w:w="269" w:type="pct"/>
                  <w:vAlign w:val="center"/>
                </w:tcPr>
                <w:p>
                  <w:pPr>
                    <w:pStyle w:val="34"/>
                    <w:jc w:val="center"/>
                  </w:pPr>
                  <w:r>
                    <w:t>环保工程</w:t>
                  </w:r>
                </w:p>
              </w:tc>
              <w:tc>
                <w:tcPr>
                  <w:tcW w:w="503" w:type="pct"/>
                  <w:vAlign w:val="center"/>
                </w:tcPr>
                <w:p>
                  <w:pPr>
                    <w:pStyle w:val="34"/>
                    <w:jc w:val="center"/>
                  </w:pPr>
                  <w:r>
                    <w:t>生活污水</w:t>
                  </w:r>
                </w:p>
              </w:tc>
              <w:tc>
                <w:tcPr>
                  <w:tcW w:w="1021" w:type="pct"/>
                  <w:vAlign w:val="center"/>
                </w:tcPr>
                <w:p>
                  <w:pPr>
                    <w:pStyle w:val="34"/>
                    <w:jc w:val="center"/>
                  </w:pPr>
                  <w:r>
                    <w:rPr>
                      <w:rFonts w:hint="eastAsia"/>
                    </w:rPr>
                    <w:t>建设有一座</w:t>
                  </w:r>
                  <w:r>
                    <w:t>处理</w:t>
                  </w:r>
                  <w:r>
                    <w:rPr>
                      <w:rFonts w:hint="eastAsia"/>
                    </w:rPr>
                    <w:t>能力</w:t>
                  </w:r>
                  <w:r>
                    <w:t>为300m</w:t>
                  </w:r>
                  <w:r>
                    <w:rPr>
                      <w:vertAlign w:val="superscript"/>
                    </w:rPr>
                    <w:t>3</w:t>
                  </w:r>
                  <w:r>
                    <w:t>/d</w:t>
                  </w:r>
                  <w:r>
                    <w:rPr>
                      <w:rFonts w:hint="eastAsia"/>
                    </w:rPr>
                    <w:t>污水</w:t>
                  </w:r>
                  <w:r>
                    <w:t>处理站，处理工艺</w:t>
                  </w:r>
                  <w:r>
                    <w:rPr>
                      <w:rFonts w:hint="eastAsia"/>
                    </w:rPr>
                    <w:t>为</w:t>
                  </w:r>
                  <w:r>
                    <w:rPr>
                      <w:snapToGrid w:val="0"/>
                      <w:kern w:val="0"/>
                      <w:szCs w:val="21"/>
                    </w:rPr>
                    <w:t>“</w:t>
                  </w:r>
                  <w:r>
                    <w:rPr>
                      <w:rFonts w:hint="eastAsia"/>
                      <w:snapToGrid w:val="0"/>
                      <w:kern w:val="0"/>
                      <w:szCs w:val="21"/>
                    </w:rPr>
                    <w:t>格栅+隔油+调节+絮凝沉淀+厌氧+曝气沉淀+缺氧+多级接触氧化+沉淀</w:t>
                  </w:r>
                  <w:r>
                    <w:rPr>
                      <w:snapToGrid w:val="0"/>
                      <w:kern w:val="0"/>
                      <w:szCs w:val="21"/>
                    </w:rPr>
                    <w:t>”</w:t>
                  </w:r>
                  <w:r>
                    <w:rPr>
                      <w:rFonts w:hint="eastAsia"/>
                      <w:snapToGrid w:val="0"/>
                      <w:kern w:val="0"/>
                      <w:szCs w:val="21"/>
                    </w:rPr>
                    <w:t>。</w:t>
                  </w:r>
                </w:p>
              </w:tc>
              <w:tc>
                <w:tcPr>
                  <w:tcW w:w="1617" w:type="pct"/>
                  <w:vAlign w:val="center"/>
                </w:tcPr>
                <w:p>
                  <w:pPr>
                    <w:pStyle w:val="34"/>
                    <w:jc w:val="left"/>
                  </w:pPr>
                  <w:r>
                    <w:t>锅具</w:t>
                  </w:r>
                  <w:r>
                    <w:rPr>
                      <w:rFonts w:hint="eastAsia"/>
                    </w:rPr>
                    <w:t>等</w:t>
                  </w:r>
                  <w:r>
                    <w:t>清洗废水</w:t>
                  </w:r>
                  <w:r>
                    <w:rPr>
                      <w:rFonts w:hint="eastAsia"/>
                    </w:rPr>
                    <w:t>、</w:t>
                  </w:r>
                  <w:r>
                    <w:t>地面清洁废水和卤制废水</w:t>
                  </w:r>
                  <w:r>
                    <w:rPr>
                      <w:rFonts w:hint="eastAsia"/>
                    </w:rPr>
                    <w:t>经新建的</w:t>
                  </w:r>
                  <w:r>
                    <w:t>一体化处理设施处理达</w:t>
                  </w:r>
                  <w:r>
                    <w:rPr>
                      <w:rFonts w:hint="eastAsia"/>
                    </w:rPr>
                    <w:t>《淀粉工业水污染物排放标准》（GB25461-2010）表2中间接排放标准后排入厂区现有</w:t>
                  </w:r>
                  <w:r>
                    <w:t>污水处理站</w:t>
                  </w:r>
                  <w:r>
                    <w:rPr>
                      <w:rFonts w:hint="eastAsia"/>
                    </w:rPr>
                    <w:t>。</w:t>
                  </w:r>
                  <w:r>
                    <w:t>生活污水</w:t>
                  </w:r>
                  <w:r>
                    <w:rPr>
                      <w:rFonts w:hint="eastAsia"/>
                    </w:rPr>
                    <w:t>和其他</w:t>
                  </w:r>
                  <w:r>
                    <w:t>生产废水</w:t>
                  </w:r>
                  <w:r>
                    <w:rPr>
                      <w:rFonts w:hint="eastAsia"/>
                    </w:rPr>
                    <w:t>排入厂区</w:t>
                  </w:r>
                  <w:r>
                    <w:t>现有</w:t>
                  </w:r>
                  <w:r>
                    <w:rPr>
                      <w:rFonts w:hint="eastAsia"/>
                    </w:rPr>
                    <w:t>污水处理</w:t>
                  </w:r>
                  <w:r>
                    <w:t>站</w:t>
                  </w:r>
                  <w:r>
                    <w:rPr>
                      <w:rFonts w:hint="eastAsia"/>
                    </w:rPr>
                    <w:t>。</w:t>
                  </w:r>
                </w:p>
              </w:tc>
              <w:tc>
                <w:tcPr>
                  <w:tcW w:w="1354" w:type="pct"/>
                  <w:vAlign w:val="center"/>
                </w:tcPr>
                <w:p>
                  <w:pPr>
                    <w:pStyle w:val="34"/>
                    <w:jc w:val="left"/>
                  </w:pPr>
                  <w:r>
                    <w:rPr>
                      <w:rFonts w:hint="eastAsia"/>
                    </w:rPr>
                    <w:t>根据调查了解</w:t>
                  </w:r>
                  <w:r>
                    <w:t>，</w:t>
                  </w:r>
                  <w:r>
                    <w:rPr>
                      <w:rFonts w:hint="eastAsia"/>
                    </w:rPr>
                    <w:t>拟入驻其他企业</w:t>
                  </w:r>
                  <w:r>
                    <w:t>最大日排水量</w:t>
                  </w:r>
                  <w:r>
                    <w:rPr>
                      <w:rFonts w:hint="eastAsia"/>
                    </w:rPr>
                    <w:t>约</w:t>
                  </w:r>
                  <w:r>
                    <w:t>为47.36m</w:t>
                  </w:r>
                  <w:r>
                    <w:rPr>
                      <w:vertAlign w:val="superscript"/>
                    </w:rPr>
                    <w:t>3</w:t>
                  </w:r>
                  <w:r>
                    <w:t>/d，富余252.64m</w:t>
                  </w:r>
                  <w:r>
                    <w:rPr>
                      <w:vertAlign w:val="superscript"/>
                    </w:rPr>
                    <w:t>3</w:t>
                  </w:r>
                  <w:r>
                    <w:t>/d，本项目污水排放量</w:t>
                  </w:r>
                  <w:r>
                    <w:rPr>
                      <w:rFonts w:hint="eastAsia"/>
                    </w:rPr>
                    <w:t>为</w:t>
                  </w:r>
                  <w:r>
                    <w:t>1.791m</w:t>
                  </w:r>
                  <w:r>
                    <w:rPr>
                      <w:vertAlign w:val="superscript"/>
                    </w:rPr>
                    <w:t>3</w:t>
                  </w:r>
                  <w:r>
                    <w:t>/d，</w:t>
                  </w:r>
                  <w:r>
                    <w:rPr>
                      <w:rFonts w:hint="eastAsia"/>
                    </w:rPr>
                    <w:t>本项目淀粉</w:t>
                  </w:r>
                  <w:r>
                    <w:t>废水经一体化处理设施处理达预处理标准</w:t>
                  </w:r>
                  <w:r>
                    <w:rPr>
                      <w:rFonts w:hint="eastAsia"/>
                    </w:rPr>
                    <w:t>后排入</w:t>
                  </w:r>
                  <w:r>
                    <w:t>污水处理站，</w:t>
                  </w:r>
                  <w:r>
                    <w:rPr>
                      <w:rFonts w:hint="eastAsia"/>
                    </w:rPr>
                    <w:t>排水满足</w:t>
                  </w:r>
                  <w:r>
                    <w:t>污水处理站进水水质标准，依托可行。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vAlign w:val="center"/>
                </w:tcPr>
                <w:p>
                  <w:pPr>
                    <w:pStyle w:val="34"/>
                    <w:jc w:val="left"/>
                  </w:pPr>
                  <w:r>
                    <w:rPr>
                      <w:rFonts w:hint="eastAsia"/>
                    </w:rPr>
                    <w:t>备注</w:t>
                  </w:r>
                  <w:r>
                    <w:t>：目前宜企健已取得项目环准书（渝（合）环准〔2023〕064号），待宜企健项目建设完成并通过环保验收后，本项目方可投产。项目依托的各环保设施运行管理主体责任由宜企健负责。</w:t>
                  </w:r>
                </w:p>
              </w:tc>
            </w:tr>
          </w:tbl>
          <w:p>
            <w:pPr>
              <w:spacing w:before="120" w:beforeLines="50"/>
              <w:ind w:firstLine="482"/>
              <w:rPr>
                <w:b/>
              </w:rPr>
            </w:pPr>
            <w:r>
              <w:rPr>
                <w:b/>
              </w:rPr>
              <w:t>6、主要生产设备</w:t>
            </w:r>
          </w:p>
          <w:p>
            <w:pPr>
              <w:ind w:firstLine="480"/>
            </w:pPr>
            <w:r>
              <w:rPr>
                <w:rFonts w:hint="eastAsia"/>
              </w:rPr>
              <w:t>本项目生产</w:t>
            </w:r>
            <w:r>
              <w:t>设施设备情况详见下表2-4。</w:t>
            </w:r>
          </w:p>
          <w:p>
            <w:pPr>
              <w:pStyle w:val="33"/>
              <w:spacing w:before="120"/>
            </w:pPr>
            <w:r>
              <w:t xml:space="preserve">表2-4   </w:t>
            </w:r>
            <w:r>
              <w:rPr>
                <w:rFonts w:hint="eastAsia"/>
              </w:rPr>
              <w:t>拟建项目</w:t>
            </w:r>
            <w:r>
              <w:t>主要生产设备清单</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07"/>
              <w:gridCol w:w="1743"/>
              <w:gridCol w:w="2325"/>
              <w:gridCol w:w="727"/>
              <w:gridCol w:w="727"/>
              <w:gridCol w:w="30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2" w:type="pct"/>
                  <w:vAlign w:val="center"/>
                </w:tcPr>
                <w:p>
                  <w:pPr>
                    <w:pStyle w:val="38"/>
                    <w:rPr>
                      <w:sz w:val="21"/>
                      <w:szCs w:val="21"/>
                      <w:lang w:eastAsia="zh-CN"/>
                    </w:rPr>
                  </w:pPr>
                  <w:r>
                    <w:rPr>
                      <w:sz w:val="21"/>
                      <w:szCs w:val="21"/>
                      <w:lang w:eastAsia="zh-CN"/>
                    </w:rPr>
                    <w:t>序号</w:t>
                  </w:r>
                </w:p>
              </w:tc>
              <w:tc>
                <w:tcPr>
                  <w:tcW w:w="942" w:type="pct"/>
                  <w:vAlign w:val="center"/>
                </w:tcPr>
                <w:p>
                  <w:pPr>
                    <w:pStyle w:val="38"/>
                    <w:rPr>
                      <w:sz w:val="21"/>
                      <w:szCs w:val="21"/>
                      <w:lang w:eastAsia="zh-CN"/>
                    </w:rPr>
                  </w:pPr>
                  <w:r>
                    <w:rPr>
                      <w:sz w:val="21"/>
                      <w:szCs w:val="21"/>
                      <w:lang w:eastAsia="zh-CN"/>
                    </w:rPr>
                    <w:t>设备名称</w:t>
                  </w:r>
                </w:p>
              </w:tc>
              <w:tc>
                <w:tcPr>
                  <w:tcW w:w="1256" w:type="pct"/>
                  <w:vAlign w:val="center"/>
                </w:tcPr>
                <w:p>
                  <w:pPr>
                    <w:pStyle w:val="38"/>
                    <w:rPr>
                      <w:sz w:val="21"/>
                      <w:szCs w:val="21"/>
                      <w:lang w:eastAsia="zh-CN"/>
                    </w:rPr>
                  </w:pPr>
                  <w:r>
                    <w:rPr>
                      <w:sz w:val="21"/>
                      <w:szCs w:val="21"/>
                      <w:lang w:eastAsia="zh-CN"/>
                    </w:rPr>
                    <w:t>设备型号</w:t>
                  </w:r>
                  <w:r>
                    <w:rPr>
                      <w:rFonts w:hint="eastAsia"/>
                      <w:sz w:val="21"/>
                      <w:szCs w:val="21"/>
                      <w:lang w:eastAsia="zh-CN"/>
                    </w:rPr>
                    <w:t>/规格参数</w:t>
                  </w:r>
                </w:p>
              </w:tc>
              <w:tc>
                <w:tcPr>
                  <w:tcW w:w="393" w:type="pct"/>
                  <w:vAlign w:val="center"/>
                </w:tcPr>
                <w:p>
                  <w:pPr>
                    <w:pStyle w:val="38"/>
                    <w:rPr>
                      <w:sz w:val="21"/>
                      <w:szCs w:val="21"/>
                      <w:lang w:eastAsia="zh-CN"/>
                    </w:rPr>
                  </w:pPr>
                  <w:r>
                    <w:rPr>
                      <w:sz w:val="21"/>
                      <w:szCs w:val="21"/>
                      <w:lang w:eastAsia="zh-CN"/>
                    </w:rPr>
                    <w:t>单位</w:t>
                  </w:r>
                </w:p>
              </w:tc>
              <w:tc>
                <w:tcPr>
                  <w:tcW w:w="393" w:type="pct"/>
                  <w:vAlign w:val="center"/>
                </w:tcPr>
                <w:p>
                  <w:pPr>
                    <w:pStyle w:val="38"/>
                    <w:rPr>
                      <w:sz w:val="21"/>
                      <w:szCs w:val="21"/>
                      <w:lang w:eastAsia="zh-CN"/>
                    </w:rPr>
                  </w:pPr>
                  <w:r>
                    <w:rPr>
                      <w:sz w:val="21"/>
                      <w:szCs w:val="21"/>
                      <w:lang w:eastAsia="zh-CN"/>
                    </w:rPr>
                    <w:t>数量</w:t>
                  </w:r>
                </w:p>
              </w:tc>
              <w:tc>
                <w:tcPr>
                  <w:tcW w:w="1634" w:type="pct"/>
                  <w:vAlign w:val="center"/>
                </w:tcPr>
                <w:p>
                  <w:pPr>
                    <w:pStyle w:val="38"/>
                    <w:rPr>
                      <w:sz w:val="21"/>
                      <w:szCs w:val="21"/>
                      <w:lang w:eastAsia="zh-CN"/>
                    </w:rPr>
                  </w:pPr>
                  <w:r>
                    <w:rPr>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6"/>
                  <w:vAlign w:val="center"/>
                </w:tcPr>
                <w:p>
                  <w:pPr>
                    <w:pStyle w:val="38"/>
                    <w:rPr>
                      <w:sz w:val="21"/>
                      <w:szCs w:val="21"/>
                      <w:lang w:eastAsia="zh-CN"/>
                    </w:rPr>
                  </w:pPr>
                  <w:r>
                    <w:rPr>
                      <w:rFonts w:hint="eastAsia"/>
                      <w:sz w:val="21"/>
                      <w:szCs w:val="21"/>
                      <w:lang w:eastAsia="zh-CN"/>
                    </w:rPr>
                    <w:t>苕皮</w:t>
                  </w:r>
                  <w:r>
                    <w:rPr>
                      <w:sz w:val="21"/>
                      <w:szCs w:val="21"/>
                      <w:lang w:eastAsia="zh-CN"/>
                    </w:rPr>
                    <w:t>生产</w:t>
                  </w:r>
                  <w:r>
                    <w:rPr>
                      <w:rFonts w:hint="eastAsia"/>
                      <w:sz w:val="21"/>
                      <w:szCs w:val="21"/>
                      <w:lang w:eastAsia="zh-CN"/>
                    </w:rPr>
                    <w:t>设施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2" w:type="pct"/>
                  <w:vAlign w:val="center"/>
                </w:tcPr>
                <w:p>
                  <w:pPr>
                    <w:pStyle w:val="38"/>
                    <w:rPr>
                      <w:sz w:val="21"/>
                      <w:szCs w:val="21"/>
                      <w:lang w:eastAsia="zh-CN"/>
                    </w:rPr>
                  </w:pPr>
                  <w:r>
                    <w:rPr>
                      <w:sz w:val="21"/>
                      <w:szCs w:val="21"/>
                      <w:lang w:eastAsia="zh-CN"/>
                    </w:rPr>
                    <w:t>1</w:t>
                  </w:r>
                </w:p>
              </w:tc>
              <w:tc>
                <w:tcPr>
                  <w:tcW w:w="942" w:type="pct"/>
                  <w:vAlign w:val="center"/>
                </w:tcPr>
                <w:p>
                  <w:pPr>
                    <w:pStyle w:val="38"/>
                    <w:rPr>
                      <w:sz w:val="21"/>
                      <w:szCs w:val="21"/>
                      <w:lang w:eastAsia="zh-CN"/>
                    </w:rPr>
                  </w:pPr>
                  <w:r>
                    <w:rPr>
                      <w:rFonts w:hint="eastAsia"/>
                      <w:sz w:val="21"/>
                      <w:szCs w:val="21"/>
                      <w:lang w:eastAsia="zh-CN"/>
                    </w:rPr>
                    <w:t>夹层锅</w:t>
                  </w:r>
                </w:p>
              </w:tc>
              <w:tc>
                <w:tcPr>
                  <w:tcW w:w="1256" w:type="pct"/>
                  <w:vAlign w:val="center"/>
                </w:tcPr>
                <w:p>
                  <w:pPr>
                    <w:pStyle w:val="38"/>
                    <w:rPr>
                      <w:sz w:val="21"/>
                      <w:szCs w:val="21"/>
                      <w:lang w:eastAsia="zh-CN"/>
                    </w:rPr>
                  </w:pPr>
                  <w:r>
                    <w:rPr>
                      <w:rFonts w:hint="eastAsia"/>
                      <w:sz w:val="21"/>
                      <w:szCs w:val="21"/>
                      <w:lang w:eastAsia="zh-CN"/>
                    </w:rPr>
                    <w:t>R2023-0489</w:t>
                  </w:r>
                </w:p>
              </w:tc>
              <w:tc>
                <w:tcPr>
                  <w:tcW w:w="393" w:type="pct"/>
                  <w:vAlign w:val="center"/>
                </w:tcPr>
                <w:p>
                  <w:pPr>
                    <w:pStyle w:val="38"/>
                    <w:rPr>
                      <w:sz w:val="21"/>
                      <w:szCs w:val="21"/>
                      <w:lang w:eastAsia="zh-CN"/>
                    </w:rPr>
                  </w:pPr>
                  <w:r>
                    <w:rPr>
                      <w:rFonts w:hint="eastAsia"/>
                      <w:sz w:val="21"/>
                      <w:szCs w:val="21"/>
                      <w:lang w:eastAsia="zh-CN"/>
                    </w:rPr>
                    <w:t>台</w:t>
                  </w:r>
                </w:p>
              </w:tc>
              <w:tc>
                <w:tcPr>
                  <w:tcW w:w="393" w:type="pct"/>
                  <w:vAlign w:val="center"/>
                </w:tcPr>
                <w:p>
                  <w:pPr>
                    <w:pStyle w:val="38"/>
                    <w:rPr>
                      <w:sz w:val="21"/>
                      <w:szCs w:val="21"/>
                      <w:lang w:eastAsia="zh-CN"/>
                    </w:rPr>
                  </w:pPr>
                  <w:r>
                    <w:rPr>
                      <w:rFonts w:hint="eastAsia"/>
                      <w:sz w:val="21"/>
                      <w:szCs w:val="21"/>
                      <w:lang w:eastAsia="zh-CN"/>
                    </w:rPr>
                    <w:t>1</w:t>
                  </w:r>
                </w:p>
              </w:tc>
              <w:tc>
                <w:tcPr>
                  <w:tcW w:w="1634" w:type="pct"/>
                  <w:vAlign w:val="center"/>
                </w:tcPr>
                <w:p>
                  <w:pPr>
                    <w:pStyle w:val="38"/>
                    <w:rPr>
                      <w:sz w:val="21"/>
                      <w:szCs w:val="21"/>
                      <w:lang w:eastAsia="zh-CN"/>
                    </w:rPr>
                  </w:pPr>
                  <w:r>
                    <w:rPr>
                      <w:rFonts w:hint="eastAsia"/>
                      <w:sz w:val="21"/>
                      <w:szCs w:val="21"/>
                      <w:lang w:eastAsia="zh-CN"/>
                    </w:rPr>
                    <w:t>苕皮勾芡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382" w:type="pct"/>
                  <w:vAlign w:val="center"/>
                </w:tcPr>
                <w:p>
                  <w:pPr>
                    <w:pStyle w:val="38"/>
                    <w:rPr>
                      <w:sz w:val="21"/>
                      <w:szCs w:val="21"/>
                      <w:lang w:eastAsia="zh-CN"/>
                    </w:rPr>
                  </w:pPr>
                  <w:r>
                    <w:rPr>
                      <w:rFonts w:hint="eastAsia"/>
                      <w:sz w:val="21"/>
                      <w:szCs w:val="21"/>
                      <w:lang w:eastAsia="zh-CN"/>
                    </w:rPr>
                    <w:t>2</w:t>
                  </w:r>
                </w:p>
              </w:tc>
              <w:tc>
                <w:tcPr>
                  <w:tcW w:w="942" w:type="pct"/>
                  <w:vAlign w:val="center"/>
                </w:tcPr>
                <w:p>
                  <w:pPr>
                    <w:pStyle w:val="38"/>
                    <w:rPr>
                      <w:sz w:val="21"/>
                      <w:szCs w:val="21"/>
                      <w:lang w:eastAsia="zh-CN"/>
                    </w:rPr>
                  </w:pPr>
                  <w:r>
                    <w:rPr>
                      <w:rFonts w:hint="eastAsia"/>
                      <w:sz w:val="21"/>
                      <w:szCs w:val="21"/>
                      <w:lang w:eastAsia="zh-CN"/>
                    </w:rPr>
                    <w:t>高速</w:t>
                  </w:r>
                  <w:r>
                    <w:rPr>
                      <w:sz w:val="21"/>
                      <w:szCs w:val="21"/>
                      <w:lang w:eastAsia="zh-CN"/>
                    </w:rPr>
                    <w:t>搅拌机</w:t>
                  </w:r>
                </w:p>
              </w:tc>
              <w:tc>
                <w:tcPr>
                  <w:tcW w:w="1256" w:type="pct"/>
                  <w:vAlign w:val="center"/>
                </w:tcPr>
                <w:p>
                  <w:pPr>
                    <w:pStyle w:val="38"/>
                    <w:rPr>
                      <w:sz w:val="21"/>
                      <w:szCs w:val="21"/>
                      <w:lang w:eastAsia="zh-CN"/>
                    </w:rPr>
                  </w:pPr>
                  <w:r>
                    <w:rPr>
                      <w:rFonts w:hint="eastAsia"/>
                      <w:sz w:val="21"/>
                      <w:szCs w:val="21"/>
                      <w:lang w:eastAsia="zh-CN"/>
                    </w:rPr>
                    <w:t>SY-</w:t>
                  </w:r>
                  <w:r>
                    <w:rPr>
                      <w:sz w:val="21"/>
                      <w:szCs w:val="21"/>
                      <w:lang w:eastAsia="zh-CN"/>
                    </w:rPr>
                    <w:t>5</w:t>
                  </w:r>
                  <w:r>
                    <w:rPr>
                      <w:rFonts w:hint="eastAsia"/>
                      <w:sz w:val="21"/>
                      <w:szCs w:val="21"/>
                      <w:lang w:eastAsia="zh-CN"/>
                    </w:rPr>
                    <w:t>000</w:t>
                  </w:r>
                </w:p>
              </w:tc>
              <w:tc>
                <w:tcPr>
                  <w:tcW w:w="393" w:type="pct"/>
                  <w:vAlign w:val="center"/>
                </w:tcPr>
                <w:p>
                  <w:pPr>
                    <w:pStyle w:val="38"/>
                    <w:rPr>
                      <w:sz w:val="21"/>
                      <w:szCs w:val="21"/>
                      <w:lang w:eastAsia="zh-CN"/>
                    </w:rPr>
                  </w:pPr>
                  <w:r>
                    <w:rPr>
                      <w:rFonts w:hint="eastAsia"/>
                      <w:sz w:val="21"/>
                      <w:szCs w:val="21"/>
                      <w:lang w:eastAsia="zh-CN"/>
                    </w:rPr>
                    <w:t>台</w:t>
                  </w:r>
                </w:p>
              </w:tc>
              <w:tc>
                <w:tcPr>
                  <w:tcW w:w="393" w:type="pct"/>
                  <w:vAlign w:val="center"/>
                </w:tcPr>
                <w:p>
                  <w:pPr>
                    <w:pStyle w:val="38"/>
                    <w:rPr>
                      <w:sz w:val="21"/>
                      <w:szCs w:val="21"/>
                      <w:lang w:eastAsia="zh-CN"/>
                    </w:rPr>
                  </w:pPr>
                  <w:r>
                    <w:rPr>
                      <w:rFonts w:hint="eastAsia"/>
                      <w:sz w:val="21"/>
                      <w:szCs w:val="21"/>
                      <w:lang w:eastAsia="zh-CN"/>
                    </w:rPr>
                    <w:t>1</w:t>
                  </w:r>
                </w:p>
              </w:tc>
              <w:tc>
                <w:tcPr>
                  <w:tcW w:w="1634" w:type="pct"/>
                  <w:vAlign w:val="center"/>
                </w:tcPr>
                <w:p>
                  <w:pPr>
                    <w:pStyle w:val="38"/>
                    <w:rPr>
                      <w:sz w:val="21"/>
                      <w:szCs w:val="21"/>
                      <w:lang w:eastAsia="zh-CN"/>
                    </w:rPr>
                  </w:pPr>
                  <w:r>
                    <w:rPr>
                      <w:rFonts w:hint="eastAsia"/>
                      <w:sz w:val="21"/>
                      <w:szCs w:val="21"/>
                      <w:lang w:eastAsia="zh-CN"/>
                    </w:rPr>
                    <w:t>淀粉</w:t>
                  </w:r>
                  <w:r>
                    <w:rPr>
                      <w:sz w:val="21"/>
                      <w:szCs w:val="21"/>
                      <w:lang w:eastAsia="zh-CN"/>
                    </w:rPr>
                    <w:t>搅拌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2" w:type="pct"/>
                  <w:vAlign w:val="center"/>
                </w:tcPr>
                <w:p>
                  <w:pPr>
                    <w:pStyle w:val="38"/>
                    <w:rPr>
                      <w:sz w:val="21"/>
                      <w:szCs w:val="21"/>
                      <w:lang w:eastAsia="zh-CN"/>
                    </w:rPr>
                  </w:pPr>
                  <w:r>
                    <w:rPr>
                      <w:rFonts w:hint="eastAsia"/>
                      <w:sz w:val="21"/>
                      <w:szCs w:val="21"/>
                      <w:lang w:eastAsia="zh-CN"/>
                    </w:rPr>
                    <w:t>3</w:t>
                  </w:r>
                </w:p>
              </w:tc>
              <w:tc>
                <w:tcPr>
                  <w:tcW w:w="942" w:type="pct"/>
                  <w:vAlign w:val="center"/>
                </w:tcPr>
                <w:p>
                  <w:pPr>
                    <w:pStyle w:val="38"/>
                    <w:rPr>
                      <w:sz w:val="21"/>
                      <w:szCs w:val="21"/>
                      <w:lang w:eastAsia="zh-CN"/>
                    </w:rPr>
                  </w:pPr>
                  <w:r>
                    <w:rPr>
                      <w:rFonts w:hint="eastAsia"/>
                      <w:sz w:val="21"/>
                      <w:szCs w:val="21"/>
                      <w:lang w:eastAsia="zh-CN"/>
                    </w:rPr>
                    <w:t>低速搅拌机</w:t>
                  </w:r>
                </w:p>
              </w:tc>
              <w:tc>
                <w:tcPr>
                  <w:tcW w:w="1256" w:type="pct"/>
                  <w:vAlign w:val="center"/>
                </w:tcPr>
                <w:p>
                  <w:pPr>
                    <w:pStyle w:val="38"/>
                    <w:rPr>
                      <w:sz w:val="21"/>
                      <w:szCs w:val="21"/>
                      <w:lang w:eastAsia="zh-CN"/>
                    </w:rPr>
                  </w:pPr>
                  <w:r>
                    <w:rPr>
                      <w:rFonts w:hint="eastAsia"/>
                      <w:sz w:val="21"/>
                      <w:szCs w:val="21"/>
                      <w:lang w:eastAsia="zh-CN"/>
                    </w:rPr>
                    <w:t>SY-3000</w:t>
                  </w:r>
                </w:p>
              </w:tc>
              <w:tc>
                <w:tcPr>
                  <w:tcW w:w="393" w:type="pct"/>
                  <w:vAlign w:val="center"/>
                </w:tcPr>
                <w:p>
                  <w:pPr>
                    <w:pStyle w:val="38"/>
                    <w:rPr>
                      <w:sz w:val="21"/>
                      <w:szCs w:val="21"/>
                      <w:lang w:eastAsia="zh-CN"/>
                    </w:rPr>
                  </w:pPr>
                  <w:r>
                    <w:rPr>
                      <w:rFonts w:hint="eastAsia"/>
                      <w:sz w:val="21"/>
                      <w:szCs w:val="21"/>
                      <w:lang w:eastAsia="zh-CN"/>
                    </w:rPr>
                    <w:t>台</w:t>
                  </w:r>
                </w:p>
              </w:tc>
              <w:tc>
                <w:tcPr>
                  <w:tcW w:w="393" w:type="pct"/>
                  <w:vAlign w:val="center"/>
                </w:tcPr>
                <w:p>
                  <w:pPr>
                    <w:pStyle w:val="38"/>
                    <w:rPr>
                      <w:sz w:val="21"/>
                      <w:szCs w:val="21"/>
                      <w:lang w:eastAsia="zh-CN"/>
                    </w:rPr>
                  </w:pPr>
                  <w:r>
                    <w:rPr>
                      <w:rFonts w:hint="eastAsia"/>
                      <w:sz w:val="21"/>
                      <w:szCs w:val="21"/>
                      <w:lang w:eastAsia="zh-CN"/>
                    </w:rPr>
                    <w:t>2</w:t>
                  </w:r>
                </w:p>
              </w:tc>
              <w:tc>
                <w:tcPr>
                  <w:tcW w:w="1634" w:type="pct"/>
                  <w:vAlign w:val="center"/>
                </w:tcPr>
                <w:p>
                  <w:pPr>
                    <w:pStyle w:val="38"/>
                    <w:rPr>
                      <w:sz w:val="21"/>
                      <w:szCs w:val="21"/>
                      <w:lang w:eastAsia="zh-CN"/>
                    </w:rPr>
                  </w:pPr>
                  <w:r>
                    <w:rPr>
                      <w:rFonts w:hint="eastAsia"/>
                      <w:sz w:val="21"/>
                      <w:szCs w:val="21"/>
                      <w:lang w:eastAsia="zh-CN"/>
                    </w:rPr>
                    <w:t>淀粉</w:t>
                  </w:r>
                  <w:r>
                    <w:rPr>
                      <w:sz w:val="21"/>
                      <w:szCs w:val="21"/>
                      <w:lang w:eastAsia="zh-CN"/>
                    </w:rPr>
                    <w:t>搅拌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2" w:type="pct"/>
                  <w:vAlign w:val="center"/>
                </w:tcPr>
                <w:p>
                  <w:pPr>
                    <w:pStyle w:val="38"/>
                    <w:rPr>
                      <w:sz w:val="21"/>
                      <w:szCs w:val="21"/>
                      <w:lang w:eastAsia="zh-CN"/>
                    </w:rPr>
                  </w:pPr>
                  <w:r>
                    <w:rPr>
                      <w:rFonts w:hint="eastAsia"/>
                      <w:sz w:val="21"/>
                      <w:szCs w:val="21"/>
                      <w:lang w:eastAsia="zh-CN"/>
                    </w:rPr>
                    <w:t>4</w:t>
                  </w:r>
                </w:p>
              </w:tc>
              <w:tc>
                <w:tcPr>
                  <w:tcW w:w="942" w:type="pct"/>
                  <w:vAlign w:val="center"/>
                </w:tcPr>
                <w:p>
                  <w:pPr>
                    <w:pStyle w:val="38"/>
                    <w:rPr>
                      <w:sz w:val="21"/>
                      <w:szCs w:val="21"/>
                      <w:lang w:eastAsia="zh-CN"/>
                    </w:rPr>
                  </w:pPr>
                  <w:r>
                    <w:rPr>
                      <w:rFonts w:hint="eastAsia"/>
                      <w:sz w:val="21"/>
                      <w:szCs w:val="21"/>
                      <w:lang w:eastAsia="zh-CN"/>
                    </w:rPr>
                    <w:t>多功能</w:t>
                  </w:r>
                  <w:r>
                    <w:rPr>
                      <w:sz w:val="21"/>
                      <w:szCs w:val="21"/>
                      <w:lang w:eastAsia="zh-CN"/>
                    </w:rPr>
                    <w:t>苕皮机</w:t>
                  </w:r>
                </w:p>
              </w:tc>
              <w:tc>
                <w:tcPr>
                  <w:tcW w:w="1256" w:type="pct"/>
                  <w:vAlign w:val="center"/>
                </w:tcPr>
                <w:p>
                  <w:pPr>
                    <w:pStyle w:val="38"/>
                    <w:rPr>
                      <w:sz w:val="21"/>
                      <w:szCs w:val="21"/>
                      <w:lang w:eastAsia="zh-CN"/>
                    </w:rPr>
                  </w:pPr>
                  <w:r>
                    <w:rPr>
                      <w:rFonts w:hint="eastAsia"/>
                      <w:sz w:val="21"/>
                      <w:szCs w:val="21"/>
                      <w:lang w:eastAsia="zh-CN"/>
                    </w:rPr>
                    <w:t>SY-1300</w:t>
                  </w:r>
                </w:p>
              </w:tc>
              <w:tc>
                <w:tcPr>
                  <w:tcW w:w="393" w:type="pct"/>
                  <w:vAlign w:val="center"/>
                </w:tcPr>
                <w:p>
                  <w:pPr>
                    <w:pStyle w:val="38"/>
                    <w:rPr>
                      <w:sz w:val="21"/>
                      <w:szCs w:val="21"/>
                      <w:lang w:eastAsia="zh-CN"/>
                    </w:rPr>
                  </w:pPr>
                  <w:r>
                    <w:rPr>
                      <w:rFonts w:hint="eastAsia"/>
                      <w:sz w:val="21"/>
                      <w:szCs w:val="21"/>
                      <w:lang w:eastAsia="zh-CN"/>
                    </w:rPr>
                    <w:t>台</w:t>
                  </w:r>
                </w:p>
              </w:tc>
              <w:tc>
                <w:tcPr>
                  <w:tcW w:w="393" w:type="pct"/>
                  <w:vAlign w:val="center"/>
                </w:tcPr>
                <w:p>
                  <w:pPr>
                    <w:pStyle w:val="38"/>
                    <w:rPr>
                      <w:sz w:val="21"/>
                      <w:szCs w:val="21"/>
                      <w:lang w:eastAsia="zh-CN"/>
                    </w:rPr>
                  </w:pPr>
                  <w:r>
                    <w:rPr>
                      <w:rFonts w:hint="eastAsia"/>
                      <w:sz w:val="21"/>
                      <w:szCs w:val="21"/>
                      <w:lang w:eastAsia="zh-CN"/>
                    </w:rPr>
                    <w:t>2</w:t>
                  </w:r>
                </w:p>
              </w:tc>
              <w:tc>
                <w:tcPr>
                  <w:tcW w:w="1634" w:type="pct"/>
                  <w:vAlign w:val="center"/>
                </w:tcPr>
                <w:p>
                  <w:pPr>
                    <w:pStyle w:val="38"/>
                    <w:rPr>
                      <w:sz w:val="21"/>
                      <w:szCs w:val="21"/>
                      <w:lang w:eastAsia="zh-CN"/>
                    </w:rPr>
                  </w:pPr>
                  <w:r>
                    <w:rPr>
                      <w:rFonts w:hint="eastAsia"/>
                      <w:sz w:val="21"/>
                      <w:szCs w:val="21"/>
                      <w:lang w:eastAsia="zh-CN"/>
                    </w:rPr>
                    <w:t>苕皮蒸煮</w:t>
                  </w:r>
                  <w:r>
                    <w:rPr>
                      <w:sz w:val="21"/>
                      <w:szCs w:val="21"/>
                      <w:lang w:eastAsia="zh-CN"/>
                    </w:rPr>
                    <w:t>成型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2" w:type="pct"/>
                  <w:vAlign w:val="center"/>
                </w:tcPr>
                <w:p>
                  <w:pPr>
                    <w:pStyle w:val="38"/>
                    <w:rPr>
                      <w:sz w:val="21"/>
                      <w:szCs w:val="21"/>
                      <w:lang w:eastAsia="zh-CN"/>
                    </w:rPr>
                  </w:pPr>
                  <w:r>
                    <w:rPr>
                      <w:rFonts w:hint="eastAsia"/>
                      <w:sz w:val="21"/>
                      <w:szCs w:val="21"/>
                      <w:lang w:eastAsia="zh-CN"/>
                    </w:rPr>
                    <w:t>5</w:t>
                  </w:r>
                </w:p>
              </w:tc>
              <w:tc>
                <w:tcPr>
                  <w:tcW w:w="942" w:type="pct"/>
                  <w:vAlign w:val="center"/>
                </w:tcPr>
                <w:p>
                  <w:pPr>
                    <w:pStyle w:val="38"/>
                    <w:rPr>
                      <w:sz w:val="21"/>
                      <w:szCs w:val="21"/>
                      <w:lang w:eastAsia="zh-CN"/>
                    </w:rPr>
                  </w:pPr>
                  <w:r>
                    <w:rPr>
                      <w:rFonts w:hint="eastAsia"/>
                      <w:sz w:val="21"/>
                      <w:szCs w:val="21"/>
                      <w:lang w:eastAsia="zh-CN"/>
                    </w:rPr>
                    <w:t>大冷库</w:t>
                  </w:r>
                </w:p>
              </w:tc>
              <w:tc>
                <w:tcPr>
                  <w:tcW w:w="1256" w:type="pct"/>
                  <w:vAlign w:val="center"/>
                </w:tcPr>
                <w:p>
                  <w:pPr>
                    <w:pStyle w:val="38"/>
                    <w:rPr>
                      <w:sz w:val="21"/>
                      <w:szCs w:val="21"/>
                      <w:lang w:eastAsia="zh-CN"/>
                    </w:rPr>
                  </w:pPr>
                  <w:r>
                    <w:rPr>
                      <w:rFonts w:hint="eastAsia"/>
                      <w:sz w:val="21"/>
                      <w:szCs w:val="21"/>
                      <w:lang w:eastAsia="zh-CN"/>
                    </w:rPr>
                    <w:t>8</w:t>
                  </w:r>
                  <w:r>
                    <w:rPr>
                      <w:sz w:val="21"/>
                      <w:szCs w:val="21"/>
                      <w:lang w:eastAsia="zh-CN"/>
                    </w:rPr>
                    <w:t>m</w:t>
                  </w:r>
                  <w:r>
                    <w:rPr>
                      <w:rFonts w:hint="eastAsia" w:ascii="宋体" w:hAnsi="宋体"/>
                      <w:sz w:val="21"/>
                      <w:szCs w:val="21"/>
                      <w:lang w:eastAsia="zh-CN"/>
                    </w:rPr>
                    <w:t>×</w:t>
                  </w:r>
                  <w:r>
                    <w:rPr>
                      <w:sz w:val="21"/>
                      <w:szCs w:val="21"/>
                      <w:lang w:eastAsia="zh-CN"/>
                    </w:rPr>
                    <w:t>4m</w:t>
                  </w:r>
                </w:p>
              </w:tc>
              <w:tc>
                <w:tcPr>
                  <w:tcW w:w="393" w:type="pct"/>
                  <w:vAlign w:val="center"/>
                </w:tcPr>
                <w:p>
                  <w:pPr>
                    <w:pStyle w:val="38"/>
                    <w:rPr>
                      <w:sz w:val="21"/>
                      <w:szCs w:val="21"/>
                      <w:lang w:eastAsia="zh-CN"/>
                    </w:rPr>
                  </w:pPr>
                  <w:r>
                    <w:rPr>
                      <w:rFonts w:hint="eastAsia"/>
                      <w:sz w:val="21"/>
                      <w:szCs w:val="21"/>
                      <w:lang w:eastAsia="zh-CN"/>
                    </w:rPr>
                    <w:t>座</w:t>
                  </w:r>
                </w:p>
              </w:tc>
              <w:tc>
                <w:tcPr>
                  <w:tcW w:w="393" w:type="pct"/>
                  <w:vAlign w:val="center"/>
                </w:tcPr>
                <w:p>
                  <w:pPr>
                    <w:pStyle w:val="38"/>
                    <w:rPr>
                      <w:sz w:val="21"/>
                      <w:szCs w:val="21"/>
                      <w:lang w:eastAsia="zh-CN"/>
                    </w:rPr>
                  </w:pPr>
                  <w:r>
                    <w:rPr>
                      <w:rFonts w:hint="eastAsia"/>
                      <w:sz w:val="21"/>
                      <w:szCs w:val="21"/>
                      <w:lang w:eastAsia="zh-CN"/>
                    </w:rPr>
                    <w:t>1</w:t>
                  </w:r>
                </w:p>
              </w:tc>
              <w:tc>
                <w:tcPr>
                  <w:tcW w:w="1634" w:type="pct"/>
                  <w:vAlign w:val="center"/>
                </w:tcPr>
                <w:p>
                  <w:pPr>
                    <w:pStyle w:val="38"/>
                    <w:rPr>
                      <w:sz w:val="21"/>
                      <w:szCs w:val="21"/>
                      <w:lang w:eastAsia="zh-CN"/>
                    </w:rPr>
                  </w:pPr>
                  <w:r>
                    <w:rPr>
                      <w:rFonts w:hint="eastAsia"/>
                      <w:sz w:val="21"/>
                      <w:szCs w:val="21"/>
                      <w:lang w:eastAsia="zh-CN"/>
                    </w:rPr>
                    <w:t>苕皮降温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382" w:type="pct"/>
                  <w:vAlign w:val="center"/>
                </w:tcPr>
                <w:p>
                  <w:pPr>
                    <w:pStyle w:val="38"/>
                    <w:rPr>
                      <w:sz w:val="21"/>
                      <w:szCs w:val="21"/>
                      <w:lang w:eastAsia="zh-CN"/>
                    </w:rPr>
                  </w:pPr>
                  <w:r>
                    <w:rPr>
                      <w:rFonts w:hint="eastAsia"/>
                      <w:sz w:val="21"/>
                      <w:szCs w:val="21"/>
                      <w:lang w:eastAsia="zh-CN"/>
                    </w:rPr>
                    <w:t>6</w:t>
                  </w:r>
                </w:p>
              </w:tc>
              <w:tc>
                <w:tcPr>
                  <w:tcW w:w="942" w:type="pct"/>
                  <w:vAlign w:val="center"/>
                </w:tcPr>
                <w:p>
                  <w:pPr>
                    <w:pStyle w:val="38"/>
                    <w:rPr>
                      <w:sz w:val="21"/>
                      <w:szCs w:val="21"/>
                      <w:lang w:eastAsia="zh-CN"/>
                    </w:rPr>
                  </w:pPr>
                  <w:r>
                    <w:rPr>
                      <w:rFonts w:hint="eastAsia"/>
                      <w:sz w:val="21"/>
                      <w:szCs w:val="21"/>
                      <w:lang w:eastAsia="zh-CN"/>
                    </w:rPr>
                    <w:t>真空</w:t>
                  </w:r>
                  <w:r>
                    <w:rPr>
                      <w:sz w:val="21"/>
                      <w:szCs w:val="21"/>
                      <w:lang w:eastAsia="zh-CN"/>
                    </w:rPr>
                    <w:t>包装机</w:t>
                  </w:r>
                </w:p>
              </w:tc>
              <w:tc>
                <w:tcPr>
                  <w:tcW w:w="1256" w:type="pct"/>
                  <w:vAlign w:val="center"/>
                </w:tcPr>
                <w:p>
                  <w:pPr>
                    <w:pStyle w:val="38"/>
                    <w:rPr>
                      <w:sz w:val="21"/>
                      <w:szCs w:val="21"/>
                      <w:lang w:eastAsia="zh-CN"/>
                    </w:rPr>
                  </w:pPr>
                  <w:r>
                    <w:rPr>
                      <w:rFonts w:hint="eastAsia"/>
                      <w:sz w:val="21"/>
                      <w:szCs w:val="21"/>
                      <w:lang w:eastAsia="zh-CN"/>
                    </w:rPr>
                    <w:t>1</w:t>
                  </w:r>
                  <w:r>
                    <w:rPr>
                      <w:sz w:val="21"/>
                      <w:szCs w:val="21"/>
                      <w:lang w:eastAsia="zh-CN"/>
                    </w:rPr>
                    <w:t>.4</w:t>
                  </w:r>
                  <w:r>
                    <w:rPr>
                      <w:rFonts w:hint="eastAsia" w:ascii="宋体" w:hAnsi="宋体"/>
                      <w:sz w:val="21"/>
                      <w:szCs w:val="21"/>
                      <w:lang w:eastAsia="zh-CN"/>
                    </w:rPr>
                    <w:t>×</w:t>
                  </w:r>
                  <w:r>
                    <w:rPr>
                      <w:sz w:val="21"/>
                      <w:szCs w:val="21"/>
                      <w:lang w:eastAsia="zh-CN"/>
                    </w:rPr>
                    <w:t>0.6m</w:t>
                  </w:r>
                </w:p>
              </w:tc>
              <w:tc>
                <w:tcPr>
                  <w:tcW w:w="393" w:type="pct"/>
                  <w:vAlign w:val="center"/>
                </w:tcPr>
                <w:p>
                  <w:pPr>
                    <w:pStyle w:val="38"/>
                    <w:rPr>
                      <w:sz w:val="21"/>
                      <w:szCs w:val="21"/>
                      <w:lang w:eastAsia="zh-CN"/>
                    </w:rPr>
                  </w:pPr>
                  <w:r>
                    <w:rPr>
                      <w:rFonts w:hint="eastAsia"/>
                      <w:sz w:val="21"/>
                      <w:szCs w:val="21"/>
                      <w:lang w:eastAsia="zh-CN"/>
                    </w:rPr>
                    <w:t>台</w:t>
                  </w:r>
                </w:p>
              </w:tc>
              <w:tc>
                <w:tcPr>
                  <w:tcW w:w="393" w:type="pct"/>
                  <w:vAlign w:val="center"/>
                </w:tcPr>
                <w:p>
                  <w:pPr>
                    <w:pStyle w:val="38"/>
                    <w:rPr>
                      <w:sz w:val="21"/>
                      <w:szCs w:val="21"/>
                      <w:lang w:eastAsia="zh-CN"/>
                    </w:rPr>
                  </w:pPr>
                  <w:r>
                    <w:rPr>
                      <w:sz w:val="21"/>
                      <w:szCs w:val="21"/>
                      <w:lang w:eastAsia="zh-CN"/>
                    </w:rPr>
                    <w:t>3</w:t>
                  </w:r>
                </w:p>
              </w:tc>
              <w:tc>
                <w:tcPr>
                  <w:tcW w:w="1634" w:type="pct"/>
                  <w:vAlign w:val="center"/>
                </w:tcPr>
                <w:p>
                  <w:pPr>
                    <w:pStyle w:val="38"/>
                    <w:rPr>
                      <w:sz w:val="21"/>
                      <w:szCs w:val="21"/>
                      <w:lang w:eastAsia="zh-CN"/>
                    </w:rPr>
                  </w:pPr>
                  <w:r>
                    <w:rPr>
                      <w:rFonts w:hint="eastAsia"/>
                      <w:sz w:val="21"/>
                      <w:szCs w:val="21"/>
                      <w:lang w:eastAsia="zh-CN"/>
                    </w:rPr>
                    <w:t>苕皮包装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6"/>
                  <w:vAlign w:val="center"/>
                </w:tcPr>
                <w:p>
                  <w:pPr>
                    <w:pStyle w:val="38"/>
                    <w:rPr>
                      <w:sz w:val="21"/>
                      <w:szCs w:val="21"/>
                      <w:lang w:eastAsia="zh-CN"/>
                    </w:rPr>
                  </w:pPr>
                  <w:r>
                    <w:rPr>
                      <w:rFonts w:hint="eastAsia"/>
                      <w:sz w:val="21"/>
                      <w:szCs w:val="21"/>
                      <w:lang w:eastAsia="zh-CN"/>
                    </w:rPr>
                    <w:t>卤豆干</w:t>
                  </w:r>
                  <w:r>
                    <w:rPr>
                      <w:sz w:val="21"/>
                      <w:szCs w:val="21"/>
                      <w:lang w:eastAsia="zh-CN"/>
                    </w:rPr>
                    <w:t>生产</w:t>
                  </w:r>
                  <w:r>
                    <w:rPr>
                      <w:rFonts w:hint="eastAsia"/>
                      <w:sz w:val="21"/>
                      <w:szCs w:val="21"/>
                      <w:lang w:eastAsia="zh-CN"/>
                    </w:rPr>
                    <w:t>设施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2" w:type="pct"/>
                  <w:vAlign w:val="center"/>
                </w:tcPr>
                <w:p>
                  <w:pPr>
                    <w:pStyle w:val="38"/>
                    <w:rPr>
                      <w:sz w:val="21"/>
                      <w:szCs w:val="21"/>
                      <w:lang w:eastAsia="zh-CN"/>
                    </w:rPr>
                  </w:pPr>
                  <w:r>
                    <w:rPr>
                      <w:rFonts w:hint="eastAsia"/>
                      <w:sz w:val="21"/>
                      <w:szCs w:val="21"/>
                      <w:lang w:eastAsia="zh-CN"/>
                    </w:rPr>
                    <w:t>7</w:t>
                  </w:r>
                </w:p>
              </w:tc>
              <w:tc>
                <w:tcPr>
                  <w:tcW w:w="942" w:type="pct"/>
                  <w:vAlign w:val="center"/>
                </w:tcPr>
                <w:p>
                  <w:pPr>
                    <w:pStyle w:val="38"/>
                    <w:rPr>
                      <w:sz w:val="21"/>
                      <w:szCs w:val="21"/>
                      <w:lang w:eastAsia="zh-CN"/>
                    </w:rPr>
                  </w:pPr>
                  <w:r>
                    <w:rPr>
                      <w:rFonts w:hint="eastAsia"/>
                      <w:sz w:val="21"/>
                      <w:szCs w:val="21"/>
                      <w:lang w:eastAsia="zh-CN"/>
                    </w:rPr>
                    <w:t>卤制煮锅</w:t>
                  </w:r>
                </w:p>
              </w:tc>
              <w:tc>
                <w:tcPr>
                  <w:tcW w:w="1256" w:type="pct"/>
                  <w:vAlign w:val="center"/>
                </w:tcPr>
                <w:p>
                  <w:pPr>
                    <w:pStyle w:val="38"/>
                    <w:rPr>
                      <w:sz w:val="21"/>
                      <w:szCs w:val="21"/>
                      <w:lang w:eastAsia="zh-CN"/>
                    </w:rPr>
                  </w:pPr>
                  <w:r>
                    <w:rPr>
                      <w:rFonts w:hint="eastAsia"/>
                      <w:sz w:val="21"/>
                      <w:szCs w:val="21"/>
                      <w:lang w:eastAsia="zh-CN"/>
                    </w:rPr>
                    <w:t>LZ-600</w:t>
                  </w:r>
                </w:p>
              </w:tc>
              <w:tc>
                <w:tcPr>
                  <w:tcW w:w="393" w:type="pct"/>
                  <w:vAlign w:val="center"/>
                </w:tcPr>
                <w:p>
                  <w:pPr>
                    <w:pStyle w:val="38"/>
                    <w:rPr>
                      <w:sz w:val="21"/>
                      <w:szCs w:val="21"/>
                      <w:lang w:eastAsia="zh-CN"/>
                    </w:rPr>
                  </w:pPr>
                  <w:r>
                    <w:rPr>
                      <w:rFonts w:hint="eastAsia"/>
                      <w:sz w:val="21"/>
                      <w:szCs w:val="21"/>
                      <w:lang w:eastAsia="zh-CN"/>
                    </w:rPr>
                    <w:t>台</w:t>
                  </w:r>
                </w:p>
              </w:tc>
              <w:tc>
                <w:tcPr>
                  <w:tcW w:w="393" w:type="pct"/>
                  <w:vAlign w:val="center"/>
                </w:tcPr>
                <w:p>
                  <w:pPr>
                    <w:pStyle w:val="38"/>
                    <w:rPr>
                      <w:sz w:val="21"/>
                      <w:szCs w:val="21"/>
                      <w:lang w:eastAsia="zh-CN"/>
                    </w:rPr>
                  </w:pPr>
                  <w:r>
                    <w:rPr>
                      <w:sz w:val="21"/>
                      <w:szCs w:val="21"/>
                      <w:lang w:eastAsia="zh-CN"/>
                    </w:rPr>
                    <w:t>2</w:t>
                  </w:r>
                </w:p>
              </w:tc>
              <w:tc>
                <w:tcPr>
                  <w:tcW w:w="1634" w:type="pct"/>
                  <w:vAlign w:val="center"/>
                </w:tcPr>
                <w:p>
                  <w:pPr>
                    <w:pStyle w:val="38"/>
                    <w:rPr>
                      <w:sz w:val="21"/>
                      <w:szCs w:val="21"/>
                      <w:lang w:eastAsia="zh-CN"/>
                    </w:rPr>
                  </w:pPr>
                  <w:r>
                    <w:rPr>
                      <w:rFonts w:hint="eastAsia"/>
                      <w:sz w:val="21"/>
                      <w:szCs w:val="21"/>
                      <w:lang w:eastAsia="zh-CN"/>
                    </w:rPr>
                    <w:t>豆干</w:t>
                  </w:r>
                  <w:r>
                    <w:rPr>
                      <w:sz w:val="21"/>
                      <w:szCs w:val="21"/>
                      <w:lang w:eastAsia="zh-CN"/>
                    </w:rPr>
                    <w:t>卤制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2" w:type="pct"/>
                  <w:vAlign w:val="center"/>
                </w:tcPr>
                <w:p>
                  <w:pPr>
                    <w:pStyle w:val="38"/>
                    <w:rPr>
                      <w:sz w:val="21"/>
                      <w:szCs w:val="21"/>
                      <w:lang w:eastAsia="zh-CN"/>
                    </w:rPr>
                  </w:pPr>
                  <w:r>
                    <w:rPr>
                      <w:rFonts w:hint="eastAsia"/>
                      <w:sz w:val="21"/>
                      <w:szCs w:val="21"/>
                      <w:lang w:eastAsia="zh-CN"/>
                    </w:rPr>
                    <w:t>8</w:t>
                  </w:r>
                </w:p>
              </w:tc>
              <w:tc>
                <w:tcPr>
                  <w:tcW w:w="942" w:type="pct"/>
                  <w:vAlign w:val="center"/>
                </w:tcPr>
                <w:p>
                  <w:pPr>
                    <w:pStyle w:val="38"/>
                    <w:rPr>
                      <w:sz w:val="21"/>
                      <w:szCs w:val="21"/>
                      <w:lang w:eastAsia="zh-CN"/>
                    </w:rPr>
                  </w:pPr>
                  <w:r>
                    <w:rPr>
                      <w:rFonts w:hint="eastAsia"/>
                      <w:sz w:val="21"/>
                      <w:szCs w:val="21"/>
                      <w:lang w:eastAsia="zh-CN"/>
                    </w:rPr>
                    <w:t>摊凉架</w:t>
                  </w:r>
                </w:p>
              </w:tc>
              <w:tc>
                <w:tcPr>
                  <w:tcW w:w="1256" w:type="pct"/>
                  <w:vAlign w:val="center"/>
                </w:tcPr>
                <w:p>
                  <w:pPr>
                    <w:pStyle w:val="38"/>
                    <w:rPr>
                      <w:sz w:val="21"/>
                      <w:szCs w:val="21"/>
                      <w:lang w:eastAsia="zh-CN"/>
                    </w:rPr>
                  </w:pPr>
                  <w:r>
                    <w:rPr>
                      <w:rFonts w:hint="eastAsia"/>
                      <w:sz w:val="21"/>
                      <w:szCs w:val="21"/>
                      <w:lang w:eastAsia="zh-CN"/>
                    </w:rPr>
                    <w:t>TL-1400</w:t>
                  </w:r>
                </w:p>
              </w:tc>
              <w:tc>
                <w:tcPr>
                  <w:tcW w:w="393" w:type="pct"/>
                  <w:vAlign w:val="center"/>
                </w:tcPr>
                <w:p>
                  <w:pPr>
                    <w:pStyle w:val="38"/>
                    <w:rPr>
                      <w:sz w:val="21"/>
                      <w:szCs w:val="21"/>
                      <w:lang w:eastAsia="zh-CN"/>
                    </w:rPr>
                  </w:pPr>
                  <w:r>
                    <w:rPr>
                      <w:rFonts w:hint="eastAsia"/>
                      <w:sz w:val="21"/>
                      <w:szCs w:val="21"/>
                      <w:lang w:eastAsia="zh-CN"/>
                    </w:rPr>
                    <w:t>台</w:t>
                  </w:r>
                </w:p>
              </w:tc>
              <w:tc>
                <w:tcPr>
                  <w:tcW w:w="393" w:type="pct"/>
                  <w:vAlign w:val="center"/>
                </w:tcPr>
                <w:p>
                  <w:pPr>
                    <w:pStyle w:val="38"/>
                    <w:rPr>
                      <w:sz w:val="21"/>
                      <w:szCs w:val="21"/>
                      <w:lang w:eastAsia="zh-CN"/>
                    </w:rPr>
                  </w:pPr>
                  <w:r>
                    <w:rPr>
                      <w:sz w:val="21"/>
                      <w:szCs w:val="21"/>
                      <w:lang w:eastAsia="zh-CN"/>
                    </w:rPr>
                    <w:t>2</w:t>
                  </w:r>
                </w:p>
              </w:tc>
              <w:tc>
                <w:tcPr>
                  <w:tcW w:w="1634" w:type="pct"/>
                  <w:vAlign w:val="center"/>
                </w:tcPr>
                <w:p>
                  <w:pPr>
                    <w:pStyle w:val="38"/>
                    <w:rPr>
                      <w:sz w:val="21"/>
                      <w:szCs w:val="21"/>
                      <w:lang w:eastAsia="zh-CN"/>
                    </w:rPr>
                  </w:pPr>
                  <w:r>
                    <w:rPr>
                      <w:rFonts w:hint="eastAsia"/>
                      <w:sz w:val="21"/>
                      <w:szCs w:val="21"/>
                      <w:lang w:eastAsia="zh-CN"/>
                    </w:rPr>
                    <w:t>豆干摊凉分拣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382" w:type="pct"/>
                  <w:vAlign w:val="center"/>
                </w:tcPr>
                <w:p>
                  <w:pPr>
                    <w:pStyle w:val="38"/>
                    <w:rPr>
                      <w:sz w:val="21"/>
                      <w:szCs w:val="21"/>
                      <w:lang w:eastAsia="zh-CN"/>
                    </w:rPr>
                  </w:pPr>
                  <w:r>
                    <w:rPr>
                      <w:rFonts w:hint="eastAsia"/>
                      <w:sz w:val="21"/>
                      <w:szCs w:val="21"/>
                      <w:lang w:eastAsia="zh-CN"/>
                    </w:rPr>
                    <w:t>9</w:t>
                  </w:r>
                </w:p>
              </w:tc>
              <w:tc>
                <w:tcPr>
                  <w:tcW w:w="942" w:type="pct"/>
                  <w:vAlign w:val="center"/>
                </w:tcPr>
                <w:p>
                  <w:pPr>
                    <w:pStyle w:val="38"/>
                    <w:rPr>
                      <w:sz w:val="21"/>
                      <w:szCs w:val="21"/>
                      <w:lang w:eastAsia="zh-CN"/>
                    </w:rPr>
                  </w:pPr>
                  <w:r>
                    <w:rPr>
                      <w:rFonts w:hint="eastAsia"/>
                      <w:sz w:val="21"/>
                      <w:szCs w:val="21"/>
                      <w:lang w:eastAsia="zh-CN"/>
                    </w:rPr>
                    <w:t>真空</w:t>
                  </w:r>
                  <w:r>
                    <w:rPr>
                      <w:sz w:val="21"/>
                      <w:szCs w:val="21"/>
                      <w:lang w:eastAsia="zh-CN"/>
                    </w:rPr>
                    <w:t>包装机</w:t>
                  </w:r>
                </w:p>
              </w:tc>
              <w:tc>
                <w:tcPr>
                  <w:tcW w:w="1256" w:type="pct"/>
                  <w:vAlign w:val="center"/>
                </w:tcPr>
                <w:p>
                  <w:pPr>
                    <w:pStyle w:val="38"/>
                    <w:rPr>
                      <w:sz w:val="21"/>
                      <w:szCs w:val="21"/>
                      <w:lang w:eastAsia="zh-CN"/>
                    </w:rPr>
                  </w:pPr>
                  <w:r>
                    <w:rPr>
                      <w:rFonts w:hint="eastAsia"/>
                      <w:sz w:val="21"/>
                      <w:szCs w:val="21"/>
                      <w:lang w:eastAsia="zh-CN"/>
                    </w:rPr>
                    <w:t>1</w:t>
                  </w:r>
                  <w:r>
                    <w:rPr>
                      <w:sz w:val="21"/>
                      <w:szCs w:val="21"/>
                      <w:lang w:eastAsia="zh-CN"/>
                    </w:rPr>
                    <w:t>.4</w:t>
                  </w:r>
                  <w:r>
                    <w:rPr>
                      <w:rFonts w:hint="eastAsia" w:ascii="宋体" w:hAnsi="宋体"/>
                      <w:sz w:val="21"/>
                      <w:szCs w:val="21"/>
                      <w:lang w:eastAsia="zh-CN"/>
                    </w:rPr>
                    <w:t>×</w:t>
                  </w:r>
                  <w:r>
                    <w:rPr>
                      <w:sz w:val="21"/>
                      <w:szCs w:val="21"/>
                      <w:lang w:eastAsia="zh-CN"/>
                    </w:rPr>
                    <w:t>0.6m</w:t>
                  </w:r>
                </w:p>
              </w:tc>
              <w:tc>
                <w:tcPr>
                  <w:tcW w:w="393" w:type="pct"/>
                  <w:vAlign w:val="center"/>
                </w:tcPr>
                <w:p>
                  <w:pPr>
                    <w:pStyle w:val="38"/>
                    <w:rPr>
                      <w:sz w:val="21"/>
                      <w:szCs w:val="21"/>
                      <w:lang w:eastAsia="zh-CN"/>
                    </w:rPr>
                  </w:pPr>
                  <w:r>
                    <w:rPr>
                      <w:rFonts w:hint="eastAsia"/>
                      <w:sz w:val="21"/>
                      <w:szCs w:val="21"/>
                      <w:lang w:eastAsia="zh-CN"/>
                    </w:rPr>
                    <w:t>台</w:t>
                  </w:r>
                </w:p>
              </w:tc>
              <w:tc>
                <w:tcPr>
                  <w:tcW w:w="393" w:type="pct"/>
                  <w:vAlign w:val="center"/>
                </w:tcPr>
                <w:p>
                  <w:pPr>
                    <w:pStyle w:val="38"/>
                    <w:rPr>
                      <w:sz w:val="21"/>
                      <w:szCs w:val="21"/>
                      <w:lang w:eastAsia="zh-CN"/>
                    </w:rPr>
                  </w:pPr>
                  <w:r>
                    <w:rPr>
                      <w:rFonts w:hint="eastAsia"/>
                      <w:sz w:val="21"/>
                      <w:szCs w:val="21"/>
                      <w:lang w:eastAsia="zh-CN"/>
                    </w:rPr>
                    <w:t>1</w:t>
                  </w:r>
                </w:p>
              </w:tc>
              <w:tc>
                <w:tcPr>
                  <w:tcW w:w="1634" w:type="pct"/>
                  <w:tcBorders>
                    <w:bottom w:val="single" w:color="auto" w:sz="4" w:space="0"/>
                  </w:tcBorders>
                  <w:vAlign w:val="center"/>
                </w:tcPr>
                <w:p>
                  <w:pPr>
                    <w:pStyle w:val="38"/>
                    <w:rPr>
                      <w:sz w:val="21"/>
                      <w:szCs w:val="21"/>
                      <w:lang w:eastAsia="zh-CN"/>
                    </w:rPr>
                  </w:pPr>
                  <w:r>
                    <w:rPr>
                      <w:rFonts w:hint="eastAsia"/>
                      <w:sz w:val="21"/>
                      <w:szCs w:val="21"/>
                      <w:lang w:eastAsia="zh-CN"/>
                    </w:rPr>
                    <w:t>豆干包装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6"/>
                  <w:vAlign w:val="center"/>
                </w:tcPr>
                <w:p>
                  <w:pPr>
                    <w:pStyle w:val="38"/>
                    <w:rPr>
                      <w:sz w:val="21"/>
                      <w:szCs w:val="21"/>
                      <w:lang w:eastAsia="zh-CN"/>
                    </w:rPr>
                  </w:pPr>
                  <w:r>
                    <w:rPr>
                      <w:rFonts w:hint="eastAsia"/>
                      <w:sz w:val="21"/>
                      <w:szCs w:val="21"/>
                      <w:lang w:eastAsia="zh-CN"/>
                    </w:rPr>
                    <w:t>辅助生产</w:t>
                  </w:r>
                  <w:r>
                    <w:rPr>
                      <w:sz w:val="21"/>
                      <w:szCs w:val="21"/>
                      <w:lang w:eastAsia="zh-CN"/>
                    </w:rPr>
                    <w:t>设施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2" w:type="pct"/>
                  <w:vAlign w:val="center"/>
                </w:tcPr>
                <w:p>
                  <w:pPr>
                    <w:pStyle w:val="38"/>
                    <w:rPr>
                      <w:sz w:val="21"/>
                      <w:szCs w:val="21"/>
                      <w:lang w:eastAsia="zh-CN"/>
                    </w:rPr>
                  </w:pPr>
                  <w:r>
                    <w:rPr>
                      <w:rFonts w:hint="eastAsia"/>
                      <w:sz w:val="21"/>
                      <w:szCs w:val="21"/>
                      <w:lang w:eastAsia="zh-CN"/>
                    </w:rPr>
                    <w:t>10</w:t>
                  </w:r>
                </w:p>
              </w:tc>
              <w:tc>
                <w:tcPr>
                  <w:tcW w:w="942" w:type="pct"/>
                  <w:vAlign w:val="center"/>
                </w:tcPr>
                <w:p>
                  <w:pPr>
                    <w:pStyle w:val="38"/>
                    <w:rPr>
                      <w:sz w:val="21"/>
                      <w:szCs w:val="21"/>
                      <w:lang w:eastAsia="zh-CN"/>
                    </w:rPr>
                  </w:pPr>
                  <w:r>
                    <w:rPr>
                      <w:rFonts w:hint="eastAsia"/>
                      <w:sz w:val="21"/>
                      <w:szCs w:val="21"/>
                      <w:lang w:eastAsia="zh-CN"/>
                    </w:rPr>
                    <w:t>包材消毒</w:t>
                  </w:r>
                  <w:r>
                    <w:rPr>
                      <w:sz w:val="21"/>
                      <w:szCs w:val="21"/>
                      <w:lang w:eastAsia="zh-CN"/>
                    </w:rPr>
                    <w:t>柜</w:t>
                  </w:r>
                </w:p>
              </w:tc>
              <w:tc>
                <w:tcPr>
                  <w:tcW w:w="1256" w:type="pct"/>
                  <w:vAlign w:val="center"/>
                </w:tcPr>
                <w:p>
                  <w:pPr>
                    <w:pStyle w:val="38"/>
                    <w:rPr>
                      <w:sz w:val="21"/>
                      <w:szCs w:val="21"/>
                      <w:lang w:eastAsia="zh-CN"/>
                    </w:rPr>
                  </w:pPr>
                  <w:r>
                    <w:rPr>
                      <w:rFonts w:hint="eastAsia"/>
                      <w:sz w:val="21"/>
                      <w:szCs w:val="21"/>
                      <w:lang w:eastAsia="zh-CN"/>
                    </w:rPr>
                    <w:t>/</w:t>
                  </w:r>
                </w:p>
              </w:tc>
              <w:tc>
                <w:tcPr>
                  <w:tcW w:w="393" w:type="pct"/>
                  <w:vAlign w:val="center"/>
                </w:tcPr>
                <w:p>
                  <w:pPr>
                    <w:pStyle w:val="38"/>
                    <w:rPr>
                      <w:sz w:val="21"/>
                      <w:szCs w:val="21"/>
                      <w:lang w:eastAsia="zh-CN"/>
                    </w:rPr>
                  </w:pPr>
                  <w:r>
                    <w:rPr>
                      <w:rFonts w:hint="eastAsia"/>
                      <w:sz w:val="21"/>
                      <w:szCs w:val="21"/>
                      <w:lang w:eastAsia="zh-CN"/>
                    </w:rPr>
                    <w:t>个</w:t>
                  </w:r>
                </w:p>
              </w:tc>
              <w:tc>
                <w:tcPr>
                  <w:tcW w:w="393" w:type="pct"/>
                  <w:vAlign w:val="center"/>
                </w:tcPr>
                <w:p>
                  <w:pPr>
                    <w:pStyle w:val="38"/>
                    <w:rPr>
                      <w:sz w:val="21"/>
                      <w:szCs w:val="21"/>
                      <w:lang w:eastAsia="zh-CN"/>
                    </w:rPr>
                  </w:pPr>
                  <w:r>
                    <w:rPr>
                      <w:sz w:val="21"/>
                      <w:szCs w:val="21"/>
                      <w:lang w:eastAsia="zh-CN"/>
                    </w:rPr>
                    <w:t>2</w:t>
                  </w:r>
                </w:p>
              </w:tc>
              <w:tc>
                <w:tcPr>
                  <w:tcW w:w="1634" w:type="pct"/>
                  <w:vAlign w:val="center"/>
                </w:tcPr>
                <w:p>
                  <w:pPr>
                    <w:pStyle w:val="38"/>
                    <w:rPr>
                      <w:sz w:val="21"/>
                      <w:szCs w:val="21"/>
                      <w:lang w:eastAsia="zh-CN"/>
                    </w:rPr>
                  </w:pPr>
                  <w:r>
                    <w:rPr>
                      <w:rFonts w:hint="eastAsia"/>
                      <w:sz w:val="21"/>
                      <w:szCs w:val="21"/>
                      <w:lang w:eastAsia="zh-CN"/>
                    </w:rPr>
                    <w:t>包装</w:t>
                  </w:r>
                  <w:r>
                    <w:rPr>
                      <w:sz w:val="21"/>
                      <w:szCs w:val="21"/>
                      <w:lang w:eastAsia="zh-CN"/>
                    </w:rPr>
                    <w:t>材料</w:t>
                  </w:r>
                  <w:r>
                    <w:rPr>
                      <w:rFonts w:hint="eastAsia"/>
                      <w:sz w:val="21"/>
                      <w:szCs w:val="21"/>
                      <w:lang w:eastAsia="zh-CN"/>
                    </w:rPr>
                    <w:t>紫外</w:t>
                  </w:r>
                  <w:r>
                    <w:rPr>
                      <w:sz w:val="21"/>
                      <w:szCs w:val="21"/>
                      <w:lang w:eastAsia="zh-CN"/>
                    </w:rPr>
                    <w:t>杀菌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2" w:type="pct"/>
                  <w:vAlign w:val="center"/>
                </w:tcPr>
                <w:p>
                  <w:pPr>
                    <w:pStyle w:val="38"/>
                    <w:rPr>
                      <w:sz w:val="21"/>
                      <w:szCs w:val="21"/>
                      <w:lang w:eastAsia="zh-CN"/>
                    </w:rPr>
                  </w:pPr>
                  <w:r>
                    <w:rPr>
                      <w:rFonts w:hint="eastAsia"/>
                      <w:sz w:val="21"/>
                      <w:szCs w:val="21"/>
                      <w:lang w:eastAsia="zh-CN"/>
                    </w:rPr>
                    <w:t>11</w:t>
                  </w:r>
                </w:p>
              </w:tc>
              <w:tc>
                <w:tcPr>
                  <w:tcW w:w="942" w:type="pct"/>
                  <w:vAlign w:val="center"/>
                </w:tcPr>
                <w:p>
                  <w:pPr>
                    <w:pStyle w:val="38"/>
                    <w:rPr>
                      <w:sz w:val="21"/>
                      <w:szCs w:val="21"/>
                      <w:lang w:eastAsia="zh-CN"/>
                    </w:rPr>
                  </w:pPr>
                  <w:r>
                    <w:rPr>
                      <w:rFonts w:hint="eastAsia"/>
                      <w:sz w:val="21"/>
                      <w:szCs w:val="21"/>
                      <w:lang w:eastAsia="zh-CN"/>
                    </w:rPr>
                    <w:t>天平</w:t>
                  </w:r>
                </w:p>
              </w:tc>
              <w:tc>
                <w:tcPr>
                  <w:tcW w:w="1256" w:type="pct"/>
                  <w:vAlign w:val="center"/>
                </w:tcPr>
                <w:p>
                  <w:pPr>
                    <w:pStyle w:val="38"/>
                    <w:rPr>
                      <w:sz w:val="21"/>
                      <w:szCs w:val="21"/>
                      <w:lang w:eastAsia="zh-CN"/>
                    </w:rPr>
                  </w:pPr>
                  <w:r>
                    <w:rPr>
                      <w:sz w:val="21"/>
                      <w:szCs w:val="21"/>
                      <w:lang w:eastAsia="zh-CN"/>
                    </w:rPr>
                    <w:t>0.1g</w:t>
                  </w:r>
                  <w:r>
                    <w:rPr>
                      <w:rFonts w:hint="eastAsia"/>
                      <w:sz w:val="21"/>
                      <w:szCs w:val="21"/>
                      <w:lang w:eastAsia="zh-CN"/>
                    </w:rPr>
                    <w:t xml:space="preserve">精确度 </w:t>
                  </w:r>
                </w:p>
              </w:tc>
              <w:tc>
                <w:tcPr>
                  <w:tcW w:w="393" w:type="pct"/>
                  <w:vAlign w:val="center"/>
                </w:tcPr>
                <w:p>
                  <w:pPr>
                    <w:pStyle w:val="38"/>
                    <w:rPr>
                      <w:sz w:val="21"/>
                      <w:szCs w:val="21"/>
                      <w:lang w:eastAsia="zh-CN"/>
                    </w:rPr>
                  </w:pPr>
                  <w:r>
                    <w:rPr>
                      <w:rFonts w:hint="eastAsia"/>
                      <w:sz w:val="21"/>
                      <w:szCs w:val="21"/>
                      <w:lang w:eastAsia="zh-CN"/>
                    </w:rPr>
                    <w:t>个</w:t>
                  </w:r>
                </w:p>
              </w:tc>
              <w:tc>
                <w:tcPr>
                  <w:tcW w:w="393" w:type="pct"/>
                  <w:vAlign w:val="center"/>
                </w:tcPr>
                <w:p>
                  <w:pPr>
                    <w:pStyle w:val="38"/>
                    <w:rPr>
                      <w:sz w:val="21"/>
                      <w:szCs w:val="21"/>
                      <w:lang w:eastAsia="zh-CN"/>
                    </w:rPr>
                  </w:pPr>
                  <w:r>
                    <w:rPr>
                      <w:rFonts w:hint="eastAsia"/>
                      <w:sz w:val="21"/>
                      <w:szCs w:val="21"/>
                      <w:lang w:eastAsia="zh-CN"/>
                    </w:rPr>
                    <w:t>1</w:t>
                  </w:r>
                </w:p>
              </w:tc>
              <w:tc>
                <w:tcPr>
                  <w:tcW w:w="1634" w:type="pct"/>
                  <w:vAlign w:val="center"/>
                </w:tcPr>
                <w:p>
                  <w:pPr>
                    <w:pStyle w:val="38"/>
                    <w:rPr>
                      <w:sz w:val="21"/>
                      <w:szCs w:val="21"/>
                      <w:lang w:eastAsia="zh-CN"/>
                    </w:rPr>
                  </w:pPr>
                  <w:r>
                    <w:rPr>
                      <w:rFonts w:hint="eastAsia"/>
                      <w:sz w:val="21"/>
                      <w:szCs w:val="21"/>
                      <w:lang w:eastAsia="zh-CN"/>
                    </w:rPr>
                    <w:t>检验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382" w:type="pct"/>
                  <w:vAlign w:val="center"/>
                </w:tcPr>
                <w:p>
                  <w:pPr>
                    <w:pStyle w:val="38"/>
                    <w:rPr>
                      <w:sz w:val="21"/>
                      <w:szCs w:val="21"/>
                      <w:lang w:eastAsia="zh-CN"/>
                    </w:rPr>
                  </w:pPr>
                  <w:r>
                    <w:rPr>
                      <w:rFonts w:hint="eastAsia"/>
                      <w:sz w:val="21"/>
                      <w:szCs w:val="21"/>
                      <w:lang w:eastAsia="zh-CN"/>
                    </w:rPr>
                    <w:t>12</w:t>
                  </w:r>
                </w:p>
              </w:tc>
              <w:tc>
                <w:tcPr>
                  <w:tcW w:w="942" w:type="pct"/>
                  <w:vAlign w:val="center"/>
                </w:tcPr>
                <w:p>
                  <w:pPr>
                    <w:pStyle w:val="38"/>
                    <w:rPr>
                      <w:sz w:val="21"/>
                      <w:szCs w:val="21"/>
                      <w:lang w:eastAsia="zh-CN"/>
                    </w:rPr>
                  </w:pPr>
                  <w:r>
                    <w:rPr>
                      <w:rFonts w:hint="eastAsia"/>
                      <w:sz w:val="21"/>
                      <w:szCs w:val="21"/>
                      <w:lang w:eastAsia="zh-CN"/>
                    </w:rPr>
                    <w:t>烘干</w:t>
                  </w:r>
                  <w:r>
                    <w:rPr>
                      <w:sz w:val="21"/>
                      <w:szCs w:val="21"/>
                      <w:lang w:eastAsia="zh-CN"/>
                    </w:rPr>
                    <w:t>箱</w:t>
                  </w:r>
                </w:p>
              </w:tc>
              <w:tc>
                <w:tcPr>
                  <w:tcW w:w="1256" w:type="pct"/>
                  <w:vAlign w:val="center"/>
                </w:tcPr>
                <w:p>
                  <w:pPr>
                    <w:pStyle w:val="38"/>
                    <w:rPr>
                      <w:sz w:val="21"/>
                      <w:szCs w:val="21"/>
                      <w:lang w:eastAsia="zh-CN"/>
                    </w:rPr>
                  </w:pPr>
                  <w:r>
                    <w:rPr>
                      <w:rFonts w:hint="eastAsia"/>
                      <w:sz w:val="21"/>
                      <w:szCs w:val="21"/>
                      <w:lang w:eastAsia="zh-CN"/>
                    </w:rPr>
                    <w:t>/</w:t>
                  </w:r>
                </w:p>
              </w:tc>
              <w:tc>
                <w:tcPr>
                  <w:tcW w:w="393" w:type="pct"/>
                  <w:vAlign w:val="center"/>
                </w:tcPr>
                <w:p>
                  <w:pPr>
                    <w:pStyle w:val="38"/>
                    <w:rPr>
                      <w:sz w:val="21"/>
                      <w:szCs w:val="21"/>
                      <w:lang w:eastAsia="zh-CN"/>
                    </w:rPr>
                  </w:pPr>
                  <w:r>
                    <w:rPr>
                      <w:rFonts w:hint="eastAsia"/>
                      <w:sz w:val="21"/>
                      <w:szCs w:val="21"/>
                      <w:lang w:eastAsia="zh-CN"/>
                    </w:rPr>
                    <w:t>个</w:t>
                  </w:r>
                </w:p>
              </w:tc>
              <w:tc>
                <w:tcPr>
                  <w:tcW w:w="393" w:type="pct"/>
                  <w:vAlign w:val="center"/>
                </w:tcPr>
                <w:p>
                  <w:pPr>
                    <w:pStyle w:val="38"/>
                    <w:rPr>
                      <w:sz w:val="21"/>
                      <w:szCs w:val="21"/>
                      <w:lang w:eastAsia="zh-CN"/>
                    </w:rPr>
                  </w:pPr>
                  <w:r>
                    <w:rPr>
                      <w:rFonts w:hint="eastAsia"/>
                      <w:sz w:val="21"/>
                      <w:szCs w:val="21"/>
                      <w:lang w:eastAsia="zh-CN"/>
                    </w:rPr>
                    <w:t>1</w:t>
                  </w:r>
                </w:p>
              </w:tc>
              <w:tc>
                <w:tcPr>
                  <w:tcW w:w="1634" w:type="pct"/>
                  <w:vAlign w:val="center"/>
                </w:tcPr>
                <w:p>
                  <w:pPr>
                    <w:pStyle w:val="38"/>
                    <w:rPr>
                      <w:sz w:val="21"/>
                      <w:szCs w:val="21"/>
                      <w:lang w:eastAsia="zh-CN"/>
                    </w:rPr>
                  </w:pPr>
                  <w:r>
                    <w:rPr>
                      <w:rFonts w:hint="eastAsia"/>
                      <w:sz w:val="21"/>
                      <w:szCs w:val="21"/>
                      <w:lang w:eastAsia="zh-CN"/>
                    </w:rPr>
                    <w:t>检验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2" w:type="pct"/>
                  <w:vAlign w:val="center"/>
                </w:tcPr>
                <w:p>
                  <w:pPr>
                    <w:pStyle w:val="38"/>
                    <w:rPr>
                      <w:sz w:val="21"/>
                      <w:szCs w:val="21"/>
                      <w:lang w:eastAsia="zh-CN"/>
                    </w:rPr>
                  </w:pPr>
                  <w:r>
                    <w:rPr>
                      <w:rFonts w:hint="eastAsia"/>
                      <w:sz w:val="21"/>
                      <w:szCs w:val="21"/>
                      <w:lang w:eastAsia="zh-CN"/>
                    </w:rPr>
                    <w:t>13</w:t>
                  </w:r>
                </w:p>
              </w:tc>
              <w:tc>
                <w:tcPr>
                  <w:tcW w:w="942" w:type="pct"/>
                  <w:vAlign w:val="center"/>
                </w:tcPr>
                <w:p>
                  <w:pPr>
                    <w:pStyle w:val="38"/>
                    <w:rPr>
                      <w:sz w:val="21"/>
                      <w:szCs w:val="21"/>
                      <w:lang w:eastAsia="zh-CN"/>
                    </w:rPr>
                  </w:pPr>
                  <w:r>
                    <w:rPr>
                      <w:rFonts w:hint="eastAsia"/>
                      <w:sz w:val="21"/>
                      <w:szCs w:val="21"/>
                      <w:lang w:eastAsia="zh-CN"/>
                    </w:rPr>
                    <w:t>制冷机</w:t>
                  </w:r>
                </w:p>
              </w:tc>
              <w:tc>
                <w:tcPr>
                  <w:tcW w:w="1256" w:type="pct"/>
                  <w:vAlign w:val="center"/>
                </w:tcPr>
                <w:p>
                  <w:pPr>
                    <w:pStyle w:val="38"/>
                    <w:rPr>
                      <w:sz w:val="21"/>
                      <w:szCs w:val="21"/>
                      <w:lang w:eastAsia="zh-CN"/>
                    </w:rPr>
                  </w:pPr>
                  <w:r>
                    <w:rPr>
                      <w:rFonts w:hint="eastAsia"/>
                      <w:sz w:val="21"/>
                      <w:szCs w:val="21"/>
                      <w:lang w:eastAsia="zh-CN"/>
                    </w:rPr>
                    <w:t>/</w:t>
                  </w:r>
                </w:p>
              </w:tc>
              <w:tc>
                <w:tcPr>
                  <w:tcW w:w="393" w:type="pct"/>
                  <w:vAlign w:val="center"/>
                </w:tcPr>
                <w:p>
                  <w:pPr>
                    <w:pStyle w:val="38"/>
                    <w:rPr>
                      <w:sz w:val="21"/>
                      <w:szCs w:val="21"/>
                      <w:lang w:eastAsia="zh-CN"/>
                    </w:rPr>
                  </w:pPr>
                  <w:r>
                    <w:rPr>
                      <w:rFonts w:hint="eastAsia"/>
                      <w:sz w:val="21"/>
                      <w:szCs w:val="21"/>
                      <w:lang w:eastAsia="zh-CN"/>
                    </w:rPr>
                    <w:t>台</w:t>
                  </w:r>
                </w:p>
              </w:tc>
              <w:tc>
                <w:tcPr>
                  <w:tcW w:w="393" w:type="pct"/>
                  <w:vAlign w:val="center"/>
                </w:tcPr>
                <w:p>
                  <w:pPr>
                    <w:pStyle w:val="38"/>
                    <w:rPr>
                      <w:sz w:val="21"/>
                      <w:szCs w:val="21"/>
                      <w:lang w:eastAsia="zh-CN"/>
                    </w:rPr>
                  </w:pPr>
                  <w:r>
                    <w:rPr>
                      <w:rFonts w:hint="eastAsia"/>
                      <w:sz w:val="21"/>
                      <w:szCs w:val="21"/>
                      <w:lang w:eastAsia="zh-CN"/>
                    </w:rPr>
                    <w:t>2</w:t>
                  </w:r>
                </w:p>
              </w:tc>
              <w:tc>
                <w:tcPr>
                  <w:tcW w:w="1634" w:type="pct"/>
                  <w:vAlign w:val="center"/>
                </w:tcPr>
                <w:p>
                  <w:pPr>
                    <w:pStyle w:val="38"/>
                    <w:rPr>
                      <w:sz w:val="21"/>
                      <w:szCs w:val="21"/>
                      <w:lang w:eastAsia="zh-CN"/>
                    </w:rPr>
                  </w:pPr>
                  <w:r>
                    <w:rPr>
                      <w:rFonts w:hint="eastAsia"/>
                      <w:sz w:val="21"/>
                      <w:szCs w:val="21"/>
                      <w:lang w:eastAsia="zh-CN"/>
                    </w:rPr>
                    <w:t>冷藏</w:t>
                  </w:r>
                </w:p>
              </w:tc>
            </w:tr>
          </w:tbl>
          <w:p>
            <w:pPr>
              <w:spacing w:before="120" w:beforeLines="50"/>
              <w:ind w:firstLine="480"/>
            </w:pPr>
            <w:r>
              <w:t>对照《国务院关于进一步加强淘汰落后产能工作的通知》（国发〔2010〕7号）、《产业结构调整指导目录（2024年本）》，项目未使用限制、落后、淘汰类设备。</w:t>
            </w:r>
          </w:p>
          <w:p>
            <w:pPr>
              <w:ind w:firstLine="482"/>
              <w:rPr>
                <w:b/>
              </w:rPr>
            </w:pPr>
            <w:r>
              <w:rPr>
                <w:b/>
              </w:rPr>
              <w:t>7、主要原辅材料</w:t>
            </w:r>
          </w:p>
          <w:p>
            <w:pPr>
              <w:ind w:firstLine="480"/>
            </w:pPr>
            <w:r>
              <w:rPr>
                <w:rFonts w:hint="eastAsia"/>
              </w:rPr>
              <w:t>本</w:t>
            </w:r>
            <w:r>
              <w:t>项目运营期能源消耗见表2-5。</w:t>
            </w:r>
          </w:p>
          <w:p>
            <w:pPr>
              <w:pStyle w:val="33"/>
              <w:spacing w:before="120"/>
            </w:pPr>
            <w:r>
              <w:t xml:space="preserve">表2-5   </w:t>
            </w:r>
            <w:r>
              <w:rPr>
                <w:rFonts w:hint="eastAsia"/>
              </w:rPr>
              <w:t>拟建项目</w:t>
            </w:r>
            <w:r>
              <w:t>能耗一览表</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3057"/>
              <w:gridCol w:w="2873"/>
              <w:gridCol w:w="2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1" w:type="dxa"/>
                  <w:vAlign w:val="center"/>
                </w:tcPr>
                <w:p>
                  <w:pPr>
                    <w:pStyle w:val="34"/>
                    <w:jc w:val="center"/>
                  </w:pPr>
                  <w:r>
                    <w:t>项目</w:t>
                  </w:r>
                </w:p>
              </w:tc>
              <w:tc>
                <w:tcPr>
                  <w:tcW w:w="2981" w:type="dxa"/>
                  <w:vAlign w:val="center"/>
                </w:tcPr>
                <w:p>
                  <w:pPr>
                    <w:pStyle w:val="34"/>
                    <w:jc w:val="center"/>
                  </w:pPr>
                  <w:r>
                    <w:t>原辅料名称</w:t>
                  </w:r>
                </w:p>
              </w:tc>
              <w:tc>
                <w:tcPr>
                  <w:tcW w:w="2802" w:type="dxa"/>
                  <w:vAlign w:val="center"/>
                </w:tcPr>
                <w:p>
                  <w:pPr>
                    <w:pStyle w:val="34"/>
                    <w:jc w:val="center"/>
                  </w:pPr>
                  <w:r>
                    <w:t>耗量</w:t>
                  </w:r>
                </w:p>
              </w:tc>
              <w:tc>
                <w:tcPr>
                  <w:tcW w:w="2061" w:type="dxa"/>
                  <w:vAlign w:val="center"/>
                </w:tcPr>
                <w:p>
                  <w:pPr>
                    <w:pStyle w:val="34"/>
                    <w:jc w:val="center"/>
                  </w:pPr>
                  <w: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1" w:type="dxa"/>
                  <w:vMerge w:val="restart"/>
                  <w:vAlign w:val="center"/>
                </w:tcPr>
                <w:p>
                  <w:pPr>
                    <w:pStyle w:val="34"/>
                    <w:jc w:val="center"/>
                  </w:pPr>
                  <w:r>
                    <w:t>能源消耗</w:t>
                  </w:r>
                </w:p>
              </w:tc>
              <w:tc>
                <w:tcPr>
                  <w:tcW w:w="2981" w:type="dxa"/>
                  <w:vAlign w:val="center"/>
                </w:tcPr>
                <w:p>
                  <w:pPr>
                    <w:pStyle w:val="34"/>
                    <w:jc w:val="center"/>
                  </w:pPr>
                  <w:r>
                    <w:t>新鲜水</w:t>
                  </w:r>
                </w:p>
              </w:tc>
              <w:tc>
                <w:tcPr>
                  <w:tcW w:w="2802" w:type="dxa"/>
                  <w:vAlign w:val="center"/>
                </w:tcPr>
                <w:p>
                  <w:pPr>
                    <w:pStyle w:val="34"/>
                    <w:jc w:val="center"/>
                  </w:pPr>
                  <w:r>
                    <w:t>2097m</w:t>
                  </w:r>
                  <w:r>
                    <w:rPr>
                      <w:vertAlign w:val="superscript"/>
                    </w:rPr>
                    <w:t>3</w:t>
                  </w:r>
                  <w:r>
                    <w:t>/a</w:t>
                  </w:r>
                </w:p>
              </w:tc>
              <w:tc>
                <w:tcPr>
                  <w:tcW w:w="2061" w:type="dxa"/>
                  <w:vMerge w:val="restart"/>
                  <w:vAlign w:val="center"/>
                </w:tcPr>
                <w:p>
                  <w:pPr>
                    <w:pStyle w:val="34"/>
                    <w:jc w:val="center"/>
                  </w:pPr>
                  <w:r>
                    <w:t>市政供给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1" w:type="dxa"/>
                  <w:vMerge w:val="continue"/>
                  <w:vAlign w:val="center"/>
                </w:tcPr>
                <w:p>
                  <w:pPr>
                    <w:pStyle w:val="34"/>
                    <w:jc w:val="center"/>
                  </w:pPr>
                </w:p>
              </w:tc>
              <w:tc>
                <w:tcPr>
                  <w:tcW w:w="2981" w:type="dxa"/>
                  <w:vAlign w:val="center"/>
                </w:tcPr>
                <w:p>
                  <w:pPr>
                    <w:pStyle w:val="34"/>
                    <w:jc w:val="center"/>
                  </w:pPr>
                  <w:r>
                    <w:t>电</w:t>
                  </w:r>
                </w:p>
              </w:tc>
              <w:tc>
                <w:tcPr>
                  <w:tcW w:w="2802" w:type="dxa"/>
                  <w:vAlign w:val="center"/>
                </w:tcPr>
                <w:p>
                  <w:pPr>
                    <w:pStyle w:val="34"/>
                    <w:jc w:val="center"/>
                  </w:pPr>
                  <w:r>
                    <w:rPr>
                      <w:kern w:val="0"/>
                    </w:rPr>
                    <w:t>15万</w:t>
                  </w:r>
                  <w:r>
                    <w:t>kWh/a</w:t>
                  </w:r>
                </w:p>
              </w:tc>
              <w:tc>
                <w:tcPr>
                  <w:tcW w:w="2061" w:type="dxa"/>
                  <w:vMerge w:val="continue"/>
                  <w:vAlign w:val="center"/>
                </w:tcPr>
                <w:p>
                  <w:pPr>
                    <w:pStyle w:val="34"/>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1" w:type="dxa"/>
                  <w:vMerge w:val="continue"/>
                  <w:vAlign w:val="center"/>
                </w:tcPr>
                <w:p>
                  <w:pPr>
                    <w:pStyle w:val="34"/>
                    <w:jc w:val="center"/>
                  </w:pPr>
                </w:p>
              </w:tc>
              <w:tc>
                <w:tcPr>
                  <w:tcW w:w="2981" w:type="dxa"/>
                  <w:vAlign w:val="center"/>
                </w:tcPr>
                <w:p>
                  <w:pPr>
                    <w:pStyle w:val="34"/>
                    <w:jc w:val="center"/>
                  </w:pPr>
                  <w:r>
                    <w:rPr>
                      <w:rFonts w:hint="eastAsia"/>
                    </w:rPr>
                    <w:t>蒸汽</w:t>
                  </w:r>
                </w:p>
              </w:tc>
              <w:tc>
                <w:tcPr>
                  <w:tcW w:w="2802" w:type="dxa"/>
                  <w:vAlign w:val="center"/>
                </w:tcPr>
                <w:p>
                  <w:pPr>
                    <w:pStyle w:val="34"/>
                    <w:jc w:val="center"/>
                  </w:pPr>
                  <w:r>
                    <w:t>4500m</w:t>
                  </w:r>
                  <w:r>
                    <w:rPr>
                      <w:vertAlign w:val="superscript"/>
                    </w:rPr>
                    <w:t>3</w:t>
                  </w:r>
                  <w:r>
                    <w:t>/a</w:t>
                  </w:r>
                </w:p>
              </w:tc>
              <w:tc>
                <w:tcPr>
                  <w:tcW w:w="2061" w:type="dxa"/>
                  <w:vAlign w:val="center"/>
                </w:tcPr>
                <w:p>
                  <w:pPr>
                    <w:pStyle w:val="34"/>
                    <w:jc w:val="center"/>
                  </w:pPr>
                  <w:r>
                    <w:rPr>
                      <w:rFonts w:hint="eastAsia"/>
                    </w:rPr>
                    <w:t>宜企健公司供给</w:t>
                  </w:r>
                </w:p>
              </w:tc>
            </w:tr>
          </w:tbl>
          <w:p>
            <w:pPr>
              <w:spacing w:before="120" w:beforeLines="50"/>
              <w:ind w:firstLine="480"/>
            </w:pPr>
            <w:r>
              <w:t>本项目主要原辅材料及消耗量见表2-6。</w:t>
            </w:r>
          </w:p>
          <w:p>
            <w:pPr>
              <w:pStyle w:val="33"/>
              <w:spacing w:before="120"/>
            </w:pPr>
            <w:r>
              <w:t xml:space="preserve">表2-6  </w:t>
            </w:r>
            <w:r>
              <w:rPr>
                <w:rFonts w:hint="eastAsia"/>
              </w:rPr>
              <w:t>拟建</w:t>
            </w:r>
            <w:r>
              <w:t>项目主要原辅材料用量一览表</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1453"/>
              <w:gridCol w:w="1212"/>
              <w:gridCol w:w="1260"/>
              <w:gridCol w:w="1016"/>
              <w:gridCol w:w="1743"/>
              <w:gridCol w:w="11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pct"/>
                  <w:vAlign w:val="center"/>
                </w:tcPr>
                <w:p>
                  <w:pPr>
                    <w:pStyle w:val="34"/>
                    <w:jc w:val="center"/>
                    <w:rPr>
                      <w:kern w:val="0"/>
                    </w:rPr>
                  </w:pPr>
                  <w:r>
                    <w:t>原辅料名称</w:t>
                  </w:r>
                </w:p>
              </w:tc>
              <w:tc>
                <w:tcPr>
                  <w:tcW w:w="785" w:type="pct"/>
                  <w:vAlign w:val="center"/>
                </w:tcPr>
                <w:p>
                  <w:pPr>
                    <w:pStyle w:val="34"/>
                    <w:jc w:val="center"/>
                  </w:pPr>
                  <w:r>
                    <w:t>主要成分</w:t>
                  </w:r>
                </w:p>
              </w:tc>
              <w:tc>
                <w:tcPr>
                  <w:tcW w:w="655" w:type="pct"/>
                  <w:vAlign w:val="center"/>
                </w:tcPr>
                <w:p>
                  <w:pPr>
                    <w:pStyle w:val="34"/>
                    <w:jc w:val="center"/>
                  </w:pPr>
                  <w:r>
                    <w:t>规格</w:t>
                  </w:r>
                </w:p>
              </w:tc>
              <w:tc>
                <w:tcPr>
                  <w:tcW w:w="681" w:type="pct"/>
                  <w:vAlign w:val="center"/>
                </w:tcPr>
                <w:p>
                  <w:pPr>
                    <w:pStyle w:val="34"/>
                    <w:jc w:val="center"/>
                  </w:pPr>
                  <w:r>
                    <w:t>年耗量</w:t>
                  </w:r>
                  <w:r>
                    <w:rPr>
                      <w:rFonts w:hint="eastAsia"/>
                    </w:rPr>
                    <w:t>t</w:t>
                  </w:r>
                </w:p>
              </w:tc>
              <w:tc>
                <w:tcPr>
                  <w:tcW w:w="549" w:type="pct"/>
                  <w:vAlign w:val="center"/>
                </w:tcPr>
                <w:p>
                  <w:pPr>
                    <w:pStyle w:val="34"/>
                    <w:jc w:val="center"/>
                  </w:pPr>
                  <w:r>
                    <w:t>最大储存量t</w:t>
                  </w:r>
                </w:p>
              </w:tc>
              <w:tc>
                <w:tcPr>
                  <w:tcW w:w="942" w:type="pct"/>
                  <w:vAlign w:val="center"/>
                </w:tcPr>
                <w:p>
                  <w:pPr>
                    <w:pStyle w:val="34"/>
                    <w:jc w:val="center"/>
                  </w:pPr>
                  <w:r>
                    <w:rPr>
                      <w:rFonts w:hint="eastAsia"/>
                    </w:rPr>
                    <w:t>备注</w:t>
                  </w:r>
                </w:p>
              </w:tc>
              <w:tc>
                <w:tcPr>
                  <w:tcW w:w="616" w:type="pct"/>
                  <w:vAlign w:val="center"/>
                </w:tcPr>
                <w:p>
                  <w:pPr>
                    <w:pStyle w:val="34"/>
                    <w:jc w:val="center"/>
                  </w:pPr>
                  <w:r>
                    <w:t>暂存位置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pct"/>
                  <w:vAlign w:val="center"/>
                </w:tcPr>
                <w:p>
                  <w:pPr>
                    <w:pStyle w:val="34"/>
                    <w:jc w:val="center"/>
                  </w:pPr>
                  <w:r>
                    <w:rPr>
                      <w:rFonts w:hint="eastAsia"/>
                    </w:rPr>
                    <w:t>红薯</w:t>
                  </w:r>
                  <w:r>
                    <w:t>淀粉</w:t>
                  </w:r>
                </w:p>
              </w:tc>
              <w:tc>
                <w:tcPr>
                  <w:tcW w:w="785" w:type="pct"/>
                  <w:vAlign w:val="center"/>
                </w:tcPr>
                <w:p>
                  <w:pPr>
                    <w:pStyle w:val="34"/>
                    <w:jc w:val="center"/>
                  </w:pPr>
                  <w:r>
                    <w:rPr>
                      <w:rFonts w:hint="eastAsia"/>
                    </w:rPr>
                    <w:t>淀粉</w:t>
                  </w:r>
                </w:p>
              </w:tc>
              <w:tc>
                <w:tcPr>
                  <w:tcW w:w="655" w:type="pct"/>
                  <w:vAlign w:val="center"/>
                </w:tcPr>
                <w:p>
                  <w:pPr>
                    <w:pStyle w:val="34"/>
                    <w:jc w:val="center"/>
                    <w:rPr>
                      <w:kern w:val="0"/>
                    </w:rPr>
                  </w:pPr>
                  <w:r>
                    <w:rPr>
                      <w:rFonts w:hint="eastAsia"/>
                      <w:kern w:val="0"/>
                    </w:rPr>
                    <w:t>25</w:t>
                  </w:r>
                  <w:r>
                    <w:rPr>
                      <w:kern w:val="0"/>
                    </w:rPr>
                    <w:t>kg/</w:t>
                  </w:r>
                  <w:r>
                    <w:rPr>
                      <w:rFonts w:hint="eastAsia"/>
                      <w:kern w:val="0"/>
                    </w:rPr>
                    <w:t>袋</w:t>
                  </w:r>
                </w:p>
              </w:tc>
              <w:tc>
                <w:tcPr>
                  <w:tcW w:w="681" w:type="pct"/>
                  <w:vAlign w:val="center"/>
                </w:tcPr>
                <w:p>
                  <w:pPr>
                    <w:pStyle w:val="34"/>
                    <w:jc w:val="center"/>
                  </w:pPr>
                  <w:r>
                    <w:rPr>
                      <w:rFonts w:hint="eastAsia"/>
                    </w:rPr>
                    <w:t>750</w:t>
                  </w:r>
                </w:p>
              </w:tc>
              <w:tc>
                <w:tcPr>
                  <w:tcW w:w="549" w:type="pct"/>
                  <w:vAlign w:val="center"/>
                </w:tcPr>
                <w:p>
                  <w:pPr>
                    <w:pStyle w:val="34"/>
                    <w:jc w:val="center"/>
                  </w:pPr>
                  <w:r>
                    <w:t>30</w:t>
                  </w:r>
                </w:p>
              </w:tc>
              <w:tc>
                <w:tcPr>
                  <w:tcW w:w="942" w:type="pct"/>
                  <w:vMerge w:val="restart"/>
                  <w:vAlign w:val="center"/>
                </w:tcPr>
                <w:p>
                  <w:pPr>
                    <w:pStyle w:val="34"/>
                    <w:jc w:val="center"/>
                  </w:pPr>
                  <w:r>
                    <w:rPr>
                      <w:rFonts w:hint="eastAsia"/>
                    </w:rPr>
                    <w:t>苕皮</w:t>
                  </w:r>
                  <w:r>
                    <w:t>生产</w:t>
                  </w:r>
                </w:p>
              </w:tc>
              <w:tc>
                <w:tcPr>
                  <w:tcW w:w="616" w:type="pct"/>
                  <w:vMerge w:val="restart"/>
                  <w:vAlign w:val="center"/>
                </w:tcPr>
                <w:p>
                  <w:pPr>
                    <w:pStyle w:val="34"/>
                    <w:jc w:val="center"/>
                  </w:pPr>
                  <w:r>
                    <w:rPr>
                      <w:rFonts w:hint="eastAsia"/>
                    </w:rPr>
                    <w:t>原料</w:t>
                  </w:r>
                  <w:r>
                    <w:t>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pct"/>
                  <w:vAlign w:val="center"/>
                </w:tcPr>
                <w:p>
                  <w:pPr>
                    <w:pStyle w:val="34"/>
                    <w:jc w:val="center"/>
                  </w:pPr>
                  <w:r>
                    <w:rPr>
                      <w:rFonts w:hint="eastAsia"/>
                    </w:rPr>
                    <w:t>木薯淀粉</w:t>
                  </w:r>
                </w:p>
              </w:tc>
              <w:tc>
                <w:tcPr>
                  <w:tcW w:w="785" w:type="pct"/>
                  <w:vAlign w:val="center"/>
                </w:tcPr>
                <w:p>
                  <w:pPr>
                    <w:pStyle w:val="34"/>
                    <w:jc w:val="center"/>
                  </w:pPr>
                  <w:r>
                    <w:rPr>
                      <w:rFonts w:hint="eastAsia"/>
                    </w:rPr>
                    <w:t>淀粉</w:t>
                  </w:r>
                </w:p>
              </w:tc>
              <w:tc>
                <w:tcPr>
                  <w:tcW w:w="655" w:type="pct"/>
                  <w:vAlign w:val="center"/>
                </w:tcPr>
                <w:p>
                  <w:pPr>
                    <w:pStyle w:val="34"/>
                    <w:jc w:val="center"/>
                    <w:rPr>
                      <w:kern w:val="0"/>
                    </w:rPr>
                  </w:pPr>
                  <w:r>
                    <w:rPr>
                      <w:rFonts w:hint="eastAsia"/>
                      <w:kern w:val="0"/>
                    </w:rPr>
                    <w:t>25</w:t>
                  </w:r>
                  <w:r>
                    <w:rPr>
                      <w:kern w:val="0"/>
                    </w:rPr>
                    <w:t>kg/</w:t>
                  </w:r>
                  <w:r>
                    <w:rPr>
                      <w:rFonts w:hint="eastAsia"/>
                      <w:kern w:val="0"/>
                    </w:rPr>
                    <w:t>袋</w:t>
                  </w:r>
                </w:p>
              </w:tc>
              <w:tc>
                <w:tcPr>
                  <w:tcW w:w="681" w:type="pct"/>
                  <w:vAlign w:val="center"/>
                </w:tcPr>
                <w:p>
                  <w:pPr>
                    <w:pStyle w:val="34"/>
                    <w:jc w:val="center"/>
                  </w:pPr>
                  <w:r>
                    <w:rPr>
                      <w:rFonts w:hint="eastAsia"/>
                    </w:rPr>
                    <w:t>375</w:t>
                  </w:r>
                </w:p>
              </w:tc>
              <w:tc>
                <w:tcPr>
                  <w:tcW w:w="549" w:type="pct"/>
                  <w:vAlign w:val="center"/>
                </w:tcPr>
                <w:p>
                  <w:pPr>
                    <w:pStyle w:val="34"/>
                    <w:jc w:val="center"/>
                  </w:pPr>
                  <w:r>
                    <w:t>15</w:t>
                  </w:r>
                </w:p>
              </w:tc>
              <w:tc>
                <w:tcPr>
                  <w:tcW w:w="942" w:type="pct"/>
                  <w:vMerge w:val="continue"/>
                  <w:vAlign w:val="center"/>
                </w:tcPr>
                <w:p>
                  <w:pPr>
                    <w:pStyle w:val="34"/>
                    <w:jc w:val="center"/>
                  </w:pPr>
                </w:p>
              </w:tc>
              <w:tc>
                <w:tcPr>
                  <w:tcW w:w="616" w:type="pct"/>
                  <w:vMerge w:val="continue"/>
                  <w:vAlign w:val="center"/>
                </w:tcPr>
                <w:p>
                  <w:pPr>
                    <w:pStyle w:val="34"/>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pct"/>
                  <w:vAlign w:val="center"/>
                </w:tcPr>
                <w:p>
                  <w:pPr>
                    <w:pStyle w:val="34"/>
                    <w:jc w:val="center"/>
                  </w:pPr>
                  <w:r>
                    <w:rPr>
                      <w:rFonts w:hint="eastAsia"/>
                    </w:rPr>
                    <w:t>玉米淀粉</w:t>
                  </w:r>
                </w:p>
              </w:tc>
              <w:tc>
                <w:tcPr>
                  <w:tcW w:w="785" w:type="pct"/>
                  <w:vAlign w:val="center"/>
                </w:tcPr>
                <w:p>
                  <w:pPr>
                    <w:pStyle w:val="34"/>
                    <w:jc w:val="center"/>
                  </w:pPr>
                  <w:r>
                    <w:rPr>
                      <w:rFonts w:hint="eastAsia"/>
                    </w:rPr>
                    <w:t>淀粉</w:t>
                  </w:r>
                </w:p>
              </w:tc>
              <w:tc>
                <w:tcPr>
                  <w:tcW w:w="655" w:type="pct"/>
                  <w:vAlign w:val="center"/>
                </w:tcPr>
                <w:p>
                  <w:pPr>
                    <w:pStyle w:val="34"/>
                    <w:jc w:val="center"/>
                    <w:rPr>
                      <w:kern w:val="0"/>
                    </w:rPr>
                  </w:pPr>
                  <w:r>
                    <w:rPr>
                      <w:rFonts w:hint="eastAsia"/>
                      <w:kern w:val="0"/>
                    </w:rPr>
                    <w:t>25</w:t>
                  </w:r>
                  <w:r>
                    <w:rPr>
                      <w:kern w:val="0"/>
                    </w:rPr>
                    <w:t>kg/</w:t>
                  </w:r>
                  <w:r>
                    <w:rPr>
                      <w:rFonts w:hint="eastAsia"/>
                      <w:kern w:val="0"/>
                    </w:rPr>
                    <w:t>袋</w:t>
                  </w:r>
                </w:p>
              </w:tc>
              <w:tc>
                <w:tcPr>
                  <w:tcW w:w="681" w:type="pct"/>
                  <w:vAlign w:val="center"/>
                </w:tcPr>
                <w:p>
                  <w:pPr>
                    <w:pStyle w:val="34"/>
                    <w:jc w:val="center"/>
                  </w:pPr>
                  <w:r>
                    <w:rPr>
                      <w:rFonts w:hint="eastAsia"/>
                    </w:rPr>
                    <w:t>18</w:t>
                  </w:r>
                  <w:r>
                    <w:t>7.5</w:t>
                  </w:r>
                </w:p>
              </w:tc>
              <w:tc>
                <w:tcPr>
                  <w:tcW w:w="549" w:type="pct"/>
                  <w:vAlign w:val="center"/>
                </w:tcPr>
                <w:p>
                  <w:pPr>
                    <w:pStyle w:val="34"/>
                    <w:jc w:val="center"/>
                  </w:pPr>
                  <w:r>
                    <w:t>8</w:t>
                  </w:r>
                </w:p>
              </w:tc>
              <w:tc>
                <w:tcPr>
                  <w:tcW w:w="942" w:type="pct"/>
                  <w:vMerge w:val="continue"/>
                  <w:vAlign w:val="center"/>
                </w:tcPr>
                <w:p>
                  <w:pPr>
                    <w:pStyle w:val="34"/>
                    <w:jc w:val="center"/>
                  </w:pPr>
                </w:p>
              </w:tc>
              <w:tc>
                <w:tcPr>
                  <w:tcW w:w="616" w:type="pct"/>
                  <w:vMerge w:val="continue"/>
                  <w:vAlign w:val="center"/>
                </w:tcPr>
                <w:p>
                  <w:pPr>
                    <w:pStyle w:val="34"/>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pct"/>
                  <w:vAlign w:val="center"/>
                </w:tcPr>
                <w:p>
                  <w:pPr>
                    <w:pStyle w:val="34"/>
                    <w:jc w:val="center"/>
                  </w:pPr>
                  <w:r>
                    <w:rPr>
                      <w:rFonts w:hint="eastAsia"/>
                    </w:rPr>
                    <w:t>蕨根粉</w:t>
                  </w:r>
                </w:p>
              </w:tc>
              <w:tc>
                <w:tcPr>
                  <w:tcW w:w="785" w:type="pct"/>
                  <w:vAlign w:val="center"/>
                </w:tcPr>
                <w:p>
                  <w:pPr>
                    <w:pStyle w:val="34"/>
                    <w:jc w:val="center"/>
                  </w:pPr>
                  <w:r>
                    <w:rPr>
                      <w:rFonts w:hint="eastAsia"/>
                    </w:rPr>
                    <w:t>淀粉</w:t>
                  </w:r>
                </w:p>
              </w:tc>
              <w:tc>
                <w:tcPr>
                  <w:tcW w:w="655" w:type="pct"/>
                  <w:vAlign w:val="center"/>
                </w:tcPr>
                <w:p>
                  <w:pPr>
                    <w:pStyle w:val="34"/>
                    <w:jc w:val="center"/>
                    <w:rPr>
                      <w:kern w:val="0"/>
                    </w:rPr>
                  </w:pPr>
                  <w:r>
                    <w:rPr>
                      <w:rFonts w:hint="eastAsia"/>
                      <w:kern w:val="0"/>
                    </w:rPr>
                    <w:t>25</w:t>
                  </w:r>
                  <w:r>
                    <w:rPr>
                      <w:kern w:val="0"/>
                    </w:rPr>
                    <w:t>kg/</w:t>
                  </w:r>
                  <w:r>
                    <w:rPr>
                      <w:rFonts w:hint="eastAsia"/>
                      <w:kern w:val="0"/>
                    </w:rPr>
                    <w:t>袋</w:t>
                  </w:r>
                </w:p>
              </w:tc>
              <w:tc>
                <w:tcPr>
                  <w:tcW w:w="681" w:type="pct"/>
                  <w:vAlign w:val="center"/>
                </w:tcPr>
                <w:p>
                  <w:pPr>
                    <w:pStyle w:val="34"/>
                    <w:jc w:val="center"/>
                  </w:pPr>
                  <w:r>
                    <w:rPr>
                      <w:rFonts w:hint="eastAsia"/>
                    </w:rPr>
                    <w:t>187.5</w:t>
                  </w:r>
                </w:p>
              </w:tc>
              <w:tc>
                <w:tcPr>
                  <w:tcW w:w="549" w:type="pct"/>
                  <w:vAlign w:val="center"/>
                </w:tcPr>
                <w:p>
                  <w:pPr>
                    <w:pStyle w:val="34"/>
                    <w:jc w:val="center"/>
                  </w:pPr>
                  <w:r>
                    <w:rPr>
                      <w:rFonts w:hint="eastAsia"/>
                    </w:rPr>
                    <w:t>8</w:t>
                  </w:r>
                </w:p>
              </w:tc>
              <w:tc>
                <w:tcPr>
                  <w:tcW w:w="942" w:type="pct"/>
                  <w:vMerge w:val="continue"/>
                  <w:vAlign w:val="center"/>
                </w:tcPr>
                <w:p>
                  <w:pPr>
                    <w:pStyle w:val="34"/>
                    <w:jc w:val="center"/>
                  </w:pPr>
                </w:p>
              </w:tc>
              <w:tc>
                <w:tcPr>
                  <w:tcW w:w="616" w:type="pct"/>
                  <w:vMerge w:val="continue"/>
                  <w:vAlign w:val="center"/>
                </w:tcPr>
                <w:p>
                  <w:pPr>
                    <w:pStyle w:val="34"/>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pct"/>
                  <w:vAlign w:val="center"/>
                </w:tcPr>
                <w:p>
                  <w:pPr>
                    <w:pStyle w:val="34"/>
                    <w:jc w:val="center"/>
                  </w:pPr>
                  <w:r>
                    <w:rPr>
                      <w:rFonts w:hint="eastAsia"/>
                    </w:rPr>
                    <w:t>脱氢乙酸钠</w:t>
                  </w:r>
                </w:p>
              </w:tc>
              <w:tc>
                <w:tcPr>
                  <w:tcW w:w="785" w:type="pct"/>
                  <w:vAlign w:val="center"/>
                </w:tcPr>
                <w:p>
                  <w:pPr>
                    <w:pStyle w:val="34"/>
                    <w:jc w:val="center"/>
                  </w:pPr>
                  <w:r>
                    <w:rPr>
                      <w:rFonts w:hint="eastAsia"/>
                    </w:rPr>
                    <w:t>/</w:t>
                  </w:r>
                </w:p>
              </w:tc>
              <w:tc>
                <w:tcPr>
                  <w:tcW w:w="655" w:type="pct"/>
                  <w:vAlign w:val="center"/>
                </w:tcPr>
                <w:p>
                  <w:pPr>
                    <w:pStyle w:val="34"/>
                    <w:jc w:val="center"/>
                  </w:pPr>
                  <w:r>
                    <w:rPr>
                      <w:kern w:val="0"/>
                    </w:rPr>
                    <w:t>25kg/</w:t>
                  </w:r>
                  <w:r>
                    <w:rPr>
                      <w:rFonts w:hint="eastAsia"/>
                      <w:kern w:val="0"/>
                    </w:rPr>
                    <w:t>袋</w:t>
                  </w:r>
                </w:p>
              </w:tc>
              <w:tc>
                <w:tcPr>
                  <w:tcW w:w="681" w:type="pct"/>
                  <w:vAlign w:val="center"/>
                </w:tcPr>
                <w:p>
                  <w:pPr>
                    <w:pStyle w:val="34"/>
                    <w:jc w:val="center"/>
                  </w:pPr>
                  <w:r>
                    <w:rPr>
                      <w:rFonts w:hint="eastAsia"/>
                    </w:rPr>
                    <w:t>1.5</w:t>
                  </w:r>
                </w:p>
              </w:tc>
              <w:tc>
                <w:tcPr>
                  <w:tcW w:w="549" w:type="pct"/>
                  <w:vAlign w:val="center"/>
                </w:tcPr>
                <w:p>
                  <w:pPr>
                    <w:pStyle w:val="34"/>
                    <w:jc w:val="center"/>
                  </w:pPr>
                  <w:r>
                    <w:rPr>
                      <w:rFonts w:hint="eastAsia"/>
                    </w:rPr>
                    <w:t>0.5</w:t>
                  </w:r>
                </w:p>
              </w:tc>
              <w:tc>
                <w:tcPr>
                  <w:tcW w:w="942" w:type="pct"/>
                  <w:vMerge w:val="continue"/>
                  <w:vAlign w:val="center"/>
                </w:tcPr>
                <w:p>
                  <w:pPr>
                    <w:pStyle w:val="34"/>
                    <w:jc w:val="center"/>
                  </w:pPr>
                </w:p>
              </w:tc>
              <w:tc>
                <w:tcPr>
                  <w:tcW w:w="616" w:type="pct"/>
                  <w:vMerge w:val="restart"/>
                  <w:vAlign w:val="center"/>
                </w:tcPr>
                <w:p>
                  <w:pPr>
                    <w:pStyle w:val="34"/>
                    <w:jc w:val="center"/>
                  </w:pPr>
                  <w:r>
                    <w:rPr>
                      <w:rFonts w:hint="eastAsia"/>
                    </w:rPr>
                    <w:t>辅料</w:t>
                  </w:r>
                  <w:r>
                    <w:t>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pct"/>
                  <w:vAlign w:val="center"/>
                </w:tcPr>
                <w:p>
                  <w:pPr>
                    <w:pStyle w:val="34"/>
                    <w:jc w:val="center"/>
                  </w:pPr>
                  <w:r>
                    <w:rPr>
                      <w:rFonts w:hint="eastAsia"/>
                    </w:rPr>
                    <w:t>柠檬酸</w:t>
                  </w:r>
                </w:p>
              </w:tc>
              <w:tc>
                <w:tcPr>
                  <w:tcW w:w="785" w:type="pct"/>
                  <w:vAlign w:val="center"/>
                </w:tcPr>
                <w:p>
                  <w:pPr>
                    <w:pStyle w:val="34"/>
                    <w:jc w:val="center"/>
                  </w:pPr>
                  <w:r>
                    <w:rPr>
                      <w:rFonts w:hint="eastAsia"/>
                    </w:rPr>
                    <w:t>/</w:t>
                  </w:r>
                </w:p>
              </w:tc>
              <w:tc>
                <w:tcPr>
                  <w:tcW w:w="655" w:type="pct"/>
                  <w:vAlign w:val="center"/>
                </w:tcPr>
                <w:p>
                  <w:pPr>
                    <w:pStyle w:val="34"/>
                    <w:jc w:val="center"/>
                  </w:pPr>
                  <w:r>
                    <w:rPr>
                      <w:rFonts w:hint="eastAsia"/>
                      <w:kern w:val="0"/>
                    </w:rPr>
                    <w:t>25</w:t>
                  </w:r>
                  <w:r>
                    <w:rPr>
                      <w:kern w:val="0"/>
                    </w:rPr>
                    <w:t>kg/</w:t>
                  </w:r>
                  <w:r>
                    <w:rPr>
                      <w:rFonts w:hint="eastAsia"/>
                      <w:kern w:val="0"/>
                    </w:rPr>
                    <w:t>袋</w:t>
                  </w:r>
                </w:p>
              </w:tc>
              <w:tc>
                <w:tcPr>
                  <w:tcW w:w="681" w:type="pct"/>
                  <w:vAlign w:val="center"/>
                </w:tcPr>
                <w:p>
                  <w:pPr>
                    <w:pStyle w:val="34"/>
                    <w:jc w:val="center"/>
                  </w:pPr>
                  <w:r>
                    <w:rPr>
                      <w:rFonts w:hint="eastAsia"/>
                    </w:rPr>
                    <w:t>1.5</w:t>
                  </w:r>
                </w:p>
              </w:tc>
              <w:tc>
                <w:tcPr>
                  <w:tcW w:w="549" w:type="pct"/>
                  <w:vAlign w:val="center"/>
                </w:tcPr>
                <w:p>
                  <w:pPr>
                    <w:pStyle w:val="34"/>
                    <w:jc w:val="center"/>
                  </w:pPr>
                  <w:r>
                    <w:rPr>
                      <w:rFonts w:hint="eastAsia"/>
                    </w:rPr>
                    <w:t>0.5</w:t>
                  </w:r>
                </w:p>
              </w:tc>
              <w:tc>
                <w:tcPr>
                  <w:tcW w:w="942" w:type="pct"/>
                  <w:vMerge w:val="continue"/>
                  <w:vAlign w:val="center"/>
                </w:tcPr>
                <w:p>
                  <w:pPr>
                    <w:pStyle w:val="34"/>
                    <w:jc w:val="center"/>
                  </w:pPr>
                </w:p>
              </w:tc>
              <w:tc>
                <w:tcPr>
                  <w:tcW w:w="616" w:type="pct"/>
                  <w:vMerge w:val="continue"/>
                  <w:vAlign w:val="center"/>
                </w:tcPr>
                <w:p>
                  <w:pPr>
                    <w:pStyle w:val="34"/>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pct"/>
                  <w:vAlign w:val="center"/>
                </w:tcPr>
                <w:p>
                  <w:pPr>
                    <w:pStyle w:val="34"/>
                    <w:jc w:val="center"/>
                  </w:pPr>
                  <w:r>
                    <w:rPr>
                      <w:rFonts w:hint="eastAsia"/>
                    </w:rPr>
                    <w:t>豆胚</w:t>
                  </w:r>
                </w:p>
              </w:tc>
              <w:tc>
                <w:tcPr>
                  <w:tcW w:w="785" w:type="pct"/>
                  <w:vAlign w:val="center"/>
                </w:tcPr>
                <w:p>
                  <w:pPr>
                    <w:pStyle w:val="34"/>
                    <w:jc w:val="center"/>
                  </w:pPr>
                  <w:r>
                    <w:rPr>
                      <w:rFonts w:hint="eastAsia"/>
                    </w:rPr>
                    <w:t>白豆干</w:t>
                  </w:r>
                </w:p>
              </w:tc>
              <w:tc>
                <w:tcPr>
                  <w:tcW w:w="655" w:type="pct"/>
                  <w:vAlign w:val="center"/>
                </w:tcPr>
                <w:p>
                  <w:pPr>
                    <w:pStyle w:val="34"/>
                    <w:jc w:val="center"/>
                    <w:rPr>
                      <w:kern w:val="0"/>
                    </w:rPr>
                  </w:pPr>
                  <w:r>
                    <w:rPr>
                      <w:rFonts w:hint="eastAsia"/>
                      <w:kern w:val="0"/>
                    </w:rPr>
                    <w:t>300块/箱</w:t>
                  </w:r>
                </w:p>
              </w:tc>
              <w:tc>
                <w:tcPr>
                  <w:tcW w:w="681" w:type="pct"/>
                  <w:vAlign w:val="center"/>
                </w:tcPr>
                <w:p>
                  <w:pPr>
                    <w:pStyle w:val="34"/>
                    <w:jc w:val="center"/>
                  </w:pPr>
                  <w:r>
                    <w:rPr>
                      <w:rFonts w:hint="eastAsia"/>
                    </w:rPr>
                    <w:t>300</w:t>
                  </w:r>
                </w:p>
              </w:tc>
              <w:tc>
                <w:tcPr>
                  <w:tcW w:w="549" w:type="pct"/>
                  <w:vAlign w:val="center"/>
                </w:tcPr>
                <w:p>
                  <w:pPr>
                    <w:pStyle w:val="34"/>
                    <w:jc w:val="center"/>
                  </w:pPr>
                  <w:r>
                    <w:rPr>
                      <w:rFonts w:hint="eastAsia"/>
                    </w:rPr>
                    <w:t>/</w:t>
                  </w:r>
                </w:p>
              </w:tc>
              <w:tc>
                <w:tcPr>
                  <w:tcW w:w="942" w:type="pct"/>
                  <w:vMerge w:val="restart"/>
                  <w:vAlign w:val="center"/>
                </w:tcPr>
                <w:p>
                  <w:pPr>
                    <w:pStyle w:val="34"/>
                    <w:jc w:val="center"/>
                  </w:pPr>
                  <w:r>
                    <w:rPr>
                      <w:rFonts w:hint="eastAsia"/>
                    </w:rPr>
                    <w:t>豆干</w:t>
                  </w:r>
                  <w:r>
                    <w:t>生产，白豆干每日由供应商送达</w:t>
                  </w:r>
                  <w:r>
                    <w:rPr>
                      <w:rFonts w:hint="eastAsia"/>
                    </w:rPr>
                    <w:t>并</w:t>
                  </w:r>
                  <w:r>
                    <w:t>当日加工完成</w:t>
                  </w:r>
                </w:p>
              </w:tc>
              <w:tc>
                <w:tcPr>
                  <w:tcW w:w="616" w:type="pct"/>
                  <w:vAlign w:val="center"/>
                </w:tcPr>
                <w:p>
                  <w:pPr>
                    <w:pStyle w:val="34"/>
                    <w:jc w:val="center"/>
                  </w:pPr>
                  <w:r>
                    <w:rPr>
                      <w:rFonts w:hint="eastAsia"/>
                    </w:rPr>
                    <w:t>原料</w:t>
                  </w:r>
                  <w:r>
                    <w:t>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pct"/>
                  <w:vAlign w:val="center"/>
                </w:tcPr>
                <w:p>
                  <w:pPr>
                    <w:pStyle w:val="34"/>
                    <w:jc w:val="center"/>
                  </w:pPr>
                  <w:r>
                    <w:rPr>
                      <w:rFonts w:hint="eastAsia"/>
                    </w:rPr>
                    <w:t>食用碱</w:t>
                  </w:r>
                </w:p>
              </w:tc>
              <w:tc>
                <w:tcPr>
                  <w:tcW w:w="785" w:type="pct"/>
                  <w:vAlign w:val="center"/>
                </w:tcPr>
                <w:p>
                  <w:pPr>
                    <w:pStyle w:val="34"/>
                    <w:jc w:val="center"/>
                  </w:pPr>
                  <w:r>
                    <w:rPr>
                      <w:rFonts w:hint="eastAsia"/>
                    </w:rPr>
                    <w:t>Na</w:t>
                  </w:r>
                  <w:r>
                    <w:rPr>
                      <w:vertAlign w:val="subscript"/>
                    </w:rPr>
                    <w:t>2</w:t>
                  </w:r>
                  <w:r>
                    <w:rPr>
                      <w:rFonts w:hint="eastAsia"/>
                    </w:rPr>
                    <w:t>CO</w:t>
                  </w:r>
                  <w:r>
                    <w:rPr>
                      <w:rFonts w:hint="eastAsia"/>
                      <w:vertAlign w:val="subscript"/>
                    </w:rPr>
                    <w:t>3</w:t>
                  </w:r>
                  <w:r>
                    <w:t>、</w:t>
                  </w:r>
                  <w:r>
                    <w:rPr>
                      <w:rFonts w:hint="eastAsia"/>
                    </w:rPr>
                    <w:t>Na</w:t>
                  </w:r>
                  <w:r>
                    <w:t>H</w:t>
                  </w:r>
                  <w:r>
                    <w:rPr>
                      <w:rFonts w:hint="eastAsia"/>
                    </w:rPr>
                    <w:t>CO</w:t>
                  </w:r>
                  <w:r>
                    <w:rPr>
                      <w:rFonts w:hint="eastAsia"/>
                      <w:vertAlign w:val="subscript"/>
                    </w:rPr>
                    <w:t>3</w:t>
                  </w:r>
                </w:p>
              </w:tc>
              <w:tc>
                <w:tcPr>
                  <w:tcW w:w="655" w:type="pct"/>
                  <w:vAlign w:val="center"/>
                </w:tcPr>
                <w:p>
                  <w:pPr>
                    <w:pStyle w:val="34"/>
                    <w:jc w:val="center"/>
                  </w:pPr>
                  <w:r>
                    <w:rPr>
                      <w:rFonts w:hint="eastAsia"/>
                      <w:kern w:val="0"/>
                    </w:rPr>
                    <w:t>2</w:t>
                  </w:r>
                  <w:r>
                    <w:rPr>
                      <w:kern w:val="0"/>
                    </w:rPr>
                    <w:t>0kg/</w:t>
                  </w:r>
                  <w:r>
                    <w:rPr>
                      <w:rFonts w:hint="eastAsia"/>
                      <w:kern w:val="0"/>
                    </w:rPr>
                    <w:t>袋</w:t>
                  </w:r>
                </w:p>
              </w:tc>
              <w:tc>
                <w:tcPr>
                  <w:tcW w:w="681" w:type="pct"/>
                  <w:vAlign w:val="center"/>
                </w:tcPr>
                <w:p>
                  <w:pPr>
                    <w:pStyle w:val="34"/>
                    <w:jc w:val="center"/>
                  </w:pPr>
                  <w:r>
                    <w:rPr>
                      <w:rFonts w:hint="eastAsia"/>
                    </w:rPr>
                    <w:t>20</w:t>
                  </w:r>
                </w:p>
              </w:tc>
              <w:tc>
                <w:tcPr>
                  <w:tcW w:w="549" w:type="pct"/>
                  <w:vAlign w:val="center"/>
                </w:tcPr>
                <w:p>
                  <w:pPr>
                    <w:pStyle w:val="34"/>
                    <w:jc w:val="center"/>
                  </w:pPr>
                  <w:r>
                    <w:rPr>
                      <w:rFonts w:hint="eastAsia"/>
                    </w:rPr>
                    <w:t>2</w:t>
                  </w:r>
                </w:p>
              </w:tc>
              <w:tc>
                <w:tcPr>
                  <w:tcW w:w="942" w:type="pct"/>
                  <w:vMerge w:val="continue"/>
                  <w:vAlign w:val="center"/>
                </w:tcPr>
                <w:p>
                  <w:pPr>
                    <w:pStyle w:val="34"/>
                    <w:jc w:val="center"/>
                  </w:pPr>
                </w:p>
              </w:tc>
              <w:tc>
                <w:tcPr>
                  <w:tcW w:w="616" w:type="pct"/>
                  <w:vMerge w:val="restart"/>
                  <w:vAlign w:val="center"/>
                </w:tcPr>
                <w:p>
                  <w:pPr>
                    <w:pStyle w:val="34"/>
                    <w:jc w:val="center"/>
                  </w:pPr>
                  <w:r>
                    <w:rPr>
                      <w:rFonts w:hint="eastAsia"/>
                    </w:rPr>
                    <w:t>辅料</w:t>
                  </w:r>
                  <w:r>
                    <w:t>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pct"/>
                  <w:vAlign w:val="center"/>
                </w:tcPr>
                <w:p>
                  <w:pPr>
                    <w:pStyle w:val="34"/>
                    <w:jc w:val="center"/>
                  </w:pPr>
                  <w:r>
                    <w:rPr>
                      <w:rFonts w:hint="eastAsia"/>
                    </w:rPr>
                    <w:t>食盐</w:t>
                  </w:r>
                </w:p>
              </w:tc>
              <w:tc>
                <w:tcPr>
                  <w:tcW w:w="785" w:type="pct"/>
                  <w:vAlign w:val="center"/>
                </w:tcPr>
                <w:p>
                  <w:pPr>
                    <w:pStyle w:val="34"/>
                    <w:jc w:val="center"/>
                  </w:pPr>
                  <w:r>
                    <w:rPr>
                      <w:rFonts w:hint="eastAsia"/>
                    </w:rPr>
                    <w:t>NaCl</w:t>
                  </w:r>
                </w:p>
              </w:tc>
              <w:tc>
                <w:tcPr>
                  <w:tcW w:w="655" w:type="pct"/>
                  <w:vAlign w:val="center"/>
                </w:tcPr>
                <w:p>
                  <w:pPr>
                    <w:pStyle w:val="34"/>
                    <w:jc w:val="center"/>
                  </w:pPr>
                  <w:r>
                    <w:rPr>
                      <w:rFonts w:hint="eastAsia"/>
                      <w:kern w:val="0"/>
                    </w:rPr>
                    <w:t>25</w:t>
                  </w:r>
                  <w:r>
                    <w:rPr>
                      <w:kern w:val="0"/>
                    </w:rPr>
                    <w:t>kg/</w:t>
                  </w:r>
                  <w:r>
                    <w:rPr>
                      <w:rFonts w:hint="eastAsia"/>
                      <w:kern w:val="0"/>
                    </w:rPr>
                    <w:t>袋</w:t>
                  </w:r>
                </w:p>
              </w:tc>
              <w:tc>
                <w:tcPr>
                  <w:tcW w:w="681" w:type="pct"/>
                  <w:vAlign w:val="center"/>
                </w:tcPr>
                <w:p>
                  <w:pPr>
                    <w:pStyle w:val="34"/>
                    <w:jc w:val="center"/>
                  </w:pPr>
                  <w:r>
                    <w:rPr>
                      <w:rFonts w:hint="eastAsia"/>
                    </w:rPr>
                    <w:t>10</w:t>
                  </w:r>
                </w:p>
              </w:tc>
              <w:tc>
                <w:tcPr>
                  <w:tcW w:w="549" w:type="pct"/>
                  <w:vAlign w:val="center"/>
                </w:tcPr>
                <w:p>
                  <w:pPr>
                    <w:pStyle w:val="34"/>
                    <w:jc w:val="center"/>
                  </w:pPr>
                  <w:r>
                    <w:rPr>
                      <w:rFonts w:hint="eastAsia"/>
                    </w:rPr>
                    <w:t>2</w:t>
                  </w:r>
                </w:p>
              </w:tc>
              <w:tc>
                <w:tcPr>
                  <w:tcW w:w="942" w:type="pct"/>
                  <w:vMerge w:val="continue"/>
                  <w:vAlign w:val="center"/>
                </w:tcPr>
                <w:p>
                  <w:pPr>
                    <w:pStyle w:val="34"/>
                    <w:jc w:val="center"/>
                  </w:pPr>
                </w:p>
              </w:tc>
              <w:tc>
                <w:tcPr>
                  <w:tcW w:w="616" w:type="pct"/>
                  <w:vMerge w:val="continue"/>
                  <w:vAlign w:val="center"/>
                </w:tcPr>
                <w:p>
                  <w:pPr>
                    <w:pStyle w:val="34"/>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pct"/>
                  <w:vAlign w:val="center"/>
                </w:tcPr>
                <w:p>
                  <w:pPr>
                    <w:pStyle w:val="34"/>
                    <w:jc w:val="center"/>
                  </w:pPr>
                  <w:r>
                    <w:rPr>
                      <w:rFonts w:hint="eastAsia"/>
                    </w:rPr>
                    <w:t>香料</w:t>
                  </w:r>
                </w:p>
              </w:tc>
              <w:tc>
                <w:tcPr>
                  <w:tcW w:w="785" w:type="pct"/>
                  <w:vAlign w:val="center"/>
                </w:tcPr>
                <w:p>
                  <w:pPr>
                    <w:pStyle w:val="34"/>
                    <w:jc w:val="center"/>
                  </w:pPr>
                  <w:r>
                    <w:rPr>
                      <w:rFonts w:hint="eastAsia"/>
                    </w:rPr>
                    <w:t>八角</w:t>
                  </w:r>
                  <w:r>
                    <w:t>、桂皮、香叶等</w:t>
                  </w:r>
                </w:p>
              </w:tc>
              <w:tc>
                <w:tcPr>
                  <w:tcW w:w="655" w:type="pct"/>
                  <w:vAlign w:val="center"/>
                </w:tcPr>
                <w:p>
                  <w:pPr>
                    <w:pStyle w:val="34"/>
                    <w:jc w:val="center"/>
                  </w:pPr>
                  <w:r>
                    <w:rPr>
                      <w:rFonts w:hint="eastAsia"/>
                    </w:rPr>
                    <w:t>/</w:t>
                  </w:r>
                </w:p>
              </w:tc>
              <w:tc>
                <w:tcPr>
                  <w:tcW w:w="681" w:type="pct"/>
                  <w:vAlign w:val="center"/>
                </w:tcPr>
                <w:p>
                  <w:pPr>
                    <w:pStyle w:val="34"/>
                    <w:jc w:val="center"/>
                  </w:pPr>
                  <w:r>
                    <w:rPr>
                      <w:rFonts w:hint="eastAsia"/>
                    </w:rPr>
                    <w:t>1</w:t>
                  </w:r>
                </w:p>
              </w:tc>
              <w:tc>
                <w:tcPr>
                  <w:tcW w:w="549" w:type="pct"/>
                  <w:vAlign w:val="center"/>
                </w:tcPr>
                <w:p>
                  <w:pPr>
                    <w:pStyle w:val="34"/>
                    <w:jc w:val="center"/>
                  </w:pPr>
                  <w:r>
                    <w:rPr>
                      <w:rFonts w:hint="eastAsia"/>
                    </w:rPr>
                    <w:t>0.2</w:t>
                  </w:r>
                </w:p>
              </w:tc>
              <w:tc>
                <w:tcPr>
                  <w:tcW w:w="942" w:type="pct"/>
                  <w:vMerge w:val="continue"/>
                  <w:vAlign w:val="center"/>
                </w:tcPr>
                <w:p>
                  <w:pPr>
                    <w:pStyle w:val="34"/>
                    <w:jc w:val="center"/>
                  </w:pPr>
                </w:p>
              </w:tc>
              <w:tc>
                <w:tcPr>
                  <w:tcW w:w="616" w:type="pct"/>
                  <w:vMerge w:val="continue"/>
                  <w:vAlign w:val="center"/>
                </w:tcPr>
                <w:p>
                  <w:pPr>
                    <w:pStyle w:val="34"/>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pct"/>
                  <w:vAlign w:val="center"/>
                </w:tcPr>
                <w:p>
                  <w:pPr>
                    <w:pStyle w:val="34"/>
                    <w:jc w:val="center"/>
                  </w:pPr>
                  <w:r>
                    <w:rPr>
                      <w:rFonts w:hint="eastAsia"/>
                    </w:rPr>
                    <w:t>焦糖色</w:t>
                  </w:r>
                </w:p>
              </w:tc>
              <w:tc>
                <w:tcPr>
                  <w:tcW w:w="785" w:type="pct"/>
                  <w:vAlign w:val="center"/>
                </w:tcPr>
                <w:p>
                  <w:pPr>
                    <w:pStyle w:val="34"/>
                    <w:jc w:val="center"/>
                  </w:pPr>
                  <w:r>
                    <w:rPr>
                      <w:rFonts w:hint="eastAsia"/>
                    </w:rPr>
                    <w:t>/</w:t>
                  </w:r>
                </w:p>
              </w:tc>
              <w:tc>
                <w:tcPr>
                  <w:tcW w:w="655" w:type="pct"/>
                  <w:vAlign w:val="center"/>
                </w:tcPr>
                <w:p>
                  <w:pPr>
                    <w:pStyle w:val="34"/>
                    <w:jc w:val="center"/>
                  </w:pPr>
                  <w:r>
                    <w:rPr>
                      <w:rFonts w:hint="eastAsia"/>
                      <w:kern w:val="0"/>
                    </w:rPr>
                    <w:t>2</w:t>
                  </w:r>
                  <w:r>
                    <w:rPr>
                      <w:kern w:val="0"/>
                    </w:rPr>
                    <w:t>0kg/</w:t>
                  </w:r>
                  <w:r>
                    <w:rPr>
                      <w:rFonts w:hint="eastAsia"/>
                      <w:kern w:val="0"/>
                    </w:rPr>
                    <w:t>桶</w:t>
                  </w:r>
                </w:p>
              </w:tc>
              <w:tc>
                <w:tcPr>
                  <w:tcW w:w="681" w:type="pct"/>
                  <w:vAlign w:val="center"/>
                </w:tcPr>
                <w:p>
                  <w:pPr>
                    <w:pStyle w:val="34"/>
                    <w:jc w:val="center"/>
                  </w:pPr>
                  <w:r>
                    <w:rPr>
                      <w:rFonts w:hint="eastAsia"/>
                    </w:rPr>
                    <w:t>1</w:t>
                  </w:r>
                </w:p>
              </w:tc>
              <w:tc>
                <w:tcPr>
                  <w:tcW w:w="549" w:type="pct"/>
                  <w:vAlign w:val="center"/>
                </w:tcPr>
                <w:p>
                  <w:pPr>
                    <w:pStyle w:val="34"/>
                    <w:jc w:val="center"/>
                  </w:pPr>
                  <w:r>
                    <w:rPr>
                      <w:rFonts w:hint="eastAsia"/>
                    </w:rPr>
                    <w:t>0.2</w:t>
                  </w:r>
                </w:p>
              </w:tc>
              <w:tc>
                <w:tcPr>
                  <w:tcW w:w="942" w:type="pct"/>
                  <w:vMerge w:val="continue"/>
                  <w:vAlign w:val="center"/>
                </w:tcPr>
                <w:p>
                  <w:pPr>
                    <w:pStyle w:val="34"/>
                    <w:jc w:val="center"/>
                  </w:pPr>
                </w:p>
              </w:tc>
              <w:tc>
                <w:tcPr>
                  <w:tcW w:w="616" w:type="pct"/>
                  <w:vMerge w:val="continue"/>
                  <w:vAlign w:val="center"/>
                </w:tcPr>
                <w:p>
                  <w:pPr>
                    <w:pStyle w:val="34"/>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pct"/>
                  <w:vAlign w:val="center"/>
                </w:tcPr>
                <w:p>
                  <w:pPr>
                    <w:pStyle w:val="34"/>
                    <w:jc w:val="center"/>
                  </w:pPr>
                  <w:r>
                    <w:rPr>
                      <w:rFonts w:hint="eastAsia"/>
                    </w:rPr>
                    <w:t>R404A</w:t>
                  </w:r>
                  <w:r>
                    <w:t>制冷</w:t>
                  </w:r>
                  <w:r>
                    <w:rPr>
                      <w:rFonts w:hint="eastAsia"/>
                    </w:rPr>
                    <w:t>剂</w:t>
                  </w:r>
                </w:p>
              </w:tc>
              <w:tc>
                <w:tcPr>
                  <w:tcW w:w="785" w:type="pct"/>
                  <w:vAlign w:val="center"/>
                </w:tcPr>
                <w:p>
                  <w:pPr>
                    <w:pStyle w:val="34"/>
                    <w:jc w:val="center"/>
                  </w:pPr>
                  <w:r>
                    <w:rPr>
                      <w:rFonts w:hint="eastAsia"/>
                    </w:rPr>
                    <w:t>CHF</w:t>
                  </w:r>
                  <w:r>
                    <w:rPr>
                      <w:rFonts w:hint="eastAsia"/>
                      <w:vertAlign w:val="subscript"/>
                    </w:rPr>
                    <w:t>2</w:t>
                  </w:r>
                  <w:r>
                    <w:rPr>
                      <w:rFonts w:hint="eastAsia"/>
                    </w:rPr>
                    <w:t>CF</w:t>
                  </w:r>
                  <w:r>
                    <w:rPr>
                      <w:rFonts w:hint="eastAsia"/>
                      <w:vertAlign w:val="subscript"/>
                    </w:rPr>
                    <w:t>3</w:t>
                  </w:r>
                  <w:r>
                    <w:rPr>
                      <w:rFonts w:hint="eastAsia"/>
                    </w:rPr>
                    <w:t>、CF</w:t>
                  </w:r>
                  <w:r>
                    <w:rPr>
                      <w:rFonts w:hint="eastAsia"/>
                      <w:vertAlign w:val="subscript"/>
                    </w:rPr>
                    <w:t>3</w:t>
                  </w:r>
                  <w:r>
                    <w:rPr>
                      <w:rFonts w:hint="eastAsia"/>
                    </w:rPr>
                    <w:t>CH</w:t>
                  </w:r>
                  <w:r>
                    <w:rPr>
                      <w:rFonts w:hint="eastAsia"/>
                      <w:vertAlign w:val="subscript"/>
                    </w:rPr>
                    <w:t>2</w:t>
                  </w:r>
                  <w:r>
                    <w:rPr>
                      <w:rFonts w:hint="eastAsia"/>
                    </w:rPr>
                    <w:t>F、</w:t>
                  </w:r>
                  <w:r>
                    <w:t>CH</w:t>
                  </w:r>
                  <w:r>
                    <w:rPr>
                      <w:vertAlign w:val="subscript"/>
                    </w:rPr>
                    <w:t>3</w:t>
                  </w:r>
                  <w:r>
                    <w:t>CF</w:t>
                  </w:r>
                  <w:r>
                    <w:rPr>
                      <w:vertAlign w:val="subscript"/>
                    </w:rPr>
                    <w:t>3</w:t>
                  </w:r>
                </w:p>
              </w:tc>
              <w:tc>
                <w:tcPr>
                  <w:tcW w:w="655" w:type="pct"/>
                  <w:vAlign w:val="center"/>
                </w:tcPr>
                <w:p>
                  <w:pPr>
                    <w:pStyle w:val="34"/>
                    <w:jc w:val="center"/>
                  </w:pPr>
                  <w:r>
                    <w:t>/</w:t>
                  </w:r>
                </w:p>
              </w:tc>
              <w:tc>
                <w:tcPr>
                  <w:tcW w:w="681" w:type="pct"/>
                  <w:vAlign w:val="center"/>
                </w:tcPr>
                <w:p>
                  <w:pPr>
                    <w:pStyle w:val="34"/>
                    <w:jc w:val="center"/>
                  </w:pPr>
                  <w:r>
                    <w:t>0.02</w:t>
                  </w:r>
                </w:p>
              </w:tc>
              <w:tc>
                <w:tcPr>
                  <w:tcW w:w="549" w:type="pct"/>
                  <w:vAlign w:val="center"/>
                </w:tcPr>
                <w:p>
                  <w:pPr>
                    <w:pStyle w:val="34"/>
                    <w:jc w:val="center"/>
                  </w:pPr>
                  <w:r>
                    <w:rPr>
                      <w:rFonts w:hint="eastAsia"/>
                    </w:rPr>
                    <w:t>/</w:t>
                  </w:r>
                </w:p>
              </w:tc>
              <w:tc>
                <w:tcPr>
                  <w:tcW w:w="942" w:type="pct"/>
                  <w:vAlign w:val="center"/>
                </w:tcPr>
                <w:p>
                  <w:pPr>
                    <w:pStyle w:val="34"/>
                    <w:jc w:val="center"/>
                  </w:pPr>
                  <w:r>
                    <w:rPr>
                      <w:rFonts w:hint="eastAsia"/>
                    </w:rPr>
                    <w:t>制冷</w:t>
                  </w:r>
                  <w:r>
                    <w:t>机添加</w:t>
                  </w:r>
                </w:p>
              </w:tc>
              <w:tc>
                <w:tcPr>
                  <w:tcW w:w="616" w:type="pct"/>
                  <w:vAlign w:val="center"/>
                </w:tcPr>
                <w:p>
                  <w:pPr>
                    <w:pStyle w:val="34"/>
                    <w:jc w:val="center"/>
                  </w:pPr>
                  <w:r>
                    <w:rPr>
                      <w:rFonts w:hint="eastAsia"/>
                    </w:rPr>
                    <w:t>需要时购买</w:t>
                  </w:r>
                </w:p>
              </w:tc>
            </w:tr>
          </w:tbl>
          <w:p>
            <w:pPr>
              <w:ind w:firstLine="480"/>
            </w:pPr>
            <w:r>
              <w:rPr>
                <w:rFonts w:hint="eastAsia"/>
              </w:rPr>
              <w:t>R404A由HFC125、HFC-134a和HFC-143混合而成，比例为R404A=44%R125+4% R134A+52%143A。在常温下为无色气体，在自身压力下为无色透明液体，R404A适用于中低温的新型商用制冷设备、交通运输制冷设备或更新设备。由于R404A属于HFC型非共沸环保制冷剂（完全不含破坏臭氧层的CFC、HCFC），得到目前世界绝大多数国家的认可并推荐的主流低温环保制冷剂，广泛用于新冷冻设备上的初装和维修过程中的再添加。分子式：CHF</w:t>
            </w:r>
            <w:r>
              <w:rPr>
                <w:rFonts w:hint="eastAsia"/>
                <w:vertAlign w:val="subscript"/>
              </w:rPr>
              <w:t>2</w:t>
            </w:r>
            <w:r>
              <w:rPr>
                <w:rFonts w:hint="eastAsia"/>
              </w:rPr>
              <w:t>CF</w:t>
            </w:r>
            <w:r>
              <w:rPr>
                <w:rFonts w:hint="eastAsia"/>
                <w:vertAlign w:val="subscript"/>
              </w:rPr>
              <w:t>3</w:t>
            </w:r>
            <w:r>
              <w:rPr>
                <w:rFonts w:hint="eastAsia"/>
              </w:rPr>
              <w:t>/CF</w:t>
            </w:r>
            <w:r>
              <w:rPr>
                <w:rFonts w:hint="eastAsia"/>
                <w:vertAlign w:val="subscript"/>
              </w:rPr>
              <w:t>3</w:t>
            </w:r>
            <w:r>
              <w:rPr>
                <w:rFonts w:hint="eastAsia"/>
              </w:rPr>
              <w:t>CH</w:t>
            </w:r>
            <w:r>
              <w:rPr>
                <w:rFonts w:hint="eastAsia"/>
                <w:vertAlign w:val="subscript"/>
              </w:rPr>
              <w:t>2</w:t>
            </w:r>
            <w:r>
              <w:rPr>
                <w:rFonts w:hint="eastAsia"/>
              </w:rPr>
              <w:t>F/CH</w:t>
            </w:r>
            <w:r>
              <w:rPr>
                <w:rFonts w:hint="eastAsia"/>
                <w:vertAlign w:val="subscript"/>
              </w:rPr>
              <w:t>3</w:t>
            </w:r>
            <w:r>
              <w:rPr>
                <w:rFonts w:hint="eastAsia"/>
              </w:rPr>
              <w:t>CF</w:t>
            </w:r>
            <w:r>
              <w:rPr>
                <w:rFonts w:hint="eastAsia"/>
                <w:vertAlign w:val="subscript"/>
              </w:rPr>
              <w:t>3</w:t>
            </w:r>
            <w:r>
              <w:rPr>
                <w:rFonts w:hint="eastAsia"/>
              </w:rPr>
              <w:t>；沸点（101.3KPa，℃）：-46.1；临界温度℃：72.4；临界压力（KPa）：3688.7；液体密度g/cm</w:t>
            </w:r>
            <w:r>
              <w:rPr>
                <w:rFonts w:hint="eastAsia"/>
                <w:vertAlign w:val="superscript"/>
              </w:rPr>
              <w:t>3</w:t>
            </w:r>
            <w:r>
              <w:rPr>
                <w:rFonts w:hint="eastAsia"/>
              </w:rPr>
              <w:t>：1.045；破坏臭氧潜能值（ODP）：0；全球变暖系数值（GWP）：3850。</w:t>
            </w:r>
          </w:p>
          <w:p>
            <w:pPr>
              <w:ind w:firstLine="480"/>
            </w:pPr>
            <w:r>
              <w:rPr>
                <w:rFonts w:hint="eastAsia"/>
              </w:rPr>
              <w:t>根据环境保护部文件《关于生产和使用消耗臭氧层物质建设项目管理有关工作的通知》（环大气〔2018〕5号），禁止新建、扩建生产和使用作为制冷剂、发泡剂、灭火剂、溶剂、清洗剂、加工助剂、气雾剂、土壤熏蒸剂等受控用途的消耗臭氧层物质的建设项目。通知所指消耗臭氧层物质具体见《中国受控消耗臭氧层物质清单》（环境保护部、发展改革委、工业和信息化部公告2010年第72号）。本项目选用R404A作为制冷剂，不属于《中国受控消耗臭氧层物质清单》中的受控物质，项目选用R404A作为制冷剂可行。</w:t>
            </w:r>
          </w:p>
          <w:p>
            <w:pPr>
              <w:spacing w:before="120" w:beforeLines="50"/>
              <w:ind w:firstLine="482"/>
              <w:rPr>
                <w:b/>
              </w:rPr>
            </w:pPr>
            <w:r>
              <w:rPr>
                <w:b/>
              </w:rPr>
              <w:t>8、项目给排水情况及水平衡分析</w:t>
            </w:r>
          </w:p>
          <w:p>
            <w:pPr>
              <w:ind w:firstLine="480"/>
            </w:pPr>
            <w:r>
              <w:t>项目供水全部依托厂区现有供水管网，水源为城市自来水。</w:t>
            </w:r>
            <w:r>
              <w:rPr>
                <w:rFonts w:hint="eastAsia"/>
              </w:rPr>
              <w:t>根据</w:t>
            </w:r>
            <w:r>
              <w:t>生产工艺</w:t>
            </w:r>
            <w:r>
              <w:rPr>
                <w:rFonts w:hint="eastAsia"/>
              </w:rPr>
              <w:t>及</w:t>
            </w:r>
            <w:r>
              <w:t>建设单位提供</w:t>
            </w:r>
            <w:r>
              <w:rPr>
                <w:rFonts w:hint="eastAsia"/>
              </w:rPr>
              <w:t>资料</w:t>
            </w:r>
            <w:r>
              <w:t>数据，</w:t>
            </w:r>
            <w:r>
              <w:rPr>
                <w:rFonts w:hint="eastAsia"/>
              </w:rPr>
              <w:t>用排水详细情况如下：</w:t>
            </w:r>
          </w:p>
          <w:p>
            <w:pPr>
              <w:ind w:firstLine="480"/>
            </w:pPr>
            <w:r>
              <w:rPr>
                <w:rFonts w:hint="eastAsia"/>
              </w:rPr>
              <w:t>（1）生活用水及排水：项目劳动定员</w:t>
            </w:r>
            <w:r>
              <w:t>2</w:t>
            </w:r>
            <w:r>
              <w:rPr>
                <w:rFonts w:hint="eastAsia"/>
              </w:rPr>
              <w:t>0人，用水标准取</w:t>
            </w:r>
            <w:r>
              <w:t>30L/人·d</w:t>
            </w:r>
            <w:r>
              <w:rPr>
                <w:rFonts w:hint="eastAsia"/>
              </w:rPr>
              <w:t>，排水系数取0.9，生活污水排入</w:t>
            </w:r>
            <w:r>
              <w:t>厂区</w:t>
            </w:r>
            <w:r>
              <w:rPr>
                <w:rFonts w:hint="eastAsia"/>
              </w:rPr>
              <w:t>污水处理</w:t>
            </w:r>
            <w:r>
              <w:t>站</w:t>
            </w:r>
            <w:r>
              <w:rPr>
                <w:rFonts w:hint="eastAsia"/>
              </w:rPr>
              <w:t>处理；</w:t>
            </w:r>
          </w:p>
          <w:p>
            <w:pPr>
              <w:ind w:firstLine="480"/>
            </w:pPr>
            <w:r>
              <w:rPr>
                <w:rFonts w:hint="eastAsia"/>
              </w:rPr>
              <w:t>（2）苕皮制作</w:t>
            </w:r>
            <w:r>
              <w:t>用水：</w:t>
            </w:r>
            <w:r>
              <w:rPr>
                <w:rFonts w:hint="eastAsia"/>
              </w:rPr>
              <w:t>根据</w:t>
            </w:r>
            <w:r>
              <w:t>生产工艺，</w:t>
            </w:r>
            <w:r>
              <w:rPr>
                <w:rFonts w:hint="eastAsia"/>
              </w:rPr>
              <w:t>苕皮</w:t>
            </w:r>
            <w:r>
              <w:t>制作所用到淀粉与水比例为</w:t>
            </w:r>
            <w:r>
              <w:rPr>
                <w:rFonts w:hint="eastAsia"/>
              </w:rPr>
              <w:t>1:1，</w:t>
            </w:r>
            <w:r>
              <w:t>根据原辅材料消耗情况，年用水约</w:t>
            </w:r>
            <w:r>
              <w:rPr>
                <w:rFonts w:hint="eastAsia"/>
              </w:rPr>
              <w:t>1500</w:t>
            </w:r>
            <w:r>
              <w:t>t</w:t>
            </w:r>
            <w:r>
              <w:rPr>
                <w:rFonts w:hint="eastAsia"/>
              </w:rPr>
              <w:t>，</w:t>
            </w:r>
            <w:r>
              <w:t>进入产品。</w:t>
            </w:r>
          </w:p>
          <w:p>
            <w:pPr>
              <w:ind w:firstLine="480"/>
            </w:pPr>
            <w:r>
              <w:rPr>
                <w:rFonts w:hint="eastAsia"/>
              </w:rPr>
              <w:t>（3）卤制</w:t>
            </w:r>
            <w:r>
              <w:t>用水</w:t>
            </w:r>
            <w:r>
              <w:rPr>
                <w:rFonts w:hint="eastAsia"/>
              </w:rPr>
              <w:t>及排水</w:t>
            </w:r>
            <w:r>
              <w:t>：</w:t>
            </w:r>
            <w:r>
              <w:rPr>
                <w:rFonts w:hint="eastAsia"/>
              </w:rPr>
              <w:t>卤水</w:t>
            </w:r>
            <w:r>
              <w:t>配置约每锅</w:t>
            </w:r>
            <w:r>
              <w:rPr>
                <w:rFonts w:hint="eastAsia"/>
              </w:rPr>
              <w:t>0.06</w:t>
            </w:r>
            <w:r>
              <w:t>m</w:t>
            </w:r>
            <w:r>
              <w:rPr>
                <w:vertAlign w:val="superscript"/>
              </w:rPr>
              <w:t>3</w:t>
            </w:r>
            <w:r>
              <w:rPr>
                <w:rFonts w:hint="eastAsia"/>
              </w:rPr>
              <w:t>，为保证</w:t>
            </w:r>
            <w:r>
              <w:t>产品</w:t>
            </w:r>
            <w:r>
              <w:rPr>
                <w:rFonts w:hint="eastAsia"/>
              </w:rPr>
              <w:t>质量和</w:t>
            </w:r>
            <w:r>
              <w:t>口味口感，</w:t>
            </w:r>
            <w:r>
              <w:rPr>
                <w:rFonts w:hint="eastAsia"/>
              </w:rPr>
              <w:t>卤制过程中根据卤水</w:t>
            </w:r>
            <w:r>
              <w:t>消耗情况进行补充</w:t>
            </w:r>
            <w:r>
              <w:rPr>
                <w:rFonts w:hint="eastAsia"/>
              </w:rPr>
              <w:t>香料</w:t>
            </w:r>
            <w:r>
              <w:t>和水，</w:t>
            </w:r>
            <w:r>
              <w:rPr>
                <w:rFonts w:hint="eastAsia"/>
              </w:rPr>
              <w:t>每日</w:t>
            </w:r>
            <w:r>
              <w:t>补充新鲜水约</w:t>
            </w:r>
            <w:r>
              <w:rPr>
                <w:rFonts w:hint="eastAsia"/>
              </w:rPr>
              <w:t>0.02</w:t>
            </w:r>
            <w:r>
              <w:t>m</w:t>
            </w:r>
            <w:r>
              <w:rPr>
                <w:vertAlign w:val="superscript"/>
              </w:rPr>
              <w:t>3</w:t>
            </w:r>
            <w:r>
              <w:rPr>
                <w:rFonts w:hint="eastAsia"/>
              </w:rPr>
              <w:t>，蒸汽</w:t>
            </w:r>
            <w:r>
              <w:t>通入会补0.03m</w:t>
            </w:r>
            <w:r>
              <w:rPr>
                <w:vertAlign w:val="superscript"/>
              </w:rPr>
              <w:t>3</w:t>
            </w:r>
            <w:r>
              <w:rPr>
                <w:rFonts w:hint="eastAsia"/>
              </w:rPr>
              <w:t>；卤水</w:t>
            </w:r>
            <w:r>
              <w:t>每半个月排放一次，排水系数</w:t>
            </w:r>
            <w:r>
              <w:rPr>
                <w:rFonts w:hint="eastAsia"/>
              </w:rPr>
              <w:t>0.9，排入</w:t>
            </w:r>
            <w:r>
              <w:t>厂区</w:t>
            </w:r>
            <w:r>
              <w:rPr>
                <w:rFonts w:hint="eastAsia"/>
              </w:rPr>
              <w:t>污水处理</w:t>
            </w:r>
            <w:r>
              <w:t>站</w:t>
            </w:r>
            <w:r>
              <w:rPr>
                <w:rFonts w:hint="eastAsia"/>
              </w:rPr>
              <w:t>处理。</w:t>
            </w:r>
          </w:p>
          <w:p>
            <w:pPr>
              <w:ind w:firstLine="480"/>
            </w:pPr>
            <w:r>
              <w:rPr>
                <w:rFonts w:hint="eastAsia"/>
              </w:rPr>
              <w:t>（4）</w:t>
            </w:r>
            <w:r>
              <w:t>设备清洗用水：</w:t>
            </w:r>
            <w:r>
              <w:rPr>
                <w:rFonts w:hint="eastAsia"/>
              </w:rPr>
              <w:t>根据</w:t>
            </w:r>
            <w:r>
              <w:t>业主提供资料，苕皮生产设备</w:t>
            </w:r>
            <w:r>
              <w:rPr>
                <w:rFonts w:hint="eastAsia"/>
              </w:rPr>
              <w:t>清洗</w:t>
            </w:r>
            <w:r>
              <w:t>用水约</w:t>
            </w:r>
            <w:r>
              <w:rPr>
                <w:rFonts w:hint="eastAsia"/>
              </w:rPr>
              <w:t>0.5</w:t>
            </w:r>
            <w:r>
              <w:t>m</w:t>
            </w:r>
            <w:r>
              <w:rPr>
                <w:vertAlign w:val="superscript"/>
              </w:rPr>
              <w:t>3</w:t>
            </w:r>
            <w:r>
              <w:t>/d，</w:t>
            </w:r>
            <w:r>
              <w:rPr>
                <w:rFonts w:hint="eastAsia"/>
              </w:rPr>
              <w:t>豆干</w:t>
            </w:r>
            <w:r>
              <w:t>摊凉架采用湿抹布进行擦拭，不直接用水冲洗</w:t>
            </w:r>
            <w:r>
              <w:rPr>
                <w:rFonts w:hint="eastAsia"/>
              </w:rPr>
              <w:t>，</w:t>
            </w:r>
            <w:r>
              <w:t>擦拭废水计入苕皮生产设备清洗废水。设备清洗废水排水系数0.9</w:t>
            </w:r>
            <w:r>
              <w:rPr>
                <w:rFonts w:hint="eastAsia"/>
              </w:rPr>
              <w:t>，排入</w:t>
            </w:r>
            <w:r>
              <w:t>厂区</w:t>
            </w:r>
            <w:r>
              <w:rPr>
                <w:rFonts w:hint="eastAsia"/>
              </w:rPr>
              <w:t>污水处理</w:t>
            </w:r>
            <w:r>
              <w:t>站</w:t>
            </w:r>
            <w:r>
              <w:rPr>
                <w:rFonts w:hint="eastAsia"/>
              </w:rPr>
              <w:t>处理。</w:t>
            </w:r>
          </w:p>
          <w:p>
            <w:pPr>
              <w:ind w:firstLine="480"/>
            </w:pPr>
            <w:r>
              <w:rPr>
                <w:rFonts w:hint="eastAsia"/>
              </w:rPr>
              <w:t>（5）地面</w:t>
            </w:r>
            <w:r>
              <w:t>清洁</w:t>
            </w:r>
            <w:r>
              <w:rPr>
                <w:rFonts w:hint="eastAsia"/>
              </w:rPr>
              <w:t>用水</w:t>
            </w:r>
            <w:r>
              <w:t>：</w:t>
            </w:r>
            <w:r>
              <w:rPr>
                <w:rFonts w:hint="eastAsia"/>
              </w:rPr>
              <w:t>生产</w:t>
            </w:r>
            <w:r>
              <w:t>车间地面每日进行清洁，用水标准为2L/m</w:t>
            </w:r>
            <w:r>
              <w:rPr>
                <w:vertAlign w:val="superscript"/>
              </w:rPr>
              <w:t>2</w:t>
            </w:r>
            <w:r>
              <w:t>·d</w:t>
            </w:r>
            <w:r>
              <w:rPr>
                <w:rFonts w:hint="eastAsia"/>
              </w:rPr>
              <w:t>，清洁</w:t>
            </w:r>
            <w:r>
              <w:t>面积约430m</w:t>
            </w:r>
            <w:r>
              <w:rPr>
                <w:vertAlign w:val="superscript"/>
              </w:rPr>
              <w:t>2</w:t>
            </w:r>
            <w:r>
              <w:rPr>
                <w:rFonts w:hint="eastAsia"/>
              </w:rPr>
              <w:t>，排放系数取0.9，排入厂区污水处理站处理；</w:t>
            </w:r>
          </w:p>
          <w:p>
            <w:pPr>
              <w:ind w:firstLine="480"/>
            </w:pPr>
            <w:r>
              <w:t>项目</w:t>
            </w:r>
            <w:r>
              <w:rPr>
                <w:rFonts w:hint="eastAsia"/>
              </w:rPr>
              <w:t>建</w:t>
            </w:r>
            <w:r>
              <w:t>成后用排水情况详见表2-7。</w:t>
            </w:r>
          </w:p>
          <w:p>
            <w:pPr>
              <w:pStyle w:val="33"/>
              <w:spacing w:before="0" w:beforeLines="0"/>
            </w:pPr>
            <w:r>
              <w:t>表2-7  项目</w:t>
            </w:r>
            <w:r>
              <w:rPr>
                <w:rFonts w:hint="eastAsia"/>
              </w:rPr>
              <w:t>建成后</w:t>
            </w:r>
            <w:r>
              <w:t>用水、排水情况</w:t>
            </w:r>
          </w:p>
          <w:tbl>
            <w:tblPr>
              <w:tblStyle w:val="18"/>
              <w:tblW w:w="912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205"/>
              <w:gridCol w:w="1294"/>
              <w:gridCol w:w="962"/>
              <w:gridCol w:w="944"/>
              <w:gridCol w:w="839"/>
              <w:gridCol w:w="817"/>
              <w:gridCol w:w="847"/>
              <w:gridCol w:w="818"/>
              <w:gridCol w:w="139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2" w:type="dxa"/>
                  <w:vAlign w:val="center"/>
                </w:tcPr>
                <w:p>
                  <w:pPr>
                    <w:pStyle w:val="34"/>
                    <w:jc w:val="center"/>
                  </w:pPr>
                  <w:r>
                    <w:t>用水项目</w:t>
                  </w:r>
                </w:p>
              </w:tc>
              <w:tc>
                <w:tcPr>
                  <w:tcW w:w="1300" w:type="dxa"/>
                  <w:vAlign w:val="center"/>
                </w:tcPr>
                <w:p>
                  <w:pPr>
                    <w:pStyle w:val="34"/>
                    <w:jc w:val="center"/>
                  </w:pPr>
                  <w:r>
                    <w:rPr>
                      <w:rFonts w:hint="eastAsia"/>
                    </w:rPr>
                    <w:t>用水</w:t>
                  </w:r>
                  <w:r>
                    <w:t>标准</w:t>
                  </w:r>
                  <w:r>
                    <w:rPr>
                      <w:rFonts w:hint="eastAsia"/>
                    </w:rPr>
                    <w:t>/</w:t>
                  </w:r>
                  <w:r>
                    <w:t>规模</w:t>
                  </w:r>
                </w:p>
              </w:tc>
              <w:tc>
                <w:tcPr>
                  <w:tcW w:w="992" w:type="dxa"/>
                  <w:vAlign w:val="center"/>
                </w:tcPr>
                <w:p>
                  <w:pPr>
                    <w:pStyle w:val="34"/>
                    <w:jc w:val="center"/>
                  </w:pPr>
                  <w:r>
                    <w:t>日新鲜用水量m</w:t>
                  </w:r>
                  <w:r>
                    <w:rPr>
                      <w:vertAlign w:val="superscript"/>
                    </w:rPr>
                    <w:t>3</w:t>
                  </w:r>
                  <w:r>
                    <w:t>/d</w:t>
                  </w:r>
                </w:p>
              </w:tc>
              <w:tc>
                <w:tcPr>
                  <w:tcW w:w="968" w:type="dxa"/>
                  <w:vAlign w:val="center"/>
                </w:tcPr>
                <w:p>
                  <w:pPr>
                    <w:pStyle w:val="34"/>
                    <w:jc w:val="center"/>
                  </w:pPr>
                  <w:r>
                    <w:t>年用水量m</w:t>
                  </w:r>
                  <w:r>
                    <w:rPr>
                      <w:vertAlign w:val="superscript"/>
                    </w:rPr>
                    <w:t>3</w:t>
                  </w:r>
                  <w:r>
                    <w:t>/a</w:t>
                  </w:r>
                </w:p>
              </w:tc>
              <w:tc>
                <w:tcPr>
                  <w:tcW w:w="875" w:type="dxa"/>
                  <w:vAlign w:val="center"/>
                </w:tcPr>
                <w:p>
                  <w:pPr>
                    <w:pStyle w:val="34"/>
                    <w:jc w:val="center"/>
                  </w:pPr>
                  <w:r>
                    <w:t>产污系数</w:t>
                  </w:r>
                </w:p>
              </w:tc>
              <w:tc>
                <w:tcPr>
                  <w:tcW w:w="850" w:type="dxa"/>
                  <w:vAlign w:val="center"/>
                </w:tcPr>
                <w:p>
                  <w:pPr>
                    <w:pStyle w:val="34"/>
                    <w:jc w:val="center"/>
                  </w:pPr>
                  <w:r>
                    <w:t>排放频率</w:t>
                  </w:r>
                </w:p>
              </w:tc>
              <w:tc>
                <w:tcPr>
                  <w:tcW w:w="851" w:type="dxa"/>
                  <w:vAlign w:val="center"/>
                </w:tcPr>
                <w:p>
                  <w:pPr>
                    <w:pStyle w:val="34"/>
                    <w:jc w:val="center"/>
                  </w:pPr>
                  <w:r>
                    <w:t>日均排放量m</w:t>
                  </w:r>
                  <w:r>
                    <w:rPr>
                      <w:vertAlign w:val="superscript"/>
                    </w:rPr>
                    <w:t>3</w:t>
                  </w:r>
                  <w:r>
                    <w:t>/d</w:t>
                  </w:r>
                </w:p>
              </w:tc>
              <w:tc>
                <w:tcPr>
                  <w:tcW w:w="685" w:type="dxa"/>
                  <w:vAlign w:val="center"/>
                </w:tcPr>
                <w:p>
                  <w:pPr>
                    <w:pStyle w:val="34"/>
                    <w:jc w:val="center"/>
                  </w:pPr>
                  <w:r>
                    <w:t>年排放量m</w:t>
                  </w:r>
                  <w:r>
                    <w:rPr>
                      <w:vertAlign w:val="superscript"/>
                    </w:rPr>
                    <w:t>3</w:t>
                  </w:r>
                  <w:r>
                    <w:t>/a</w:t>
                  </w:r>
                </w:p>
              </w:tc>
              <w:tc>
                <w:tcPr>
                  <w:tcW w:w="1300" w:type="dxa"/>
                  <w:vAlign w:val="center"/>
                </w:tcPr>
                <w:p>
                  <w:pPr>
                    <w:pStyle w:val="34"/>
                    <w:jc w:val="center"/>
                  </w:pPr>
                  <w: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2" w:type="dxa"/>
                  <w:vAlign w:val="center"/>
                </w:tcPr>
                <w:p>
                  <w:pPr>
                    <w:pStyle w:val="34"/>
                    <w:jc w:val="center"/>
                  </w:pPr>
                  <w:r>
                    <w:t>生活用水</w:t>
                  </w:r>
                </w:p>
              </w:tc>
              <w:tc>
                <w:tcPr>
                  <w:tcW w:w="1300" w:type="dxa"/>
                  <w:vAlign w:val="center"/>
                </w:tcPr>
                <w:p>
                  <w:pPr>
                    <w:pStyle w:val="34"/>
                    <w:jc w:val="center"/>
                  </w:pPr>
                  <w:r>
                    <w:t>20人，30L/人•d</w:t>
                  </w:r>
                </w:p>
              </w:tc>
              <w:tc>
                <w:tcPr>
                  <w:tcW w:w="992" w:type="dxa"/>
                  <w:vAlign w:val="center"/>
                </w:tcPr>
                <w:p>
                  <w:pPr>
                    <w:pStyle w:val="34"/>
                    <w:jc w:val="center"/>
                  </w:pPr>
                  <w:r>
                    <w:t>0.6</w:t>
                  </w:r>
                </w:p>
              </w:tc>
              <w:tc>
                <w:tcPr>
                  <w:tcW w:w="968" w:type="dxa"/>
                  <w:vAlign w:val="center"/>
                </w:tcPr>
                <w:p>
                  <w:pPr>
                    <w:pStyle w:val="34"/>
                    <w:jc w:val="center"/>
                  </w:pPr>
                  <w:r>
                    <w:t>180</w:t>
                  </w:r>
                </w:p>
              </w:tc>
              <w:tc>
                <w:tcPr>
                  <w:tcW w:w="875" w:type="dxa"/>
                  <w:vAlign w:val="center"/>
                </w:tcPr>
                <w:p>
                  <w:pPr>
                    <w:pStyle w:val="34"/>
                    <w:jc w:val="center"/>
                  </w:pPr>
                  <w:r>
                    <w:t>0.9</w:t>
                  </w:r>
                </w:p>
              </w:tc>
              <w:tc>
                <w:tcPr>
                  <w:tcW w:w="850" w:type="dxa"/>
                  <w:vAlign w:val="center"/>
                </w:tcPr>
                <w:p>
                  <w:pPr>
                    <w:pStyle w:val="34"/>
                    <w:jc w:val="center"/>
                  </w:pPr>
                  <w:r>
                    <w:rPr>
                      <w:rFonts w:hint="eastAsia"/>
                    </w:rPr>
                    <w:t>/</w:t>
                  </w:r>
                </w:p>
              </w:tc>
              <w:tc>
                <w:tcPr>
                  <w:tcW w:w="851" w:type="dxa"/>
                  <w:vAlign w:val="center"/>
                </w:tcPr>
                <w:p>
                  <w:pPr>
                    <w:pStyle w:val="34"/>
                    <w:jc w:val="center"/>
                  </w:pPr>
                  <w:r>
                    <w:rPr>
                      <w:rFonts w:hint="eastAsia"/>
                    </w:rPr>
                    <w:t>0.</w:t>
                  </w:r>
                  <w:r>
                    <w:t>54</w:t>
                  </w:r>
                </w:p>
              </w:tc>
              <w:tc>
                <w:tcPr>
                  <w:tcW w:w="685" w:type="dxa"/>
                  <w:vAlign w:val="center"/>
                </w:tcPr>
                <w:p>
                  <w:pPr>
                    <w:pStyle w:val="34"/>
                    <w:jc w:val="center"/>
                  </w:pPr>
                  <w:r>
                    <w:t>162</w:t>
                  </w:r>
                </w:p>
              </w:tc>
              <w:tc>
                <w:tcPr>
                  <w:tcW w:w="1300" w:type="dxa"/>
                  <w:vAlign w:val="center"/>
                </w:tcPr>
                <w:p>
                  <w:pPr>
                    <w:pStyle w:val="34"/>
                    <w:jc w:val="center"/>
                  </w:pPr>
                  <w:r>
                    <w:t>排入厂区现有</w:t>
                  </w:r>
                  <w:r>
                    <w:rPr>
                      <w:rFonts w:hint="eastAsia"/>
                    </w:rPr>
                    <w:t>污水处理</w:t>
                  </w:r>
                  <w:r>
                    <w:t>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2" w:type="dxa"/>
                  <w:vAlign w:val="center"/>
                </w:tcPr>
                <w:p>
                  <w:pPr>
                    <w:pStyle w:val="34"/>
                    <w:jc w:val="center"/>
                  </w:pPr>
                  <w:r>
                    <w:rPr>
                      <w:rFonts w:hint="eastAsia"/>
                    </w:rPr>
                    <w:t>苕皮</w:t>
                  </w:r>
                  <w:r>
                    <w:t>制作用水</w:t>
                  </w:r>
                </w:p>
              </w:tc>
              <w:tc>
                <w:tcPr>
                  <w:tcW w:w="1300" w:type="dxa"/>
                  <w:vAlign w:val="center"/>
                </w:tcPr>
                <w:p>
                  <w:pPr>
                    <w:pStyle w:val="34"/>
                    <w:jc w:val="center"/>
                  </w:pPr>
                  <w:r>
                    <w:rPr>
                      <w:rFonts w:hint="eastAsia"/>
                    </w:rPr>
                    <w:t>粉</w:t>
                  </w:r>
                  <w:r>
                    <w:t>水</w:t>
                  </w:r>
                  <w:r>
                    <w:rPr>
                      <w:rFonts w:hint="eastAsia"/>
                    </w:rPr>
                    <w:t>1:1</w:t>
                  </w:r>
                </w:p>
              </w:tc>
              <w:tc>
                <w:tcPr>
                  <w:tcW w:w="992" w:type="dxa"/>
                  <w:vAlign w:val="center"/>
                </w:tcPr>
                <w:p>
                  <w:pPr>
                    <w:pStyle w:val="34"/>
                    <w:jc w:val="center"/>
                  </w:pPr>
                  <w:r>
                    <w:rPr>
                      <w:rFonts w:hint="eastAsia"/>
                    </w:rPr>
                    <w:t>5</w:t>
                  </w:r>
                </w:p>
              </w:tc>
              <w:tc>
                <w:tcPr>
                  <w:tcW w:w="968" w:type="dxa"/>
                  <w:vAlign w:val="center"/>
                </w:tcPr>
                <w:p>
                  <w:pPr>
                    <w:pStyle w:val="34"/>
                    <w:jc w:val="center"/>
                  </w:pPr>
                  <w:r>
                    <w:rPr>
                      <w:rFonts w:hint="eastAsia"/>
                    </w:rPr>
                    <w:t>1500</w:t>
                  </w:r>
                </w:p>
              </w:tc>
              <w:tc>
                <w:tcPr>
                  <w:tcW w:w="875" w:type="dxa"/>
                  <w:vAlign w:val="center"/>
                </w:tcPr>
                <w:p>
                  <w:pPr>
                    <w:pStyle w:val="34"/>
                    <w:jc w:val="center"/>
                  </w:pPr>
                  <w:r>
                    <w:rPr>
                      <w:rFonts w:hint="eastAsia"/>
                    </w:rPr>
                    <w:t>/</w:t>
                  </w:r>
                </w:p>
              </w:tc>
              <w:tc>
                <w:tcPr>
                  <w:tcW w:w="850" w:type="dxa"/>
                  <w:vAlign w:val="center"/>
                </w:tcPr>
                <w:p>
                  <w:pPr>
                    <w:pStyle w:val="34"/>
                    <w:jc w:val="center"/>
                  </w:pPr>
                  <w:r>
                    <w:rPr>
                      <w:rFonts w:hint="eastAsia"/>
                    </w:rPr>
                    <w:t>/</w:t>
                  </w:r>
                </w:p>
              </w:tc>
              <w:tc>
                <w:tcPr>
                  <w:tcW w:w="851" w:type="dxa"/>
                  <w:vAlign w:val="center"/>
                </w:tcPr>
                <w:p>
                  <w:pPr>
                    <w:pStyle w:val="34"/>
                    <w:jc w:val="center"/>
                  </w:pPr>
                  <w:r>
                    <w:rPr>
                      <w:rFonts w:hint="eastAsia"/>
                    </w:rPr>
                    <w:t>/</w:t>
                  </w:r>
                </w:p>
              </w:tc>
              <w:tc>
                <w:tcPr>
                  <w:tcW w:w="685" w:type="dxa"/>
                  <w:vAlign w:val="center"/>
                </w:tcPr>
                <w:p>
                  <w:pPr>
                    <w:pStyle w:val="34"/>
                    <w:jc w:val="center"/>
                  </w:pPr>
                  <w:r>
                    <w:rPr>
                      <w:rFonts w:hint="eastAsia"/>
                    </w:rPr>
                    <w:t>/</w:t>
                  </w:r>
                </w:p>
              </w:tc>
              <w:tc>
                <w:tcPr>
                  <w:tcW w:w="1300" w:type="dxa"/>
                  <w:vAlign w:val="center"/>
                </w:tcPr>
                <w:p>
                  <w:pPr>
                    <w:pStyle w:val="34"/>
                    <w:jc w:val="center"/>
                  </w:pPr>
                  <w:r>
                    <w:rPr>
                      <w:rFonts w:hint="eastAsia"/>
                    </w:rPr>
                    <w:t>进入</w:t>
                  </w:r>
                  <w:r>
                    <w:t>产品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2" w:type="dxa"/>
                  <w:vAlign w:val="center"/>
                </w:tcPr>
                <w:p>
                  <w:pPr>
                    <w:pStyle w:val="34"/>
                    <w:jc w:val="center"/>
                  </w:pPr>
                  <w:r>
                    <w:rPr>
                      <w:rFonts w:hint="eastAsia"/>
                    </w:rPr>
                    <w:t>卤制</w:t>
                  </w:r>
                  <w:r>
                    <w:t>用水</w:t>
                  </w:r>
                </w:p>
              </w:tc>
              <w:tc>
                <w:tcPr>
                  <w:tcW w:w="1300" w:type="dxa"/>
                  <w:vAlign w:val="center"/>
                </w:tcPr>
                <w:p>
                  <w:pPr>
                    <w:pStyle w:val="34"/>
                    <w:jc w:val="center"/>
                  </w:pPr>
                  <w:r>
                    <w:rPr>
                      <w:rFonts w:hint="eastAsia"/>
                    </w:rPr>
                    <w:t>0.</w:t>
                  </w:r>
                  <w:r>
                    <w:t>06m</w:t>
                  </w:r>
                  <w:r>
                    <w:rPr>
                      <w:vertAlign w:val="superscript"/>
                    </w:rPr>
                    <w:t>3</w:t>
                  </w:r>
                  <w:r>
                    <w:t>/</w:t>
                  </w:r>
                  <w:r>
                    <w:rPr>
                      <w:rFonts w:hint="eastAsia"/>
                    </w:rPr>
                    <w:t>锅</w:t>
                  </w:r>
                  <w:r>
                    <w:t>，2</w:t>
                  </w:r>
                  <w:r>
                    <w:rPr>
                      <w:rFonts w:hint="eastAsia"/>
                    </w:rPr>
                    <w:t>锅，24次/年</w:t>
                  </w:r>
                </w:p>
              </w:tc>
              <w:tc>
                <w:tcPr>
                  <w:tcW w:w="992" w:type="dxa"/>
                  <w:vAlign w:val="center"/>
                </w:tcPr>
                <w:p>
                  <w:pPr>
                    <w:pStyle w:val="34"/>
                    <w:jc w:val="center"/>
                  </w:pPr>
                  <w:r>
                    <w:rPr>
                      <w:rFonts w:hint="eastAsia"/>
                    </w:rPr>
                    <w:t>0.0</w:t>
                  </w:r>
                  <w:r>
                    <w:t>3</w:t>
                  </w:r>
                </w:p>
              </w:tc>
              <w:tc>
                <w:tcPr>
                  <w:tcW w:w="968" w:type="dxa"/>
                  <w:vAlign w:val="center"/>
                </w:tcPr>
                <w:p>
                  <w:pPr>
                    <w:pStyle w:val="34"/>
                    <w:jc w:val="center"/>
                  </w:pPr>
                  <w:r>
                    <w:t>9</w:t>
                  </w:r>
                </w:p>
              </w:tc>
              <w:tc>
                <w:tcPr>
                  <w:tcW w:w="875" w:type="dxa"/>
                  <w:vAlign w:val="center"/>
                </w:tcPr>
                <w:p>
                  <w:pPr>
                    <w:pStyle w:val="34"/>
                    <w:jc w:val="center"/>
                  </w:pPr>
                  <w:r>
                    <w:rPr>
                      <w:rFonts w:hint="eastAsia"/>
                    </w:rPr>
                    <w:t>0.</w:t>
                  </w:r>
                  <w:r>
                    <w:t>9</w:t>
                  </w:r>
                </w:p>
              </w:tc>
              <w:tc>
                <w:tcPr>
                  <w:tcW w:w="850" w:type="dxa"/>
                  <w:vAlign w:val="center"/>
                </w:tcPr>
                <w:p>
                  <w:pPr>
                    <w:pStyle w:val="34"/>
                    <w:jc w:val="center"/>
                  </w:pPr>
                  <w:r>
                    <w:rPr>
                      <w:rFonts w:hint="eastAsia"/>
                    </w:rPr>
                    <w:t>1次/15天</w:t>
                  </w:r>
                </w:p>
              </w:tc>
              <w:tc>
                <w:tcPr>
                  <w:tcW w:w="851" w:type="dxa"/>
                  <w:vAlign w:val="center"/>
                </w:tcPr>
                <w:p>
                  <w:pPr>
                    <w:pStyle w:val="34"/>
                    <w:jc w:val="center"/>
                  </w:pPr>
                  <w:r>
                    <w:rPr>
                      <w:rFonts w:hint="eastAsia"/>
                    </w:rPr>
                    <w:t>0.</w:t>
                  </w:r>
                  <w:r>
                    <w:t>009</w:t>
                  </w:r>
                </w:p>
              </w:tc>
              <w:tc>
                <w:tcPr>
                  <w:tcW w:w="685" w:type="dxa"/>
                  <w:vAlign w:val="center"/>
                </w:tcPr>
                <w:p>
                  <w:pPr>
                    <w:pStyle w:val="34"/>
                    <w:jc w:val="center"/>
                  </w:pPr>
                  <w:r>
                    <w:t>2.7</w:t>
                  </w:r>
                </w:p>
              </w:tc>
              <w:tc>
                <w:tcPr>
                  <w:tcW w:w="1300" w:type="dxa"/>
                  <w:vAlign w:val="center"/>
                </w:tcPr>
                <w:p>
                  <w:pPr>
                    <w:pStyle w:val="34"/>
                    <w:jc w:val="center"/>
                  </w:pPr>
                  <w:r>
                    <w:rPr>
                      <w:rFonts w:hint="eastAsia"/>
                    </w:rPr>
                    <w:t>蒸汽进</w:t>
                  </w:r>
                  <w:r>
                    <w:t>入</w:t>
                  </w:r>
                  <w:r>
                    <w:rPr>
                      <w:rFonts w:hint="eastAsia"/>
                    </w:rPr>
                    <w:t>0.</w:t>
                  </w:r>
                  <w:r>
                    <w:t>03m</w:t>
                  </w:r>
                  <w:r>
                    <w:rPr>
                      <w:vertAlign w:val="superscript"/>
                    </w:rPr>
                    <w:t>3</w:t>
                  </w:r>
                  <w:r>
                    <w:t>/d</w:t>
                  </w:r>
                  <w:r>
                    <w:rPr>
                      <w:rFonts w:hint="eastAsia"/>
                    </w:rPr>
                    <w:t>，废水经</w:t>
                  </w:r>
                  <w:r>
                    <w:t>一体化处理设施</w:t>
                  </w:r>
                  <w:r>
                    <w:rPr>
                      <w:rFonts w:hint="eastAsia"/>
                    </w:rPr>
                    <w:t>预</w:t>
                  </w:r>
                  <w:r>
                    <w:t>处理后排入污水处理站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2" w:type="dxa"/>
                  <w:vAlign w:val="center"/>
                </w:tcPr>
                <w:p>
                  <w:pPr>
                    <w:pStyle w:val="34"/>
                    <w:jc w:val="center"/>
                  </w:pPr>
                  <w:r>
                    <w:rPr>
                      <w:rFonts w:hint="eastAsia"/>
                    </w:rPr>
                    <w:t>设备</w:t>
                  </w:r>
                  <w:r>
                    <w:t>清洗用水</w:t>
                  </w:r>
                </w:p>
              </w:tc>
              <w:tc>
                <w:tcPr>
                  <w:tcW w:w="1300" w:type="dxa"/>
                  <w:vAlign w:val="center"/>
                </w:tcPr>
                <w:p>
                  <w:pPr>
                    <w:pStyle w:val="34"/>
                    <w:jc w:val="center"/>
                  </w:pPr>
                  <w:r>
                    <w:t>0</w:t>
                  </w:r>
                  <w:r>
                    <w:rPr>
                      <w:rFonts w:hint="eastAsia"/>
                    </w:rPr>
                    <w:t>.5</w:t>
                  </w:r>
                  <w:r>
                    <w:t>m</w:t>
                  </w:r>
                  <w:r>
                    <w:rPr>
                      <w:vertAlign w:val="superscript"/>
                    </w:rPr>
                    <w:t>3</w:t>
                  </w:r>
                  <w:r>
                    <w:t>/d</w:t>
                  </w:r>
                </w:p>
              </w:tc>
              <w:tc>
                <w:tcPr>
                  <w:tcW w:w="992" w:type="dxa"/>
                  <w:vAlign w:val="center"/>
                </w:tcPr>
                <w:p>
                  <w:pPr>
                    <w:pStyle w:val="34"/>
                    <w:jc w:val="center"/>
                  </w:pPr>
                  <w:r>
                    <w:rPr>
                      <w:rFonts w:hint="eastAsia"/>
                    </w:rPr>
                    <w:t>0.5</w:t>
                  </w:r>
                </w:p>
              </w:tc>
              <w:tc>
                <w:tcPr>
                  <w:tcW w:w="968" w:type="dxa"/>
                  <w:vAlign w:val="center"/>
                </w:tcPr>
                <w:p>
                  <w:pPr>
                    <w:pStyle w:val="34"/>
                    <w:jc w:val="center"/>
                  </w:pPr>
                  <w:r>
                    <w:rPr>
                      <w:rFonts w:hint="eastAsia"/>
                    </w:rPr>
                    <w:t>150</w:t>
                  </w:r>
                </w:p>
              </w:tc>
              <w:tc>
                <w:tcPr>
                  <w:tcW w:w="875" w:type="dxa"/>
                  <w:vAlign w:val="center"/>
                </w:tcPr>
                <w:p>
                  <w:pPr>
                    <w:pStyle w:val="34"/>
                    <w:jc w:val="center"/>
                  </w:pPr>
                  <w:r>
                    <w:rPr>
                      <w:rFonts w:hint="eastAsia"/>
                    </w:rPr>
                    <w:t>0.9</w:t>
                  </w:r>
                </w:p>
              </w:tc>
              <w:tc>
                <w:tcPr>
                  <w:tcW w:w="850" w:type="dxa"/>
                  <w:vAlign w:val="center"/>
                </w:tcPr>
                <w:p>
                  <w:pPr>
                    <w:pStyle w:val="34"/>
                    <w:jc w:val="center"/>
                  </w:pPr>
                  <w:r>
                    <w:rPr>
                      <w:rFonts w:hint="eastAsia"/>
                    </w:rPr>
                    <w:t>1次/天</w:t>
                  </w:r>
                </w:p>
              </w:tc>
              <w:tc>
                <w:tcPr>
                  <w:tcW w:w="851" w:type="dxa"/>
                  <w:vAlign w:val="center"/>
                </w:tcPr>
                <w:p>
                  <w:pPr>
                    <w:pStyle w:val="34"/>
                    <w:jc w:val="center"/>
                  </w:pPr>
                  <w:r>
                    <w:rPr>
                      <w:rFonts w:hint="eastAsia"/>
                    </w:rPr>
                    <w:t>0.45</w:t>
                  </w:r>
                </w:p>
              </w:tc>
              <w:tc>
                <w:tcPr>
                  <w:tcW w:w="685" w:type="dxa"/>
                  <w:vAlign w:val="center"/>
                </w:tcPr>
                <w:p>
                  <w:pPr>
                    <w:pStyle w:val="34"/>
                    <w:jc w:val="center"/>
                  </w:pPr>
                  <w:r>
                    <w:rPr>
                      <w:rFonts w:hint="eastAsia"/>
                    </w:rPr>
                    <w:t>135</w:t>
                  </w:r>
                </w:p>
              </w:tc>
              <w:tc>
                <w:tcPr>
                  <w:tcW w:w="1300" w:type="dxa"/>
                  <w:vAlign w:val="center"/>
                </w:tcPr>
                <w:p>
                  <w:pPr>
                    <w:pStyle w:val="34"/>
                    <w:jc w:val="center"/>
                  </w:pPr>
                  <w:r>
                    <w:rPr>
                      <w:rFonts w:hint="eastAsia"/>
                    </w:rPr>
                    <w:t>经</w:t>
                  </w:r>
                  <w:r>
                    <w:t>一体化处理设施</w:t>
                  </w:r>
                  <w:r>
                    <w:rPr>
                      <w:rFonts w:hint="eastAsia"/>
                    </w:rPr>
                    <w:t>预</w:t>
                  </w:r>
                  <w:r>
                    <w:t>处理后排入污水处理站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2" w:type="dxa"/>
                  <w:vAlign w:val="center"/>
                </w:tcPr>
                <w:p>
                  <w:pPr>
                    <w:pStyle w:val="34"/>
                    <w:jc w:val="center"/>
                  </w:pPr>
                  <w:r>
                    <w:rPr>
                      <w:rFonts w:hint="eastAsia"/>
                    </w:rPr>
                    <w:t>地面</w:t>
                  </w:r>
                  <w:r>
                    <w:t>清洁用水</w:t>
                  </w:r>
                </w:p>
              </w:tc>
              <w:tc>
                <w:tcPr>
                  <w:tcW w:w="1300" w:type="dxa"/>
                  <w:vAlign w:val="center"/>
                </w:tcPr>
                <w:p>
                  <w:pPr>
                    <w:pStyle w:val="34"/>
                    <w:jc w:val="center"/>
                  </w:pPr>
                  <w:r>
                    <w:t>2L/m</w:t>
                  </w:r>
                  <w:r>
                    <w:rPr>
                      <w:vertAlign w:val="superscript"/>
                    </w:rPr>
                    <w:t>2</w:t>
                  </w:r>
                  <w:r>
                    <w:t>·d</w:t>
                  </w:r>
                  <w:r>
                    <w:rPr>
                      <w:rFonts w:hint="eastAsia"/>
                    </w:rPr>
                    <w:t>，</w:t>
                  </w:r>
                  <w:r>
                    <w:t>43</w:t>
                  </w:r>
                  <w:r>
                    <w:rPr>
                      <w:rFonts w:hint="eastAsia"/>
                    </w:rPr>
                    <w:t>0</w:t>
                  </w:r>
                  <w:r>
                    <w:t>m</w:t>
                  </w:r>
                  <w:r>
                    <w:rPr>
                      <w:vertAlign w:val="superscript"/>
                    </w:rPr>
                    <w:t>2</w:t>
                  </w:r>
                </w:p>
              </w:tc>
              <w:tc>
                <w:tcPr>
                  <w:tcW w:w="992" w:type="dxa"/>
                  <w:vAlign w:val="center"/>
                </w:tcPr>
                <w:p>
                  <w:pPr>
                    <w:pStyle w:val="34"/>
                    <w:jc w:val="center"/>
                  </w:pPr>
                  <w:r>
                    <w:t>0.86</w:t>
                  </w:r>
                </w:p>
              </w:tc>
              <w:tc>
                <w:tcPr>
                  <w:tcW w:w="968" w:type="dxa"/>
                  <w:vAlign w:val="center"/>
                </w:tcPr>
                <w:p>
                  <w:pPr>
                    <w:pStyle w:val="34"/>
                    <w:jc w:val="center"/>
                  </w:pPr>
                  <w:r>
                    <w:t>258</w:t>
                  </w:r>
                </w:p>
              </w:tc>
              <w:tc>
                <w:tcPr>
                  <w:tcW w:w="875" w:type="dxa"/>
                  <w:vAlign w:val="center"/>
                </w:tcPr>
                <w:p>
                  <w:pPr>
                    <w:pStyle w:val="34"/>
                    <w:jc w:val="center"/>
                  </w:pPr>
                  <w:r>
                    <w:rPr>
                      <w:rFonts w:hint="eastAsia"/>
                    </w:rPr>
                    <w:t>0.9</w:t>
                  </w:r>
                </w:p>
              </w:tc>
              <w:tc>
                <w:tcPr>
                  <w:tcW w:w="850" w:type="dxa"/>
                  <w:vAlign w:val="center"/>
                </w:tcPr>
                <w:p>
                  <w:pPr>
                    <w:pStyle w:val="34"/>
                    <w:jc w:val="center"/>
                  </w:pPr>
                  <w:r>
                    <w:rPr>
                      <w:rFonts w:hint="eastAsia"/>
                    </w:rPr>
                    <w:t>1次/天</w:t>
                  </w:r>
                </w:p>
              </w:tc>
              <w:tc>
                <w:tcPr>
                  <w:tcW w:w="851" w:type="dxa"/>
                  <w:vAlign w:val="center"/>
                </w:tcPr>
                <w:p>
                  <w:pPr>
                    <w:pStyle w:val="34"/>
                    <w:jc w:val="center"/>
                  </w:pPr>
                  <w:r>
                    <w:t>0.774</w:t>
                  </w:r>
                </w:p>
              </w:tc>
              <w:tc>
                <w:tcPr>
                  <w:tcW w:w="685" w:type="dxa"/>
                  <w:vAlign w:val="center"/>
                </w:tcPr>
                <w:p>
                  <w:pPr>
                    <w:pStyle w:val="34"/>
                    <w:jc w:val="center"/>
                  </w:pPr>
                  <w:r>
                    <w:t>232.2</w:t>
                  </w:r>
                </w:p>
              </w:tc>
              <w:tc>
                <w:tcPr>
                  <w:tcW w:w="1300" w:type="dxa"/>
                  <w:vAlign w:val="center"/>
                </w:tcPr>
                <w:p>
                  <w:pPr>
                    <w:pStyle w:val="34"/>
                    <w:jc w:val="center"/>
                  </w:pPr>
                  <w:r>
                    <w:rPr>
                      <w:rFonts w:hint="eastAsia"/>
                    </w:rPr>
                    <w:t>经</w:t>
                  </w:r>
                  <w:r>
                    <w:t>一体化处理设施</w:t>
                  </w:r>
                  <w:r>
                    <w:rPr>
                      <w:rFonts w:hint="eastAsia"/>
                    </w:rPr>
                    <w:t>预</w:t>
                  </w:r>
                  <w:r>
                    <w:t>处理后排入污水处理站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02" w:type="dxa"/>
                  <w:vAlign w:val="center"/>
                </w:tcPr>
                <w:p>
                  <w:pPr>
                    <w:pStyle w:val="34"/>
                    <w:jc w:val="center"/>
                  </w:pPr>
                  <w:r>
                    <w:rPr>
                      <w:rFonts w:hint="eastAsia"/>
                    </w:rPr>
                    <w:t>合计</w:t>
                  </w:r>
                </w:p>
              </w:tc>
              <w:tc>
                <w:tcPr>
                  <w:tcW w:w="1300" w:type="dxa"/>
                  <w:vAlign w:val="center"/>
                </w:tcPr>
                <w:p>
                  <w:pPr>
                    <w:pStyle w:val="34"/>
                    <w:jc w:val="center"/>
                  </w:pPr>
                  <w:r>
                    <w:rPr>
                      <w:rFonts w:hint="eastAsia"/>
                    </w:rPr>
                    <w:t>/</w:t>
                  </w:r>
                </w:p>
              </w:tc>
              <w:tc>
                <w:tcPr>
                  <w:tcW w:w="992" w:type="dxa"/>
                  <w:vAlign w:val="center"/>
                </w:tcPr>
                <w:p>
                  <w:pPr>
                    <w:pStyle w:val="34"/>
                    <w:jc w:val="center"/>
                  </w:pPr>
                  <w:r>
                    <w:rPr>
                      <w:rFonts w:hint="eastAsia"/>
                    </w:rPr>
                    <w:t>6.99</w:t>
                  </w:r>
                </w:p>
              </w:tc>
              <w:tc>
                <w:tcPr>
                  <w:tcW w:w="968" w:type="dxa"/>
                  <w:vAlign w:val="center"/>
                </w:tcPr>
                <w:p>
                  <w:pPr>
                    <w:pStyle w:val="34"/>
                    <w:jc w:val="center"/>
                  </w:pPr>
                  <w:r>
                    <w:rPr>
                      <w:rFonts w:hint="eastAsia"/>
                    </w:rPr>
                    <w:t>2097</w:t>
                  </w:r>
                </w:p>
              </w:tc>
              <w:tc>
                <w:tcPr>
                  <w:tcW w:w="875" w:type="dxa"/>
                  <w:vAlign w:val="center"/>
                </w:tcPr>
                <w:p>
                  <w:pPr>
                    <w:pStyle w:val="34"/>
                    <w:jc w:val="center"/>
                  </w:pPr>
                  <w:r>
                    <w:rPr>
                      <w:rFonts w:hint="eastAsia"/>
                    </w:rPr>
                    <w:t>/</w:t>
                  </w:r>
                </w:p>
              </w:tc>
              <w:tc>
                <w:tcPr>
                  <w:tcW w:w="850" w:type="dxa"/>
                  <w:vAlign w:val="center"/>
                </w:tcPr>
                <w:p>
                  <w:pPr>
                    <w:pStyle w:val="34"/>
                    <w:jc w:val="center"/>
                  </w:pPr>
                  <w:r>
                    <w:rPr>
                      <w:rFonts w:hint="eastAsia"/>
                    </w:rPr>
                    <w:t>/</w:t>
                  </w:r>
                </w:p>
              </w:tc>
              <w:tc>
                <w:tcPr>
                  <w:tcW w:w="851" w:type="dxa"/>
                  <w:vAlign w:val="center"/>
                </w:tcPr>
                <w:p>
                  <w:pPr>
                    <w:pStyle w:val="34"/>
                    <w:jc w:val="center"/>
                  </w:pPr>
                  <w:r>
                    <w:rPr>
                      <w:rFonts w:hint="eastAsia"/>
                    </w:rPr>
                    <w:t>1.7</w:t>
                  </w:r>
                  <w:r>
                    <w:t>73</w:t>
                  </w:r>
                </w:p>
              </w:tc>
              <w:tc>
                <w:tcPr>
                  <w:tcW w:w="685" w:type="dxa"/>
                  <w:vAlign w:val="center"/>
                </w:tcPr>
                <w:p>
                  <w:pPr>
                    <w:pStyle w:val="34"/>
                    <w:jc w:val="center"/>
                  </w:pPr>
                  <w:r>
                    <w:rPr>
                      <w:rFonts w:hint="eastAsia"/>
                    </w:rPr>
                    <w:t>531.9</w:t>
                  </w:r>
                </w:p>
              </w:tc>
              <w:tc>
                <w:tcPr>
                  <w:tcW w:w="1300" w:type="dxa"/>
                  <w:vAlign w:val="center"/>
                </w:tcPr>
                <w:p>
                  <w:pPr>
                    <w:pStyle w:val="34"/>
                    <w:jc w:val="center"/>
                  </w:pPr>
                  <w:r>
                    <w:rPr>
                      <w:rFonts w:hint="eastAsia"/>
                    </w:rPr>
                    <w:t>/</w:t>
                  </w:r>
                </w:p>
              </w:tc>
            </w:tr>
          </w:tbl>
          <w:p>
            <w:pPr>
              <w:spacing w:before="120" w:beforeLines="50"/>
              <w:ind w:firstLine="0" w:firstLineChars="0"/>
              <w:jc w:val="center"/>
            </w:pPr>
          </w:p>
          <w:p>
            <w:pPr>
              <w:spacing w:before="120" w:beforeLines="50"/>
              <w:ind w:firstLine="0" w:firstLineChars="0"/>
              <w:jc w:val="center"/>
            </w:pPr>
            <w:r>
              <w:object>
                <v:shape id="_x0000_i1025" o:spt="75" type="#_x0000_t75" style="height:159pt;width:450pt;" o:ole="t" filled="f" o:preferrelative="t" stroked="f" coordsize="21600,21600">
                  <v:path/>
                  <v:fill on="f" focussize="0,0"/>
                  <v:stroke on="f" joinstyle="miter"/>
                  <v:imagedata r:id="rId19" o:title=""/>
                  <o:lock v:ext="edit" aspectratio="t"/>
                  <w10:wrap type="none"/>
                  <w10:anchorlock/>
                </v:shape>
                <o:OLEObject Type="Embed" ProgID="Visio.Drawing.11" ShapeID="_x0000_i1025" DrawAspect="Content" ObjectID="_1468075725" r:id="rId18">
                  <o:LockedField>false</o:LockedField>
                </o:OLEObject>
              </w:object>
            </w:r>
          </w:p>
          <w:p>
            <w:pPr>
              <w:spacing w:before="120" w:beforeLines="50"/>
              <w:ind w:firstLine="0" w:firstLineChars="0"/>
              <w:jc w:val="center"/>
            </w:pPr>
            <w:r>
              <w:rPr>
                <w:rFonts w:hint="eastAsia"/>
              </w:rPr>
              <w:t>图2-1 项目</w:t>
            </w:r>
            <w:r>
              <w:t>水平衡图</w:t>
            </w:r>
            <w:r>
              <w:rPr>
                <w:rFonts w:hint="eastAsia"/>
              </w:rPr>
              <w:t xml:space="preserve">  单位 </w:t>
            </w:r>
            <w:r>
              <w:t>m</w:t>
            </w:r>
            <w:r>
              <w:rPr>
                <w:vertAlign w:val="superscript"/>
              </w:rPr>
              <w:t>3</w:t>
            </w:r>
            <w:r>
              <w:t>/d</w:t>
            </w:r>
          </w:p>
          <w:p>
            <w:pPr>
              <w:spacing w:before="120" w:beforeLines="50"/>
              <w:ind w:firstLine="482"/>
              <w:rPr>
                <w:b/>
              </w:rPr>
            </w:pPr>
            <w:r>
              <w:rPr>
                <w:b/>
              </w:rPr>
              <w:t>9、总平面布置</w:t>
            </w:r>
          </w:p>
          <w:p>
            <w:pPr>
              <w:ind w:firstLine="480"/>
            </w:pPr>
            <w:r>
              <w:t>项目生产设施</w:t>
            </w:r>
            <w:r>
              <w:rPr>
                <w:rFonts w:hint="eastAsia"/>
              </w:rPr>
              <w:t>主要</w:t>
            </w:r>
            <w:r>
              <w:t>布置于车间</w:t>
            </w:r>
            <w:r>
              <w:rPr>
                <w:rFonts w:hint="eastAsia"/>
              </w:rPr>
              <w:t>中部和西</w:t>
            </w:r>
            <w:r>
              <w:t>北侧</w:t>
            </w:r>
            <w:r>
              <w:rPr>
                <w:rFonts w:hint="eastAsia"/>
              </w:rPr>
              <w:t>，生产线主要</w:t>
            </w:r>
            <w:r>
              <w:t>根据</w:t>
            </w:r>
            <w:r>
              <w:rPr>
                <w:rFonts w:hint="eastAsia"/>
              </w:rPr>
              <w:t>苕皮</w:t>
            </w:r>
            <w:r>
              <w:t>生产</w:t>
            </w:r>
            <w:r>
              <w:rPr>
                <w:rFonts w:hint="eastAsia"/>
              </w:rPr>
              <w:t>工艺</w:t>
            </w:r>
            <w:r>
              <w:t>流程进行布置，</w:t>
            </w:r>
            <w:r>
              <w:rPr>
                <w:rFonts w:hint="eastAsia"/>
              </w:rPr>
              <w:t>优化</w:t>
            </w:r>
            <w:r>
              <w:t>布置</w:t>
            </w:r>
            <w:r>
              <w:rPr>
                <w:rFonts w:hint="eastAsia"/>
              </w:rPr>
              <w:t>生产</w:t>
            </w:r>
            <w:r>
              <w:t>车间，原料区及成品区布置于车间</w:t>
            </w:r>
            <w:r>
              <w:rPr>
                <w:rFonts w:hint="eastAsia"/>
              </w:rPr>
              <w:t>西侧</w:t>
            </w:r>
            <w:r>
              <w:t>和</w:t>
            </w:r>
            <w:r>
              <w:rPr>
                <w:rFonts w:hint="eastAsia"/>
              </w:rPr>
              <w:t>南侧，厂房西、南侧</w:t>
            </w:r>
            <w:r>
              <w:t>设置有汽车通道</w:t>
            </w:r>
            <w:r>
              <w:rPr>
                <w:rFonts w:hint="eastAsia"/>
              </w:rPr>
              <w:t>和货运</w:t>
            </w:r>
            <w:r>
              <w:t>电梯，方便货物的运输，整个车间布置合理。</w:t>
            </w:r>
          </w:p>
          <w:p>
            <w:pPr>
              <w:ind w:firstLine="480"/>
              <w:rPr>
                <w:bCs/>
                <w:szCs w:val="21"/>
              </w:rPr>
            </w:pPr>
            <w:r>
              <w:rPr>
                <w:bCs/>
                <w:szCs w:val="21"/>
              </w:rPr>
              <w:t>项目总平面布置图详见附图4，车间平面布置图详见附图5。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604" w:hRule="atLeast"/>
          <w:jc w:val="center"/>
        </w:trPr>
        <w:tc>
          <w:tcPr>
            <w:tcW w:w="452" w:type="dxa"/>
            <w:vAlign w:val="center"/>
          </w:tcPr>
          <w:p>
            <w:pPr>
              <w:adjustRightInd w:val="0"/>
              <w:snapToGrid w:val="0"/>
              <w:ind w:firstLine="0" w:firstLineChars="0"/>
              <w:rPr>
                <w:szCs w:val="21"/>
              </w:rPr>
            </w:pPr>
            <w:r>
              <w:rPr>
                <w:szCs w:val="21"/>
              </w:rPr>
              <w:t>工艺流程和产排污环节</w:t>
            </w:r>
          </w:p>
        </w:tc>
        <w:tc>
          <w:tcPr>
            <w:tcW w:w="9274" w:type="dxa"/>
            <w:tcBorders>
              <w:bottom w:val="single" w:color="auto" w:sz="4" w:space="0"/>
            </w:tcBorders>
          </w:tcPr>
          <w:p>
            <w:pPr>
              <w:ind w:firstLine="482"/>
              <w:rPr>
                <w:b/>
              </w:rPr>
            </w:pPr>
            <w:r>
              <w:rPr>
                <w:b/>
              </w:rPr>
              <w:t>1、施工期工艺流程</w:t>
            </w:r>
          </w:p>
          <w:p>
            <w:pPr>
              <w:ind w:firstLine="480"/>
            </w:pPr>
            <w:r>
              <w:t>本项目利用现有的厂房进行设备安装。根据现场了解与调查，厂房配套设施已完善，项目施工期为设备安装、调试生产，建设内容较少，施工周期较短</w:t>
            </w:r>
            <w:r>
              <w:rPr>
                <w:rFonts w:hint="eastAsia"/>
              </w:rPr>
              <w:t>，目前项目</w:t>
            </w:r>
            <w:r>
              <w:t>已建设完成</w:t>
            </w:r>
            <w:r>
              <w:rPr>
                <w:rFonts w:hint="eastAsia"/>
              </w:rPr>
              <w:t>。</w:t>
            </w:r>
          </w:p>
          <w:p>
            <w:pPr>
              <w:ind w:firstLine="482"/>
              <w:rPr>
                <w:b/>
              </w:rPr>
            </w:pPr>
            <w:r>
              <w:rPr>
                <w:b/>
              </w:rPr>
              <w:t>2、运营期工艺流程</w:t>
            </w:r>
          </w:p>
          <w:p>
            <w:pPr>
              <w:ind w:firstLine="480"/>
            </w:pPr>
            <w:r>
              <w:rPr>
                <w:rFonts w:hint="eastAsia"/>
              </w:rPr>
              <w:t>本项目</w:t>
            </w:r>
            <w:r>
              <w:t>主要生产苕皮和卤豆干</w:t>
            </w:r>
            <w:r>
              <w:rPr>
                <w:rFonts w:hint="eastAsia"/>
              </w:rPr>
              <w:t>，项目</w:t>
            </w:r>
            <w:r>
              <w:t>工艺流程如下。</w:t>
            </w:r>
          </w:p>
          <w:p>
            <w:pPr>
              <w:ind w:firstLine="480"/>
            </w:pPr>
            <w:r>
              <w:rPr>
                <w:rFonts w:hint="eastAsia"/>
              </w:rPr>
              <w:t>（1）苕皮生产</w:t>
            </w:r>
            <w:r>
              <w:t>工艺</w:t>
            </w:r>
          </w:p>
          <w:p>
            <w:pPr>
              <w:ind w:firstLine="0" w:firstLineChars="0"/>
              <w:jc w:val="center"/>
            </w:pPr>
            <w:r>
              <w:object>
                <v:shape id="_x0000_i1026" o:spt="75" type="#_x0000_t75" style="height:102pt;width:449.25pt;" o:ole="t" filled="f" o:preferrelative="t" stroked="f" coordsize="21600,21600">
                  <v:path/>
                  <v:fill on="f" focussize="0,0"/>
                  <v:stroke on="f" joinstyle="miter"/>
                  <v:imagedata r:id="rId21" o:title=""/>
                  <o:lock v:ext="edit" aspectratio="t"/>
                  <w10:wrap type="none"/>
                  <w10:anchorlock/>
                </v:shape>
                <o:OLEObject Type="Embed" ProgID="Visio.Drawing.11" ShapeID="_x0000_i1026" DrawAspect="Content" ObjectID="_1468075726" r:id="rId20">
                  <o:LockedField>false</o:LockedField>
                </o:OLEObject>
              </w:object>
            </w:r>
          </w:p>
          <w:p>
            <w:pPr>
              <w:ind w:firstLine="0" w:firstLineChars="0"/>
              <w:jc w:val="center"/>
            </w:pPr>
            <w:r>
              <w:rPr>
                <w:rFonts w:hint="eastAsia"/>
              </w:rPr>
              <w:t>图2</w:t>
            </w:r>
            <w:r>
              <w:t>-</w:t>
            </w:r>
            <w:r>
              <w:rPr>
                <w:rFonts w:hint="eastAsia"/>
              </w:rPr>
              <w:t>2 苕皮</w:t>
            </w:r>
            <w:r>
              <w:t>加工生产工艺流程及产排污</w:t>
            </w:r>
            <w:r>
              <w:rPr>
                <w:rFonts w:hint="eastAsia"/>
              </w:rPr>
              <w:t>环节</w:t>
            </w:r>
          </w:p>
          <w:p>
            <w:pPr>
              <w:ind w:firstLine="480"/>
            </w:pPr>
            <w:r>
              <w:rPr>
                <w:rFonts w:hint="eastAsia" w:ascii="宋体" w:hAnsi="宋体" w:cs="宋体"/>
              </w:rPr>
              <w:t>①</w:t>
            </w:r>
            <w:r>
              <w:t>脱袋、投料：原料淀粉（红薯淀粉、木薯淀粉、玉米淀粉、蕨根淀粉）按照比例分别投入搅拌机和夹层锅中进行浆液的制作和勾芡汁制作，此过程产生废包装材料S1和少量投料粉尘G1；</w:t>
            </w:r>
          </w:p>
          <w:p>
            <w:pPr>
              <w:ind w:firstLine="480"/>
            </w:pPr>
            <w:r>
              <w:rPr>
                <w:rFonts w:hint="eastAsia" w:ascii="宋体" w:hAnsi="宋体" w:cs="宋体"/>
              </w:rPr>
              <w:t>②</w:t>
            </w:r>
            <w:r>
              <w:t>勾芡：夹层锅中按照木薯淀粉与水1:1的比例投入，蒸汽加热温度控制在80</w:t>
            </w:r>
            <w:r>
              <w:rPr>
                <w:rFonts w:hint="eastAsia" w:ascii="宋体" w:hAnsi="宋体" w:cs="宋体"/>
              </w:rPr>
              <w:t>℃</w:t>
            </w:r>
            <w:r>
              <w:t xml:space="preserve">左右，形成勾芡汁； </w:t>
            </w:r>
          </w:p>
          <w:p>
            <w:pPr>
              <w:ind w:firstLine="480"/>
            </w:pPr>
            <w:r>
              <w:rPr>
                <w:rFonts w:hint="eastAsia" w:ascii="宋体" w:hAnsi="宋体" w:cs="宋体"/>
              </w:rPr>
              <w:t>③</w:t>
            </w:r>
            <w:r>
              <w:t>搅拌：搅拌机内按照红薯淀粉、木薯淀粉、玉米淀粉、蕨根淀粉和水比例4:1:1:1:7投入后进行高速搅拌，搅拌过程加入勾芡汁，使淀粉浆液均匀混合。搅拌均匀后淀粉浆液通过管道输送低速搅拌机，使其保持均匀混合状态；</w:t>
            </w:r>
          </w:p>
          <w:p>
            <w:pPr>
              <w:ind w:firstLine="480"/>
            </w:pPr>
            <w:r>
              <w:rPr>
                <w:rFonts w:hint="eastAsia" w:ascii="宋体" w:hAnsi="宋体" w:cs="宋体"/>
              </w:rPr>
              <w:t>④</w:t>
            </w:r>
            <w:r>
              <w:t>熟化：将淀粉浆均匀的添加到多功能苕皮机内，使其在苕皮机的蒸盘内铺浆成型，铺浆后进入蒸煮箱内，通过皮带传送机在设备内蒸汽加热，淀粉浆料在蒸汽的高温加热作用下熟化。熟化温度控制在95~100</w:t>
            </w:r>
            <w:r>
              <w:rPr>
                <w:rFonts w:hint="eastAsia" w:ascii="宋体" w:hAnsi="宋体" w:cs="宋体"/>
              </w:rPr>
              <w:t>℃</w:t>
            </w:r>
            <w:r>
              <w:t>，时间控制在1~2min</w:t>
            </w:r>
            <w:r>
              <w:rPr>
                <w:rFonts w:hint="eastAsia"/>
              </w:rPr>
              <w:t>；</w:t>
            </w:r>
          </w:p>
          <w:p>
            <w:pPr>
              <w:ind w:firstLine="480"/>
            </w:pPr>
            <w:r>
              <w:rPr>
                <w:rFonts w:hint="eastAsia" w:ascii="宋体" w:hAnsi="宋体" w:cs="宋体"/>
              </w:rPr>
              <w:t>⑤</w:t>
            </w:r>
            <w:r>
              <w:t>冷却老化：蒸熟后的苕皮通过传送带进入冷库进行冷却老化，温度控制在3~5</w:t>
            </w:r>
            <w:r>
              <w:rPr>
                <w:rFonts w:hint="eastAsia" w:ascii="宋体" w:hAnsi="宋体" w:cs="宋体"/>
              </w:rPr>
              <w:t>℃</w:t>
            </w:r>
            <w:r>
              <w:t>，时间控制在10~12min</w:t>
            </w:r>
            <w:r>
              <w:rPr>
                <w:rFonts w:hint="eastAsia"/>
              </w:rPr>
              <w:t>；</w:t>
            </w:r>
          </w:p>
          <w:p>
            <w:pPr>
              <w:ind w:firstLine="480"/>
            </w:pPr>
            <w:r>
              <w:rPr>
                <w:rFonts w:hint="eastAsia" w:ascii="宋体" w:hAnsi="宋体" w:cs="宋体"/>
                <w:lang w:eastAsia="ja-JP"/>
              </w:rPr>
              <w:t>⑥</w:t>
            </w:r>
            <w:r>
              <w:rPr>
                <w:lang w:eastAsia="ja-JP"/>
              </w:rPr>
              <w:t>分切：</w:t>
            </w:r>
            <w:r>
              <w:rPr>
                <w:rFonts w:hint="eastAsia"/>
              </w:rPr>
              <w:t>使用多功能苕皮机末端</w:t>
            </w:r>
            <w:r>
              <w:t>的分切设备对冷却后的苕皮</w:t>
            </w:r>
            <w:r>
              <w:rPr>
                <w:rFonts w:hint="eastAsia"/>
              </w:rPr>
              <w:t>按照</w:t>
            </w:r>
            <w:r>
              <w:t>预设尺寸进行分切，此过程产生边角料</w:t>
            </w:r>
            <w:r>
              <w:rPr>
                <w:rFonts w:hint="eastAsia"/>
              </w:rPr>
              <w:t>S2</w:t>
            </w:r>
            <w:r>
              <w:t>；</w:t>
            </w:r>
          </w:p>
          <w:p>
            <w:pPr>
              <w:ind w:firstLine="480"/>
            </w:pPr>
            <w:r>
              <w:rPr>
                <w:rFonts w:hint="eastAsia"/>
              </w:rPr>
              <w:t>⑦检验</w:t>
            </w:r>
            <w:r>
              <w:t>：对</w:t>
            </w:r>
            <w:r>
              <w:rPr>
                <w:rFonts w:hint="eastAsia"/>
              </w:rPr>
              <w:t>分切</w:t>
            </w:r>
            <w:r>
              <w:t>后的苕皮</w:t>
            </w:r>
            <w:r>
              <w:rPr>
                <w:rFonts w:hint="eastAsia"/>
              </w:rPr>
              <w:t>进行抽样</w:t>
            </w:r>
            <w:r>
              <w:t>检验含水率，通过</w:t>
            </w:r>
            <w:r>
              <w:rPr>
                <w:rFonts w:hint="eastAsia"/>
              </w:rPr>
              <w:t>测量</w:t>
            </w:r>
            <w:r>
              <w:t>烘干前后质量的变化，</w:t>
            </w:r>
            <w:r>
              <w:rPr>
                <w:rFonts w:hint="eastAsia"/>
              </w:rPr>
              <w:t>了解</w:t>
            </w:r>
            <w:r>
              <w:t>产品的含水率</w:t>
            </w:r>
            <w:r>
              <w:rPr>
                <w:rFonts w:hint="eastAsia"/>
              </w:rPr>
              <w:t>情况</w:t>
            </w:r>
            <w:r>
              <w:t>，但不作为产品</w:t>
            </w:r>
            <w:r>
              <w:rPr>
                <w:rFonts w:hint="eastAsia"/>
              </w:rPr>
              <w:t>质量评判</w:t>
            </w:r>
            <w:r>
              <w:t>指标</w:t>
            </w:r>
            <w:r>
              <w:rPr>
                <w:rFonts w:hint="eastAsia"/>
              </w:rPr>
              <w:t>。</w:t>
            </w:r>
            <w:r>
              <w:t>此过程</w:t>
            </w:r>
            <w:r>
              <w:rPr>
                <w:rFonts w:hint="eastAsia"/>
              </w:rPr>
              <w:t>产生</w:t>
            </w:r>
            <w:r>
              <w:t>检验废品S3；</w:t>
            </w:r>
          </w:p>
          <w:p>
            <w:pPr>
              <w:ind w:firstLine="480"/>
            </w:pPr>
            <w:r>
              <w:rPr>
                <w:rFonts w:hint="eastAsia"/>
              </w:rPr>
              <w:t>⑧</w:t>
            </w:r>
            <w:r>
              <w:t>包装</w:t>
            </w:r>
            <w:r>
              <w:rPr>
                <w:rFonts w:hint="eastAsia"/>
              </w:rPr>
              <w:t>：满足</w:t>
            </w:r>
            <w:r>
              <w:t>要求的产品进行包装，</w:t>
            </w:r>
            <w:r>
              <w:rPr>
                <w:rFonts w:hint="eastAsia"/>
              </w:rPr>
              <w:t>包装</w:t>
            </w:r>
            <w:r>
              <w:t>前内包装袋提前放置</w:t>
            </w:r>
            <w:r>
              <w:rPr>
                <w:rFonts w:hint="eastAsia"/>
              </w:rPr>
              <w:t>于</w:t>
            </w:r>
            <w:r>
              <w:t>包材灭菌柜中灭菌</w:t>
            </w:r>
            <w:r>
              <w:rPr>
                <w:rFonts w:hint="eastAsia"/>
              </w:rPr>
              <w:t>30分钟；人工将</w:t>
            </w:r>
            <w:r>
              <w:t>产品称量后由真空包装</w:t>
            </w:r>
            <w:r>
              <w:rPr>
                <w:rFonts w:hint="eastAsia"/>
              </w:rPr>
              <w:t>机</w:t>
            </w:r>
            <w:r>
              <w:t>进行内包装</w:t>
            </w:r>
            <w:r>
              <w:rPr>
                <w:rFonts w:hint="eastAsia"/>
              </w:rPr>
              <w:t>，再</w:t>
            </w:r>
            <w:r>
              <w:t>通过</w:t>
            </w:r>
            <w:r>
              <w:rPr>
                <w:rFonts w:hint="eastAsia"/>
              </w:rPr>
              <w:t>人工纸箱</w:t>
            </w:r>
            <w:r>
              <w:t>打包进行外包装</w:t>
            </w:r>
            <w:r>
              <w:rPr>
                <w:rFonts w:hint="eastAsia"/>
              </w:rPr>
              <w:t>；此过程</w:t>
            </w:r>
            <w:r>
              <w:t>产生废包装</w:t>
            </w:r>
            <w:r>
              <w:rPr>
                <w:rFonts w:hint="eastAsia"/>
              </w:rPr>
              <w:t>材料</w:t>
            </w:r>
            <w:r>
              <w:t>S1。</w:t>
            </w:r>
          </w:p>
          <w:p>
            <w:pPr>
              <w:ind w:firstLine="480"/>
            </w:pPr>
            <w:r>
              <w:rPr>
                <w:rFonts w:hint="eastAsia"/>
              </w:rPr>
              <w:t>⑨</w:t>
            </w:r>
            <w:r>
              <w:t>入库</w:t>
            </w:r>
            <w:r>
              <w:rPr>
                <w:rFonts w:hint="eastAsia"/>
              </w:rPr>
              <w:t>：包装后</w:t>
            </w:r>
            <w:r>
              <w:t>产品送至成品库房进行</w:t>
            </w:r>
            <w:r>
              <w:rPr>
                <w:rFonts w:hint="eastAsia"/>
              </w:rPr>
              <w:t>常温</w:t>
            </w:r>
            <w:r>
              <w:t>暂存</w:t>
            </w:r>
            <w:r>
              <w:rPr>
                <w:rFonts w:hint="eastAsia"/>
              </w:rPr>
              <w:t>。</w:t>
            </w:r>
          </w:p>
          <w:p>
            <w:pPr>
              <w:ind w:firstLine="480"/>
            </w:pPr>
            <w:r>
              <w:rPr>
                <w:rFonts w:hint="eastAsia"/>
              </w:rPr>
              <w:t>（2）卤豆干</w:t>
            </w:r>
            <w:r>
              <w:t>生产</w:t>
            </w:r>
          </w:p>
          <w:p>
            <w:pPr>
              <w:ind w:firstLine="0" w:firstLineChars="0"/>
              <w:jc w:val="center"/>
            </w:pPr>
            <w:r>
              <w:object>
                <v:shape id="_x0000_i1027" o:spt="75" type="#_x0000_t75" style="height:59.25pt;width:333pt;" o:ole="t" filled="f" o:preferrelative="t" stroked="f" coordsize="21600,21600">
                  <v:path/>
                  <v:fill on="f" focussize="0,0"/>
                  <v:stroke on="f" joinstyle="miter"/>
                  <v:imagedata r:id="rId23" o:title=""/>
                  <o:lock v:ext="edit" aspectratio="t"/>
                  <w10:wrap type="none"/>
                  <w10:anchorlock/>
                </v:shape>
                <o:OLEObject Type="Embed" ProgID="Visio.Drawing.11" ShapeID="_x0000_i1027" DrawAspect="Content" ObjectID="_1468075727" r:id="rId22">
                  <o:LockedField>false</o:LockedField>
                </o:OLEObject>
              </w:object>
            </w:r>
          </w:p>
          <w:p>
            <w:pPr>
              <w:ind w:firstLine="0" w:firstLineChars="0"/>
              <w:jc w:val="center"/>
            </w:pPr>
            <w:r>
              <w:rPr>
                <w:rFonts w:hint="eastAsia"/>
              </w:rPr>
              <w:t>图2</w:t>
            </w:r>
            <w:r>
              <w:t>-3</w:t>
            </w:r>
            <w:r>
              <w:rPr>
                <w:rFonts w:hint="eastAsia"/>
              </w:rPr>
              <w:t xml:space="preserve"> 卤豆干</w:t>
            </w:r>
            <w:r>
              <w:t>加工生产工艺流程及产排污</w:t>
            </w:r>
            <w:r>
              <w:rPr>
                <w:rFonts w:hint="eastAsia"/>
              </w:rPr>
              <w:t>环节</w:t>
            </w:r>
          </w:p>
          <w:p>
            <w:pPr>
              <w:ind w:firstLine="480"/>
            </w:pPr>
            <w:r>
              <w:rPr>
                <w:rFonts w:hint="eastAsia"/>
              </w:rPr>
              <w:t>①</w:t>
            </w:r>
            <w:r>
              <w:t>卤制：</w:t>
            </w:r>
            <w:r>
              <w:rPr>
                <w:rFonts w:hint="eastAsia"/>
              </w:rPr>
              <w:t>在</w:t>
            </w:r>
            <w:r>
              <w:rPr>
                <w:rFonts w:hint="eastAsia"/>
                <w:bCs/>
              </w:rPr>
              <w:t>每个</w:t>
            </w:r>
            <w:r>
              <w:rPr>
                <w:bCs/>
              </w:rPr>
              <w:t>卤制锅内添加</w:t>
            </w:r>
            <w:r>
              <w:rPr>
                <w:rFonts w:hint="eastAsia"/>
                <w:bCs/>
              </w:rPr>
              <w:t>约0.</w:t>
            </w:r>
            <w:r>
              <w:rPr>
                <w:bCs/>
              </w:rPr>
              <w:t>06m</w:t>
            </w:r>
            <w:r>
              <w:rPr>
                <w:bCs/>
                <w:vertAlign w:val="superscript"/>
              </w:rPr>
              <w:t>3</w:t>
            </w:r>
            <w:r>
              <w:rPr>
                <w:bCs/>
              </w:rPr>
              <w:t>清水，将糖色和食盐按</w:t>
            </w:r>
            <w:r>
              <w:rPr>
                <w:rFonts w:hint="eastAsia"/>
                <w:bCs/>
              </w:rPr>
              <w:t>比例</w:t>
            </w:r>
            <w:r>
              <w:rPr>
                <w:bCs/>
              </w:rPr>
              <w:t>添加</w:t>
            </w:r>
            <w:r>
              <w:rPr>
                <w:rFonts w:hint="eastAsia"/>
                <w:bCs/>
              </w:rPr>
              <w:t>，</w:t>
            </w:r>
            <w:r>
              <w:rPr>
                <w:bCs/>
              </w:rPr>
              <w:t>利用</w:t>
            </w:r>
            <w:r>
              <w:rPr>
                <w:rFonts w:hint="eastAsia"/>
                <w:bCs/>
              </w:rPr>
              <w:t>蒸汽直接</w:t>
            </w:r>
            <w:r>
              <w:rPr>
                <w:bCs/>
              </w:rPr>
              <w:t>通入卤制锅中进行</w:t>
            </w:r>
            <w:r>
              <w:rPr>
                <w:rFonts w:hint="eastAsia"/>
                <w:bCs/>
              </w:rPr>
              <w:t>加热，加热</w:t>
            </w:r>
            <w:r>
              <w:rPr>
                <w:bCs/>
              </w:rPr>
              <w:t>温度约</w:t>
            </w:r>
            <w:r>
              <w:rPr>
                <w:rFonts w:hint="eastAsia"/>
                <w:bCs/>
              </w:rPr>
              <w:t>9</w:t>
            </w:r>
            <w:r>
              <w:rPr>
                <w:bCs/>
              </w:rPr>
              <w:t>5~100</w:t>
            </w:r>
            <w:r>
              <w:rPr>
                <w:rFonts w:hint="eastAsia"/>
                <w:bCs/>
              </w:rPr>
              <w:t>℃</w:t>
            </w:r>
            <w:r>
              <w:rPr>
                <w:bCs/>
              </w:rPr>
              <w:t>，</w:t>
            </w:r>
            <w:r>
              <w:rPr>
                <w:rFonts w:hint="eastAsia"/>
                <w:bCs/>
              </w:rPr>
              <w:t>卤制</w:t>
            </w:r>
            <w:r>
              <w:rPr>
                <w:bCs/>
              </w:rPr>
              <w:t>时间控制</w:t>
            </w:r>
            <w:r>
              <w:rPr>
                <w:rFonts w:hint="eastAsia"/>
                <w:bCs/>
              </w:rPr>
              <w:t>在2</w:t>
            </w:r>
            <w:r>
              <w:t>~3min</w:t>
            </w:r>
            <w:r>
              <w:rPr>
                <w:rFonts w:hint="eastAsia"/>
              </w:rPr>
              <w:t>。</w:t>
            </w:r>
            <w:r>
              <w:rPr>
                <w:rFonts w:hint="eastAsia"/>
                <w:bCs/>
              </w:rPr>
              <w:t>卤水</w:t>
            </w:r>
            <w:r>
              <w:rPr>
                <w:bCs/>
              </w:rPr>
              <w:t>每</w:t>
            </w:r>
            <w:r>
              <w:rPr>
                <w:rFonts w:hint="eastAsia"/>
                <w:bCs/>
              </w:rPr>
              <w:t>半个</w:t>
            </w:r>
            <w:r>
              <w:rPr>
                <w:bCs/>
              </w:rPr>
              <w:t>月更换一次</w:t>
            </w:r>
            <w:r>
              <w:rPr>
                <w:rFonts w:hint="eastAsia"/>
                <w:bCs/>
              </w:rPr>
              <w:t>，每日</w:t>
            </w:r>
            <w:r>
              <w:rPr>
                <w:bCs/>
              </w:rPr>
              <w:t>根据消耗情况进行补充</w:t>
            </w:r>
            <w:r>
              <w:rPr>
                <w:rFonts w:hint="eastAsia"/>
                <w:bCs/>
              </w:rPr>
              <w:t>，</w:t>
            </w:r>
            <w:r>
              <w:rPr>
                <w:bCs/>
              </w:rPr>
              <w:t>此过程产生W1卤制废水。</w:t>
            </w:r>
          </w:p>
          <w:p>
            <w:pPr>
              <w:ind w:firstLine="480"/>
            </w:pPr>
            <w:r>
              <w:rPr>
                <w:rFonts w:hint="eastAsia"/>
              </w:rPr>
              <w:t>②</w:t>
            </w:r>
            <w:r>
              <w:t>冷却：</w:t>
            </w:r>
            <w:r>
              <w:rPr>
                <w:rFonts w:hint="eastAsia"/>
              </w:rPr>
              <w:t>豆干</w:t>
            </w:r>
            <w:r>
              <w:t>卤制后</w:t>
            </w:r>
            <w:r>
              <w:rPr>
                <w:rFonts w:hint="eastAsia"/>
              </w:rPr>
              <w:t>沥水</w:t>
            </w:r>
            <w:r>
              <w:t>捞后置于摊凉架</w:t>
            </w:r>
            <w:r>
              <w:rPr>
                <w:rFonts w:hint="eastAsia"/>
              </w:rPr>
              <w:t>上</w:t>
            </w:r>
            <w:r>
              <w:t>进行</w:t>
            </w:r>
            <w:r>
              <w:rPr>
                <w:rFonts w:hint="eastAsia"/>
              </w:rPr>
              <w:t>人工</w:t>
            </w:r>
            <w:r>
              <w:t>铺平自然冷却</w:t>
            </w:r>
            <w:r>
              <w:rPr>
                <w:rFonts w:hint="eastAsia"/>
              </w:rPr>
              <w:t>；</w:t>
            </w:r>
          </w:p>
          <w:p>
            <w:pPr>
              <w:ind w:firstLine="480"/>
            </w:pPr>
            <w:r>
              <w:rPr>
                <w:rFonts w:hint="eastAsia"/>
              </w:rPr>
              <w:t>③</w:t>
            </w:r>
            <w:r>
              <w:t>包装：</w:t>
            </w:r>
            <w:r>
              <w:rPr>
                <w:rFonts w:hint="eastAsia"/>
              </w:rPr>
              <w:t>包装</w:t>
            </w:r>
            <w:r>
              <w:t>前内包装袋提前放置</w:t>
            </w:r>
            <w:r>
              <w:rPr>
                <w:rFonts w:hint="eastAsia"/>
              </w:rPr>
              <w:t>于</w:t>
            </w:r>
            <w:r>
              <w:t>包材灭菌柜中灭菌</w:t>
            </w:r>
            <w:r>
              <w:rPr>
                <w:rFonts w:hint="eastAsia"/>
              </w:rPr>
              <w:t>30分钟；人工将</w:t>
            </w:r>
            <w:r>
              <w:t>产品称量后由真空包装</w:t>
            </w:r>
            <w:r>
              <w:rPr>
                <w:rFonts w:hint="eastAsia"/>
              </w:rPr>
              <w:t>机</w:t>
            </w:r>
            <w:r>
              <w:t>进行内包装</w:t>
            </w:r>
            <w:r>
              <w:rPr>
                <w:rFonts w:hint="eastAsia"/>
              </w:rPr>
              <w:t>，再</w:t>
            </w:r>
            <w:r>
              <w:t>通过</w:t>
            </w:r>
            <w:r>
              <w:rPr>
                <w:rFonts w:hint="eastAsia"/>
              </w:rPr>
              <w:t>人工纸箱</w:t>
            </w:r>
            <w:r>
              <w:t>打包进行外包装</w:t>
            </w:r>
            <w:r>
              <w:rPr>
                <w:rFonts w:hint="eastAsia"/>
              </w:rPr>
              <w:t>；此过程</w:t>
            </w:r>
            <w:r>
              <w:t>产生废包装</w:t>
            </w:r>
            <w:r>
              <w:rPr>
                <w:rFonts w:hint="eastAsia"/>
              </w:rPr>
              <w:t>材料</w:t>
            </w:r>
            <w:r>
              <w:t>S1</w:t>
            </w:r>
            <w:r>
              <w:rPr>
                <w:rFonts w:hint="eastAsia"/>
              </w:rPr>
              <w:t>、</w:t>
            </w:r>
            <w:r>
              <w:t>破损的豆干S4。</w:t>
            </w:r>
          </w:p>
          <w:p>
            <w:pPr>
              <w:ind w:firstLine="480"/>
            </w:pPr>
            <w:r>
              <w:rPr>
                <w:rFonts w:hint="eastAsia"/>
              </w:rPr>
              <w:t>④</w:t>
            </w:r>
            <w:r>
              <w:t>入库：</w:t>
            </w:r>
            <w:r>
              <w:rPr>
                <w:rFonts w:hint="eastAsia"/>
              </w:rPr>
              <w:t>包装后</w:t>
            </w:r>
            <w:r>
              <w:t>产品送至</w:t>
            </w:r>
            <w:r>
              <w:rPr>
                <w:rFonts w:hint="eastAsia"/>
              </w:rPr>
              <w:t>豆干冷藏库</w:t>
            </w:r>
            <w:r>
              <w:t>进行</w:t>
            </w:r>
            <w:r>
              <w:rPr>
                <w:rFonts w:hint="eastAsia"/>
              </w:rPr>
              <w:t>低温（3</w:t>
            </w:r>
            <w:r>
              <w:t>~</w:t>
            </w:r>
            <w:r>
              <w:rPr>
                <w:rFonts w:hint="eastAsia"/>
              </w:rPr>
              <w:t>5℃）</w:t>
            </w:r>
            <w:r>
              <w:t>暂存</w:t>
            </w:r>
            <w:r>
              <w:rPr>
                <w:rFonts w:hint="eastAsia"/>
              </w:rPr>
              <w:t>。</w:t>
            </w:r>
          </w:p>
          <w:p>
            <w:pPr>
              <w:ind w:firstLine="482"/>
              <w:rPr>
                <w:b/>
                <w:bCs/>
                <w:szCs w:val="21"/>
              </w:rPr>
            </w:pPr>
            <w:r>
              <w:rPr>
                <w:rFonts w:hint="eastAsia"/>
                <w:b/>
                <w:bCs/>
                <w:szCs w:val="21"/>
              </w:rPr>
              <w:t>其他</w:t>
            </w:r>
            <w:r>
              <w:rPr>
                <w:b/>
                <w:bCs/>
                <w:szCs w:val="21"/>
              </w:rPr>
              <w:t>产污</w:t>
            </w:r>
            <w:r>
              <w:rPr>
                <w:rFonts w:hint="eastAsia"/>
                <w:b/>
                <w:bCs/>
                <w:szCs w:val="21"/>
              </w:rPr>
              <w:t>环节</w:t>
            </w:r>
            <w:r>
              <w:rPr>
                <w:b/>
                <w:bCs/>
                <w:szCs w:val="21"/>
              </w:rPr>
              <w:t>：</w:t>
            </w:r>
          </w:p>
          <w:p>
            <w:pPr>
              <w:ind w:firstLine="480"/>
              <w:rPr>
                <w:b/>
                <w:bCs/>
                <w:szCs w:val="21"/>
              </w:rPr>
            </w:pPr>
            <w:r>
              <w:rPr>
                <w:rFonts w:hint="eastAsia"/>
              </w:rPr>
              <w:t>夹层锅</w:t>
            </w:r>
            <w:r>
              <w:t>、</w:t>
            </w:r>
            <w:r>
              <w:rPr>
                <w:rFonts w:hint="eastAsia"/>
              </w:rPr>
              <w:t>搅拌机</w:t>
            </w:r>
            <w:r>
              <w:t>等</w:t>
            </w:r>
            <w:r>
              <w:rPr>
                <w:rFonts w:hint="eastAsia"/>
              </w:rPr>
              <w:t>生产设备</w:t>
            </w:r>
            <w:r>
              <w:t>每日进行清洗</w:t>
            </w:r>
            <w:r>
              <w:rPr>
                <w:rFonts w:hint="eastAsia"/>
              </w:rPr>
              <w:t>，</w:t>
            </w:r>
            <w:r>
              <w:t>豆干摊凉架</w:t>
            </w:r>
            <w:r>
              <w:rPr>
                <w:rFonts w:hint="eastAsia"/>
              </w:rPr>
              <w:t>每日</w:t>
            </w:r>
            <w:r>
              <w:t>擦拭</w:t>
            </w:r>
            <w:r>
              <w:rPr>
                <w:rFonts w:hint="eastAsia"/>
              </w:rPr>
              <w:t>清洁</w:t>
            </w:r>
            <w:r>
              <w:t>，清洗</w:t>
            </w:r>
            <w:r>
              <w:rPr>
                <w:rFonts w:hint="eastAsia"/>
              </w:rPr>
              <w:t>、</w:t>
            </w:r>
            <w:r>
              <w:t>擦拭产生的</w:t>
            </w:r>
            <w:r>
              <w:rPr>
                <w:rFonts w:hint="eastAsia"/>
              </w:rPr>
              <w:t>清洗</w:t>
            </w:r>
            <w:r>
              <w:t>废水W2</w:t>
            </w:r>
            <w:r>
              <w:rPr>
                <w:rFonts w:hint="eastAsia"/>
              </w:rPr>
              <w:t>；</w:t>
            </w:r>
            <w:r>
              <w:t>地面</w:t>
            </w:r>
            <w:r>
              <w:rPr>
                <w:rFonts w:hint="eastAsia"/>
              </w:rPr>
              <w:t>采用</w:t>
            </w:r>
            <w:r>
              <w:t>冲洗</w:t>
            </w:r>
            <w:r>
              <w:rPr>
                <w:rFonts w:hint="eastAsia"/>
              </w:rPr>
              <w:t>与拖扫相结合</w:t>
            </w:r>
            <w:r>
              <w:t>的方式进行清洁，产生地面清洁</w:t>
            </w:r>
            <w:r>
              <w:rPr>
                <w:rFonts w:hint="eastAsia"/>
              </w:rPr>
              <w:t>废水</w:t>
            </w:r>
            <w:r>
              <w:t>W3</w:t>
            </w:r>
            <w:r>
              <w:rPr>
                <w:rFonts w:hint="eastAsia"/>
              </w:rPr>
              <w:t>；员工</w:t>
            </w:r>
            <w:r>
              <w:t>生活污水W4；</w:t>
            </w:r>
            <w:r>
              <w:rPr>
                <w:rFonts w:hint="eastAsia"/>
              </w:rPr>
              <w:t>一体化</w:t>
            </w:r>
            <w:r>
              <w:t>处理设施污泥S5</w:t>
            </w:r>
            <w:r>
              <w:rPr>
                <w:rFonts w:hint="eastAsia"/>
              </w:rPr>
              <w:t>；</w:t>
            </w:r>
            <w:r>
              <w:t>员工生活垃圾S6</w:t>
            </w:r>
            <w:r>
              <w:rPr>
                <w:rFonts w:hint="eastAsia"/>
              </w:rPr>
              <w:t>。</w:t>
            </w:r>
          </w:p>
          <w:p>
            <w:pPr>
              <w:ind w:firstLine="482"/>
              <w:rPr>
                <w:b/>
                <w:bCs/>
                <w:szCs w:val="21"/>
              </w:rPr>
            </w:pPr>
            <w:r>
              <w:rPr>
                <w:b/>
                <w:bCs/>
                <w:szCs w:val="21"/>
              </w:rPr>
              <w:t>3、产排污情况汇总</w:t>
            </w:r>
          </w:p>
          <w:p>
            <w:pPr>
              <w:ind w:firstLine="480"/>
              <w:rPr>
                <w:bCs/>
                <w:szCs w:val="21"/>
              </w:rPr>
            </w:pPr>
            <w:r>
              <w:rPr>
                <w:bCs/>
                <w:szCs w:val="21"/>
              </w:rPr>
              <w:t>项目产污情况详见表2-8。</w:t>
            </w:r>
          </w:p>
          <w:p>
            <w:pPr>
              <w:pStyle w:val="33"/>
              <w:spacing w:before="120"/>
            </w:pPr>
            <w:r>
              <w:t>表2-8    项目产污环节一览表</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61"/>
              <w:gridCol w:w="2463"/>
              <w:gridCol w:w="1739"/>
              <w:gridCol w:w="41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0" w:type="dxa"/>
                  <w:vAlign w:val="center"/>
                </w:tcPr>
                <w:p>
                  <w:pPr>
                    <w:pStyle w:val="34"/>
                    <w:jc w:val="center"/>
                  </w:pPr>
                  <w:r>
                    <w:t>类型</w:t>
                  </w:r>
                </w:p>
              </w:tc>
              <w:tc>
                <w:tcPr>
                  <w:tcW w:w="2403" w:type="dxa"/>
                  <w:vAlign w:val="center"/>
                </w:tcPr>
                <w:p>
                  <w:pPr>
                    <w:pStyle w:val="34"/>
                    <w:jc w:val="center"/>
                  </w:pPr>
                  <w:r>
                    <w:t>编号</w:t>
                  </w:r>
                </w:p>
              </w:tc>
              <w:tc>
                <w:tcPr>
                  <w:tcW w:w="1696" w:type="dxa"/>
                  <w:vAlign w:val="center"/>
                </w:tcPr>
                <w:p>
                  <w:pPr>
                    <w:pStyle w:val="34"/>
                    <w:jc w:val="center"/>
                  </w:pPr>
                  <w:r>
                    <w:t>工序</w:t>
                  </w:r>
                </w:p>
              </w:tc>
              <w:tc>
                <w:tcPr>
                  <w:tcW w:w="4088" w:type="dxa"/>
                  <w:vAlign w:val="center"/>
                </w:tcPr>
                <w:p>
                  <w:pPr>
                    <w:pStyle w:val="34"/>
                    <w:jc w:val="center"/>
                  </w:pPr>
                  <w:r>
                    <w:t>主要污染物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840" w:type="dxa"/>
                  <w:vMerge w:val="restart"/>
                  <w:vAlign w:val="center"/>
                </w:tcPr>
                <w:p>
                  <w:pPr>
                    <w:pStyle w:val="34"/>
                    <w:jc w:val="center"/>
                  </w:pPr>
                  <w:r>
                    <w:t>废水</w:t>
                  </w:r>
                </w:p>
              </w:tc>
              <w:tc>
                <w:tcPr>
                  <w:tcW w:w="2403" w:type="dxa"/>
                  <w:vAlign w:val="center"/>
                </w:tcPr>
                <w:p>
                  <w:pPr>
                    <w:pStyle w:val="34"/>
                    <w:jc w:val="center"/>
                  </w:pPr>
                  <w:r>
                    <w:rPr>
                      <w:rFonts w:hint="eastAsia"/>
                    </w:rPr>
                    <w:t>W</w:t>
                  </w:r>
                  <w:r>
                    <w:t>1卤制废水</w:t>
                  </w:r>
                </w:p>
              </w:tc>
              <w:tc>
                <w:tcPr>
                  <w:tcW w:w="1696" w:type="dxa"/>
                  <w:vAlign w:val="center"/>
                </w:tcPr>
                <w:p>
                  <w:pPr>
                    <w:pStyle w:val="34"/>
                    <w:jc w:val="center"/>
                  </w:pPr>
                  <w:r>
                    <w:rPr>
                      <w:rFonts w:hint="eastAsia"/>
                    </w:rPr>
                    <w:t>卤制</w:t>
                  </w:r>
                  <w:r>
                    <w:t>上色</w:t>
                  </w:r>
                </w:p>
              </w:tc>
              <w:tc>
                <w:tcPr>
                  <w:tcW w:w="4088" w:type="dxa"/>
                  <w:vAlign w:val="center"/>
                </w:tcPr>
                <w:p>
                  <w:pPr>
                    <w:pStyle w:val="34"/>
                    <w:jc w:val="center"/>
                  </w:pPr>
                  <w:r>
                    <w:t>COD、BOD</w:t>
                  </w:r>
                  <w:r>
                    <w:rPr>
                      <w:vertAlign w:val="subscript"/>
                    </w:rPr>
                    <w:t>5</w:t>
                  </w:r>
                  <w:r>
                    <w:t>、SS、NH</w:t>
                  </w:r>
                  <w:r>
                    <w:rPr>
                      <w:vertAlign w:val="subscript"/>
                    </w:rPr>
                    <w:t>3</w:t>
                  </w:r>
                  <w:r>
                    <w:t>-N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0" w:type="dxa"/>
                  <w:vMerge w:val="continue"/>
                  <w:vAlign w:val="center"/>
                </w:tcPr>
                <w:p>
                  <w:pPr>
                    <w:pStyle w:val="34"/>
                    <w:jc w:val="center"/>
                  </w:pPr>
                </w:p>
              </w:tc>
              <w:tc>
                <w:tcPr>
                  <w:tcW w:w="2403" w:type="dxa"/>
                  <w:vAlign w:val="center"/>
                </w:tcPr>
                <w:p>
                  <w:pPr>
                    <w:pStyle w:val="34"/>
                    <w:jc w:val="center"/>
                  </w:pPr>
                  <w:r>
                    <w:rPr>
                      <w:rFonts w:hint="eastAsia"/>
                    </w:rPr>
                    <w:t>W</w:t>
                  </w:r>
                  <w:r>
                    <w:t>2</w:t>
                  </w:r>
                  <w:r>
                    <w:rPr>
                      <w:rFonts w:hint="eastAsia"/>
                    </w:rPr>
                    <w:t>清洗</w:t>
                  </w:r>
                  <w:r>
                    <w:t>废水</w:t>
                  </w:r>
                </w:p>
              </w:tc>
              <w:tc>
                <w:tcPr>
                  <w:tcW w:w="1696" w:type="dxa"/>
                  <w:vAlign w:val="center"/>
                </w:tcPr>
                <w:p>
                  <w:pPr>
                    <w:pStyle w:val="34"/>
                    <w:jc w:val="center"/>
                  </w:pPr>
                  <w:r>
                    <w:t>锅具</w:t>
                  </w:r>
                  <w:r>
                    <w:rPr>
                      <w:rFonts w:hint="eastAsia"/>
                    </w:rPr>
                    <w:t>等</w:t>
                  </w:r>
                  <w:r>
                    <w:t>清洗</w:t>
                  </w:r>
                </w:p>
              </w:tc>
              <w:tc>
                <w:tcPr>
                  <w:tcW w:w="4088" w:type="dxa"/>
                  <w:vAlign w:val="center"/>
                </w:tcPr>
                <w:p>
                  <w:pPr>
                    <w:pStyle w:val="34"/>
                    <w:jc w:val="center"/>
                  </w:pPr>
                  <w:r>
                    <w:t>COD、BOD</w:t>
                  </w:r>
                  <w:r>
                    <w:rPr>
                      <w:vertAlign w:val="subscript"/>
                    </w:rPr>
                    <w:t>5</w:t>
                  </w:r>
                  <w:r>
                    <w:t>、SS、NH</w:t>
                  </w:r>
                  <w:r>
                    <w:rPr>
                      <w:vertAlign w:val="subscript"/>
                    </w:rPr>
                    <w:t>3</w:t>
                  </w:r>
                  <w:r>
                    <w:t>-N</w:t>
                  </w:r>
                  <w:r>
                    <w:rPr>
                      <w:rFonts w:hint="eastAsia"/>
                    </w:rPr>
                    <w:t>、</w:t>
                  </w:r>
                  <w:r>
                    <w:t>TP、TN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840" w:type="dxa"/>
                  <w:vMerge w:val="continue"/>
                  <w:vAlign w:val="center"/>
                </w:tcPr>
                <w:p>
                  <w:pPr>
                    <w:pStyle w:val="34"/>
                    <w:jc w:val="center"/>
                  </w:pPr>
                </w:p>
              </w:tc>
              <w:tc>
                <w:tcPr>
                  <w:tcW w:w="2403" w:type="dxa"/>
                  <w:vAlign w:val="center"/>
                </w:tcPr>
                <w:p>
                  <w:pPr>
                    <w:pStyle w:val="34"/>
                    <w:jc w:val="center"/>
                  </w:pPr>
                  <w:r>
                    <w:rPr>
                      <w:rFonts w:hint="eastAsia"/>
                    </w:rPr>
                    <w:t>W</w:t>
                  </w:r>
                  <w:r>
                    <w:t>3地面清洁废水</w:t>
                  </w:r>
                </w:p>
              </w:tc>
              <w:tc>
                <w:tcPr>
                  <w:tcW w:w="1696" w:type="dxa"/>
                  <w:vAlign w:val="center"/>
                </w:tcPr>
                <w:p>
                  <w:pPr>
                    <w:pStyle w:val="34"/>
                    <w:jc w:val="center"/>
                  </w:pPr>
                  <w:r>
                    <w:rPr>
                      <w:rFonts w:hint="eastAsia"/>
                    </w:rPr>
                    <w:t>车间</w:t>
                  </w:r>
                  <w:r>
                    <w:t>地面清洁</w:t>
                  </w:r>
                </w:p>
              </w:tc>
              <w:tc>
                <w:tcPr>
                  <w:tcW w:w="4088" w:type="dxa"/>
                  <w:vAlign w:val="center"/>
                </w:tcPr>
                <w:p>
                  <w:pPr>
                    <w:pStyle w:val="34"/>
                    <w:jc w:val="center"/>
                  </w:pPr>
                  <w:r>
                    <w:t>COD、BOD</w:t>
                  </w:r>
                  <w:r>
                    <w:rPr>
                      <w:vertAlign w:val="subscript"/>
                    </w:rPr>
                    <w:t>5</w:t>
                  </w:r>
                  <w:r>
                    <w:t>、SS、NH</w:t>
                  </w:r>
                  <w:r>
                    <w:rPr>
                      <w:vertAlign w:val="subscript"/>
                    </w:rPr>
                    <w:t>3</w:t>
                  </w:r>
                  <w:r>
                    <w:t>-N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0" w:type="dxa"/>
                  <w:vMerge w:val="continue"/>
                  <w:vAlign w:val="center"/>
                </w:tcPr>
                <w:p>
                  <w:pPr>
                    <w:pStyle w:val="34"/>
                    <w:jc w:val="center"/>
                  </w:pPr>
                </w:p>
              </w:tc>
              <w:tc>
                <w:tcPr>
                  <w:tcW w:w="2403" w:type="dxa"/>
                  <w:vAlign w:val="center"/>
                </w:tcPr>
                <w:p>
                  <w:pPr>
                    <w:pStyle w:val="34"/>
                    <w:jc w:val="center"/>
                  </w:pPr>
                  <w:r>
                    <w:t>W4生活污水</w:t>
                  </w:r>
                </w:p>
              </w:tc>
              <w:tc>
                <w:tcPr>
                  <w:tcW w:w="1696" w:type="dxa"/>
                  <w:vAlign w:val="center"/>
                </w:tcPr>
                <w:p>
                  <w:pPr>
                    <w:pStyle w:val="34"/>
                    <w:jc w:val="center"/>
                  </w:pPr>
                  <w:r>
                    <w:t>员工生活</w:t>
                  </w:r>
                </w:p>
              </w:tc>
              <w:tc>
                <w:tcPr>
                  <w:tcW w:w="4088" w:type="dxa"/>
                  <w:vAlign w:val="center"/>
                </w:tcPr>
                <w:p>
                  <w:pPr>
                    <w:pStyle w:val="34"/>
                    <w:jc w:val="center"/>
                  </w:pPr>
                  <w:r>
                    <w:t>COD、BOD</w:t>
                  </w:r>
                  <w:r>
                    <w:rPr>
                      <w:vertAlign w:val="subscript"/>
                    </w:rPr>
                    <w:t>5</w:t>
                  </w:r>
                  <w:r>
                    <w:t>、SS、NH</w:t>
                  </w:r>
                  <w:r>
                    <w:rPr>
                      <w:vertAlign w:val="subscript"/>
                    </w:rPr>
                    <w:t>3</w:t>
                  </w:r>
                  <w:r>
                    <w:t>-N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840" w:type="dxa"/>
                  <w:vAlign w:val="center"/>
                </w:tcPr>
                <w:p>
                  <w:pPr>
                    <w:pStyle w:val="34"/>
                    <w:jc w:val="center"/>
                  </w:pPr>
                  <w:r>
                    <w:t>噪声</w:t>
                  </w:r>
                </w:p>
              </w:tc>
              <w:tc>
                <w:tcPr>
                  <w:tcW w:w="2403" w:type="dxa"/>
                  <w:vAlign w:val="center"/>
                </w:tcPr>
                <w:p>
                  <w:pPr>
                    <w:pStyle w:val="34"/>
                    <w:jc w:val="center"/>
                  </w:pPr>
                  <w:r>
                    <w:t>N</w:t>
                  </w:r>
                </w:p>
              </w:tc>
              <w:tc>
                <w:tcPr>
                  <w:tcW w:w="1696" w:type="dxa"/>
                  <w:vAlign w:val="center"/>
                </w:tcPr>
                <w:p>
                  <w:pPr>
                    <w:pStyle w:val="34"/>
                    <w:jc w:val="center"/>
                  </w:pPr>
                  <w:r>
                    <w:t>设备噪声</w:t>
                  </w:r>
                </w:p>
              </w:tc>
              <w:tc>
                <w:tcPr>
                  <w:tcW w:w="4088" w:type="dxa"/>
                  <w:vAlign w:val="center"/>
                </w:tcPr>
                <w:p>
                  <w:pPr>
                    <w:pStyle w:val="34"/>
                    <w:jc w:val="center"/>
                  </w:pPr>
                  <w:r>
                    <w:t>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0" w:type="dxa"/>
                  <w:vMerge w:val="restart"/>
                  <w:vAlign w:val="center"/>
                </w:tcPr>
                <w:p>
                  <w:pPr>
                    <w:pStyle w:val="34"/>
                    <w:jc w:val="center"/>
                  </w:pPr>
                  <w:r>
                    <w:t>固废</w:t>
                  </w:r>
                </w:p>
              </w:tc>
              <w:tc>
                <w:tcPr>
                  <w:tcW w:w="2403" w:type="dxa"/>
                  <w:vAlign w:val="center"/>
                </w:tcPr>
                <w:p>
                  <w:pPr>
                    <w:pStyle w:val="34"/>
                    <w:jc w:val="center"/>
                  </w:pPr>
                  <w:r>
                    <w:t>S1</w:t>
                  </w:r>
                  <w:r>
                    <w:rPr>
                      <w:rFonts w:hint="eastAsia"/>
                    </w:rPr>
                    <w:t>废</w:t>
                  </w:r>
                  <w:r>
                    <w:t>包装</w:t>
                  </w:r>
                  <w:r>
                    <w:rPr>
                      <w:rFonts w:hint="eastAsia"/>
                    </w:rPr>
                    <w:t>材料</w:t>
                  </w:r>
                </w:p>
              </w:tc>
              <w:tc>
                <w:tcPr>
                  <w:tcW w:w="1696" w:type="dxa"/>
                  <w:vAlign w:val="center"/>
                </w:tcPr>
                <w:p>
                  <w:pPr>
                    <w:pStyle w:val="34"/>
                    <w:jc w:val="center"/>
                  </w:pPr>
                  <w:r>
                    <w:rPr>
                      <w:rFonts w:hint="eastAsia"/>
                    </w:rPr>
                    <w:t>脱袋、</w:t>
                  </w:r>
                  <w:r>
                    <w:t>包装</w:t>
                  </w:r>
                </w:p>
              </w:tc>
              <w:tc>
                <w:tcPr>
                  <w:tcW w:w="4088" w:type="dxa"/>
                  <w:vAlign w:val="center"/>
                </w:tcPr>
                <w:p>
                  <w:pPr>
                    <w:pStyle w:val="34"/>
                    <w:jc w:val="center"/>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840" w:type="dxa"/>
                  <w:vMerge w:val="continue"/>
                  <w:vAlign w:val="center"/>
                </w:tcPr>
                <w:p>
                  <w:pPr>
                    <w:pStyle w:val="34"/>
                    <w:jc w:val="center"/>
                  </w:pPr>
                </w:p>
              </w:tc>
              <w:tc>
                <w:tcPr>
                  <w:tcW w:w="2403" w:type="dxa"/>
                  <w:vAlign w:val="center"/>
                </w:tcPr>
                <w:p>
                  <w:pPr>
                    <w:pStyle w:val="34"/>
                    <w:jc w:val="center"/>
                  </w:pPr>
                  <w:r>
                    <w:rPr>
                      <w:bCs/>
                      <w:szCs w:val="21"/>
                    </w:rPr>
                    <w:t>S2边角料</w:t>
                  </w:r>
                </w:p>
              </w:tc>
              <w:tc>
                <w:tcPr>
                  <w:tcW w:w="1696" w:type="dxa"/>
                  <w:vAlign w:val="center"/>
                </w:tcPr>
                <w:p>
                  <w:pPr>
                    <w:pStyle w:val="34"/>
                    <w:jc w:val="center"/>
                  </w:pPr>
                  <w:r>
                    <w:rPr>
                      <w:rFonts w:hint="eastAsia"/>
                    </w:rPr>
                    <w:t>分切</w:t>
                  </w:r>
                </w:p>
              </w:tc>
              <w:tc>
                <w:tcPr>
                  <w:tcW w:w="4088" w:type="dxa"/>
                  <w:vAlign w:val="center"/>
                </w:tcPr>
                <w:p>
                  <w:pPr>
                    <w:pStyle w:val="34"/>
                    <w:jc w:val="center"/>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0" w:type="dxa"/>
                  <w:vMerge w:val="continue"/>
                  <w:vAlign w:val="center"/>
                </w:tcPr>
                <w:p>
                  <w:pPr>
                    <w:pStyle w:val="34"/>
                    <w:jc w:val="center"/>
                  </w:pPr>
                </w:p>
              </w:tc>
              <w:tc>
                <w:tcPr>
                  <w:tcW w:w="2403" w:type="dxa"/>
                  <w:vAlign w:val="center"/>
                </w:tcPr>
                <w:p>
                  <w:pPr>
                    <w:pStyle w:val="34"/>
                    <w:jc w:val="center"/>
                  </w:pPr>
                  <w:r>
                    <w:rPr>
                      <w:bCs/>
                      <w:szCs w:val="21"/>
                    </w:rPr>
                    <w:t>S3</w:t>
                  </w:r>
                  <w:r>
                    <w:rPr>
                      <w:rFonts w:hint="eastAsia"/>
                      <w:bCs/>
                      <w:szCs w:val="21"/>
                    </w:rPr>
                    <w:t>检验废品</w:t>
                  </w:r>
                </w:p>
              </w:tc>
              <w:tc>
                <w:tcPr>
                  <w:tcW w:w="1696" w:type="dxa"/>
                  <w:vAlign w:val="center"/>
                </w:tcPr>
                <w:p>
                  <w:pPr>
                    <w:pStyle w:val="34"/>
                    <w:jc w:val="center"/>
                  </w:pPr>
                  <w:r>
                    <w:rPr>
                      <w:rFonts w:hint="eastAsia"/>
                      <w:bCs/>
                      <w:szCs w:val="21"/>
                    </w:rPr>
                    <w:t>检验</w:t>
                  </w:r>
                </w:p>
              </w:tc>
              <w:tc>
                <w:tcPr>
                  <w:tcW w:w="4088" w:type="dxa"/>
                  <w:vAlign w:val="center"/>
                </w:tcPr>
                <w:p>
                  <w:pPr>
                    <w:pStyle w:val="34"/>
                    <w:jc w:val="center"/>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840" w:type="dxa"/>
                  <w:vMerge w:val="continue"/>
                  <w:vAlign w:val="center"/>
                </w:tcPr>
                <w:p>
                  <w:pPr>
                    <w:pStyle w:val="34"/>
                    <w:jc w:val="center"/>
                  </w:pPr>
                </w:p>
              </w:tc>
              <w:tc>
                <w:tcPr>
                  <w:tcW w:w="2403" w:type="dxa"/>
                  <w:vAlign w:val="center"/>
                </w:tcPr>
                <w:p>
                  <w:pPr>
                    <w:pStyle w:val="34"/>
                    <w:jc w:val="center"/>
                    <w:rPr>
                      <w:bCs/>
                      <w:szCs w:val="21"/>
                    </w:rPr>
                  </w:pPr>
                  <w:r>
                    <w:rPr>
                      <w:rFonts w:hint="eastAsia"/>
                      <w:bCs/>
                      <w:szCs w:val="21"/>
                    </w:rPr>
                    <w:t>S4</w:t>
                  </w:r>
                  <w:r>
                    <w:rPr>
                      <w:bCs/>
                      <w:szCs w:val="21"/>
                    </w:rPr>
                    <w:t>破损豆干</w:t>
                  </w:r>
                </w:p>
              </w:tc>
              <w:tc>
                <w:tcPr>
                  <w:tcW w:w="1696" w:type="dxa"/>
                  <w:vAlign w:val="center"/>
                </w:tcPr>
                <w:p>
                  <w:pPr>
                    <w:pStyle w:val="34"/>
                    <w:jc w:val="center"/>
                    <w:rPr>
                      <w:bCs/>
                      <w:szCs w:val="21"/>
                    </w:rPr>
                  </w:pPr>
                  <w:r>
                    <w:rPr>
                      <w:rFonts w:hint="eastAsia"/>
                      <w:bCs/>
                      <w:szCs w:val="21"/>
                    </w:rPr>
                    <w:t>包装</w:t>
                  </w:r>
                </w:p>
              </w:tc>
              <w:tc>
                <w:tcPr>
                  <w:tcW w:w="4088" w:type="dxa"/>
                  <w:vAlign w:val="center"/>
                </w:tcPr>
                <w:p>
                  <w:pPr>
                    <w:pStyle w:val="34"/>
                    <w:jc w:val="center"/>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0" w:type="dxa"/>
                  <w:vMerge w:val="continue"/>
                  <w:vAlign w:val="center"/>
                </w:tcPr>
                <w:p>
                  <w:pPr>
                    <w:pStyle w:val="34"/>
                    <w:jc w:val="center"/>
                  </w:pPr>
                </w:p>
              </w:tc>
              <w:tc>
                <w:tcPr>
                  <w:tcW w:w="2403" w:type="dxa"/>
                  <w:vAlign w:val="center"/>
                </w:tcPr>
                <w:p>
                  <w:pPr>
                    <w:pStyle w:val="34"/>
                    <w:jc w:val="center"/>
                  </w:pPr>
                  <w:r>
                    <w:rPr>
                      <w:rFonts w:hint="eastAsia"/>
                    </w:rPr>
                    <w:t>S</w:t>
                  </w:r>
                  <w:r>
                    <w:t>5</w:t>
                  </w:r>
                  <w:r>
                    <w:rPr>
                      <w:rFonts w:hint="eastAsia"/>
                    </w:rPr>
                    <w:t>一体化</w:t>
                  </w:r>
                  <w:r>
                    <w:t>处理设施污泥</w:t>
                  </w:r>
                </w:p>
              </w:tc>
              <w:tc>
                <w:tcPr>
                  <w:tcW w:w="1696" w:type="dxa"/>
                  <w:vAlign w:val="center"/>
                </w:tcPr>
                <w:p>
                  <w:pPr>
                    <w:pStyle w:val="34"/>
                    <w:jc w:val="center"/>
                  </w:pPr>
                  <w:r>
                    <w:rPr>
                      <w:rFonts w:hint="eastAsia"/>
                    </w:rPr>
                    <w:t>废水</w:t>
                  </w:r>
                  <w:r>
                    <w:t>处理</w:t>
                  </w:r>
                </w:p>
              </w:tc>
              <w:tc>
                <w:tcPr>
                  <w:tcW w:w="4088" w:type="dxa"/>
                  <w:vAlign w:val="center"/>
                </w:tcPr>
                <w:p>
                  <w:pPr>
                    <w:pStyle w:val="34"/>
                    <w:jc w:val="center"/>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840" w:type="dxa"/>
                  <w:vMerge w:val="continue"/>
                  <w:vAlign w:val="center"/>
                </w:tcPr>
                <w:p>
                  <w:pPr>
                    <w:pStyle w:val="34"/>
                    <w:jc w:val="center"/>
                  </w:pPr>
                </w:p>
              </w:tc>
              <w:tc>
                <w:tcPr>
                  <w:tcW w:w="2403" w:type="dxa"/>
                  <w:vAlign w:val="center"/>
                </w:tcPr>
                <w:p>
                  <w:pPr>
                    <w:pStyle w:val="34"/>
                    <w:jc w:val="center"/>
                  </w:pPr>
                  <w:r>
                    <w:t>S6生活垃圾</w:t>
                  </w:r>
                </w:p>
              </w:tc>
              <w:tc>
                <w:tcPr>
                  <w:tcW w:w="1696" w:type="dxa"/>
                  <w:vAlign w:val="center"/>
                </w:tcPr>
                <w:p>
                  <w:pPr>
                    <w:pStyle w:val="34"/>
                    <w:jc w:val="center"/>
                  </w:pPr>
                  <w:r>
                    <w:t>员工生活</w:t>
                  </w:r>
                </w:p>
              </w:tc>
              <w:tc>
                <w:tcPr>
                  <w:tcW w:w="4088" w:type="dxa"/>
                  <w:vAlign w:val="center"/>
                </w:tcPr>
                <w:p>
                  <w:pPr>
                    <w:pStyle w:val="34"/>
                    <w:jc w:val="center"/>
                  </w:pPr>
                  <w:r>
                    <w:t>/</w:t>
                  </w:r>
                </w:p>
              </w:tc>
            </w:tr>
          </w:tbl>
          <w:p>
            <w:pPr>
              <w:pStyle w:val="41"/>
              <w:spacing w:before="120" w:after="120"/>
              <w:rPr>
                <w:b w:val="0"/>
                <w:color w:val="auto"/>
                <w:u w:val="none"/>
              </w:rPr>
            </w:pPr>
          </w:p>
        </w:tc>
      </w:tr>
    </w:tbl>
    <w:p>
      <w:pPr>
        <w:ind w:firstLine="0" w:firstLineChars="0"/>
        <w:rPr>
          <w:snapToGrid w:val="0"/>
          <w:sz w:val="36"/>
          <w:szCs w:val="36"/>
        </w:rPr>
        <w:sectPr>
          <w:pgSz w:w="11906" w:h="16838"/>
          <w:pgMar w:top="1440" w:right="1080" w:bottom="1440" w:left="1080" w:header="851" w:footer="851" w:gutter="0"/>
          <w:cols w:space="720" w:num="1"/>
          <w:docGrid w:linePitch="312" w:charSpace="0"/>
        </w:sectPr>
      </w:pPr>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67"/>
        <w:gridCol w:w="949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447" w:hRule="atLeast"/>
          <w:jc w:val="center"/>
        </w:trPr>
        <w:tc>
          <w:tcPr>
            <w:tcW w:w="456" w:type="dxa"/>
            <w:vAlign w:val="center"/>
          </w:tcPr>
          <w:p>
            <w:pPr>
              <w:ind w:firstLine="0" w:firstLineChars="0"/>
            </w:pPr>
            <w:r>
              <w:t>与项目有关的原有环境污染问题</w:t>
            </w:r>
          </w:p>
        </w:tc>
        <w:tc>
          <w:tcPr>
            <w:tcW w:w="9270" w:type="dxa"/>
          </w:tcPr>
          <w:p>
            <w:pPr>
              <w:ind w:firstLine="480"/>
            </w:pPr>
            <w:r>
              <w:rPr>
                <w:rFonts w:hint="eastAsia"/>
              </w:rPr>
              <w:t>2023年</w:t>
            </w:r>
            <w:r>
              <w:t>5</w:t>
            </w:r>
            <w:r>
              <w:rPr>
                <w:rFonts w:hint="eastAsia"/>
              </w:rPr>
              <w:t>月</w:t>
            </w:r>
            <w:r>
              <w:t>，烤丞相（重庆）食品有限公司</w:t>
            </w:r>
            <w:r>
              <w:rPr>
                <w:rFonts w:hint="eastAsia"/>
              </w:rPr>
              <w:t>租用重庆宜</w:t>
            </w:r>
            <w:r>
              <w:t>企</w:t>
            </w:r>
            <w:r>
              <w:rPr>
                <w:rFonts w:hint="eastAsia"/>
              </w:rPr>
              <w:t>健</w:t>
            </w:r>
            <w:r>
              <w:t>企业管理有限公司2</w:t>
            </w:r>
            <w:r>
              <w:rPr>
                <w:rFonts w:hint="eastAsia"/>
              </w:rPr>
              <w:t>#厂房2楼部分生产车间，面积约</w:t>
            </w:r>
            <w:r>
              <w:t>1682</w:t>
            </w:r>
            <w:r>
              <w:rPr>
                <w:rFonts w:hint="eastAsia"/>
              </w:rPr>
              <w:t>平方米，</w:t>
            </w:r>
            <w:r>
              <w:t>建设“</w:t>
            </w:r>
            <w:r>
              <w:rPr>
                <w:szCs w:val="21"/>
              </w:rPr>
              <w:t>苕皮、豆干生产项目</w:t>
            </w:r>
            <w:r>
              <w:t>”</w:t>
            </w:r>
            <w:r>
              <w:rPr>
                <w:rFonts w:hint="eastAsia"/>
              </w:rPr>
              <w:t>。202</w:t>
            </w:r>
            <w:r>
              <w:t>4</w:t>
            </w:r>
            <w:r>
              <w:rPr>
                <w:rFonts w:hint="eastAsia"/>
              </w:rPr>
              <w:t>年</w:t>
            </w:r>
            <w:r>
              <w:t>1</w:t>
            </w:r>
            <w:r>
              <w:rPr>
                <w:rFonts w:hint="eastAsia"/>
              </w:rPr>
              <w:t>月2日</w:t>
            </w:r>
            <w:r>
              <w:t>，</w:t>
            </w:r>
            <w:r>
              <w:rPr>
                <w:rFonts w:hint="eastAsia"/>
              </w:rPr>
              <w:t>重庆市</w:t>
            </w:r>
            <w:r>
              <w:t>合川区生态环境保护综合行政执法支队</w:t>
            </w:r>
            <w:r>
              <w:rPr>
                <w:rFonts w:hint="eastAsia"/>
              </w:rPr>
              <w:t>对</w:t>
            </w:r>
            <w:r>
              <w:t>烤丞相（重庆）食品有限公司</w:t>
            </w:r>
            <w:r>
              <w:rPr>
                <w:rFonts w:hint="eastAsia"/>
              </w:rPr>
              <w:t>进行了</w:t>
            </w:r>
            <w:r>
              <w:t>检查，发现其建设至今未依法报批环境影响评价</w:t>
            </w:r>
            <w:r>
              <w:rPr>
                <w:rFonts w:hint="eastAsia"/>
              </w:rPr>
              <w:t>文件</w:t>
            </w:r>
            <w:r>
              <w:t>，项目配套建设的环境保护措施未通过环保验收，</w:t>
            </w:r>
            <w:r>
              <w:rPr>
                <w:rFonts w:hint="eastAsia"/>
              </w:rPr>
              <w:t>对其</w:t>
            </w:r>
            <w:r>
              <w:t>出具了责令整改违法</w:t>
            </w:r>
            <w:r>
              <w:rPr>
                <w:rFonts w:hint="eastAsia"/>
              </w:rPr>
              <w:t>行为</w:t>
            </w:r>
            <w:r>
              <w:t>决定书</w:t>
            </w:r>
            <w:r>
              <w:rPr>
                <w:rFonts w:hint="eastAsia"/>
              </w:rPr>
              <w:t>（合</w:t>
            </w:r>
            <w:r>
              <w:t>环（</w:t>
            </w:r>
            <w:r>
              <w:rPr>
                <w:rFonts w:hint="eastAsia"/>
              </w:rPr>
              <w:t>执</w:t>
            </w:r>
            <w:r>
              <w:t>）</w:t>
            </w:r>
            <w:r>
              <w:rPr>
                <w:rFonts w:hint="eastAsia"/>
              </w:rPr>
              <w:t>责</w:t>
            </w:r>
            <w:r>
              <w:t>改字</w:t>
            </w:r>
            <w:r>
              <w:rPr>
                <w:rFonts w:hint="eastAsia"/>
              </w:rPr>
              <w:t>〔2024〕3号）。项目</w:t>
            </w:r>
            <w:r>
              <w:t>属于未批先建，</w:t>
            </w:r>
            <w:r>
              <w:rPr>
                <w:rFonts w:hint="eastAsia"/>
              </w:rPr>
              <w:t>本次</w:t>
            </w:r>
            <w:r>
              <w:t>评价</w:t>
            </w:r>
            <w:r>
              <w:rPr>
                <w:rFonts w:hint="eastAsia"/>
              </w:rPr>
              <w:t>为</w:t>
            </w:r>
            <w:r>
              <w:t>完善该项目的环保手续。</w:t>
            </w:r>
          </w:p>
          <w:p>
            <w:pPr>
              <w:ind w:firstLine="480"/>
            </w:pPr>
            <w:r>
              <w:rPr>
                <w:rFonts w:hint="eastAsia"/>
              </w:rPr>
              <w:t>本项目为新建项目，租用宜企健公司</w:t>
            </w:r>
            <w:r>
              <w:t>2</w:t>
            </w:r>
            <w:r>
              <w:rPr>
                <w:rFonts w:hint="eastAsia"/>
              </w:rPr>
              <w:t>#厂房闲置区域进行建设，依托使用厂房配套</w:t>
            </w:r>
            <w:r>
              <w:t>建设蒸汽系统和污水处理</w:t>
            </w:r>
            <w:r>
              <w:rPr>
                <w:rFonts w:hint="eastAsia"/>
              </w:rPr>
              <w:t>设施。重庆宜企健企业管理有限公司</w:t>
            </w:r>
            <w:r>
              <w:rPr>
                <w:bCs/>
                <w:szCs w:val="21"/>
              </w:rPr>
              <w:t>“</w:t>
            </w:r>
            <w:r>
              <w:rPr>
                <w:rFonts w:hint="eastAsia"/>
                <w:bCs/>
                <w:szCs w:val="21"/>
              </w:rPr>
              <w:t>宜企健火锅食品孵化园</w:t>
            </w:r>
            <w:r>
              <w:rPr>
                <w:bCs/>
                <w:szCs w:val="21"/>
              </w:rPr>
              <w:t>”</w:t>
            </w:r>
            <w:r>
              <w:rPr>
                <w:rFonts w:hint="eastAsia"/>
              </w:rPr>
              <w:t>已取得项目环准书（渝（合）环准〔2023〕0</w:t>
            </w:r>
            <w:r>
              <w:t>64</w:t>
            </w:r>
            <w:r>
              <w:rPr>
                <w:rFonts w:hint="eastAsia"/>
              </w:rPr>
              <w:t>号），目前</w:t>
            </w:r>
            <w:r>
              <w:t>正在开展竣工环境</w:t>
            </w:r>
            <w:r>
              <w:rPr>
                <w:rFonts w:hint="eastAsia"/>
              </w:rPr>
              <w:t>保护</w:t>
            </w:r>
            <w:r>
              <w:t>验收工作</w:t>
            </w:r>
            <w:r>
              <w:rPr>
                <w:rFonts w:hint="eastAsia"/>
              </w:rPr>
              <w:t>。</w:t>
            </w:r>
          </w:p>
          <w:p>
            <w:pPr>
              <w:ind w:firstLine="482"/>
              <w:rPr>
                <w:b/>
                <w:bCs/>
                <w:szCs w:val="21"/>
              </w:rPr>
            </w:pPr>
            <w:r>
              <w:rPr>
                <w:rFonts w:hint="eastAsia"/>
                <w:b/>
                <w:bCs/>
                <w:szCs w:val="21"/>
              </w:rPr>
              <w:t>评价</w:t>
            </w:r>
            <w:r>
              <w:rPr>
                <w:b/>
                <w:bCs/>
                <w:szCs w:val="21"/>
              </w:rPr>
              <w:t>要求，待宜企健“</w:t>
            </w:r>
            <w:r>
              <w:rPr>
                <w:rFonts w:hint="eastAsia"/>
                <w:b/>
                <w:bCs/>
                <w:szCs w:val="21"/>
              </w:rPr>
              <w:t>宜企健火锅食品孵化园</w:t>
            </w:r>
            <w:r>
              <w:rPr>
                <w:b/>
                <w:bCs/>
                <w:szCs w:val="21"/>
              </w:rPr>
              <w:t>”项目建设完成并通过竣工</w:t>
            </w:r>
            <w:r>
              <w:rPr>
                <w:rFonts w:hint="eastAsia"/>
                <w:b/>
                <w:bCs/>
                <w:szCs w:val="21"/>
              </w:rPr>
              <w:t>环保</w:t>
            </w:r>
            <w:r>
              <w:rPr>
                <w:b/>
                <w:bCs/>
                <w:szCs w:val="21"/>
              </w:rPr>
              <w:t>验收后，本项目</w:t>
            </w:r>
            <w:r>
              <w:rPr>
                <w:rFonts w:hint="eastAsia"/>
                <w:b/>
                <w:bCs/>
                <w:szCs w:val="21"/>
              </w:rPr>
              <w:t>方可</w:t>
            </w:r>
            <w:r>
              <w:rPr>
                <w:b/>
                <w:bCs/>
                <w:szCs w:val="21"/>
              </w:rPr>
              <w:t>投</w:t>
            </w:r>
            <w:r>
              <w:rPr>
                <w:rFonts w:hint="eastAsia"/>
                <w:b/>
                <w:bCs/>
                <w:szCs w:val="21"/>
              </w:rPr>
              <w:t>运</w:t>
            </w:r>
            <w:r>
              <w:rPr>
                <w:b/>
                <w:bCs/>
                <w:szCs w:val="21"/>
              </w:rPr>
              <w:t>。</w:t>
            </w:r>
          </w:p>
        </w:tc>
      </w:tr>
    </w:tbl>
    <w:p>
      <w:pPr>
        <w:ind w:firstLine="720"/>
        <w:jc w:val="center"/>
        <w:rPr>
          <w:snapToGrid w:val="0"/>
          <w:sz w:val="36"/>
          <w:szCs w:val="36"/>
        </w:rPr>
        <w:sectPr>
          <w:pgSz w:w="11906" w:h="16838"/>
          <w:pgMar w:top="1440" w:right="1080" w:bottom="1440" w:left="1080" w:header="851" w:footer="851" w:gutter="0"/>
          <w:cols w:space="720" w:num="1"/>
          <w:docGrid w:linePitch="312" w:charSpace="0"/>
        </w:sectPr>
      </w:pPr>
    </w:p>
    <w:p>
      <w:pPr>
        <w:ind w:firstLine="600"/>
        <w:jc w:val="center"/>
        <w:outlineLvl w:val="0"/>
        <w:rPr>
          <w:snapToGrid w:val="0"/>
          <w:sz w:val="30"/>
          <w:szCs w:val="30"/>
        </w:rPr>
      </w:pPr>
      <w:r>
        <w:rPr>
          <w:snapToGrid w:val="0"/>
          <w:sz w:val="30"/>
          <w:szCs w:val="30"/>
        </w:rPr>
        <w:t>三、区域环境质量现状、环境保护目标及评价标准</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91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557" w:type="dxa"/>
            <w:vAlign w:val="center"/>
          </w:tcPr>
          <w:p>
            <w:pPr>
              <w:adjustRightInd w:val="0"/>
              <w:snapToGrid w:val="0"/>
              <w:ind w:firstLine="0" w:firstLineChars="0"/>
              <w:jc w:val="center"/>
              <w:rPr>
                <w:kern w:val="0"/>
                <w:szCs w:val="21"/>
              </w:rPr>
            </w:pPr>
            <w:r>
              <w:rPr>
                <w:kern w:val="0"/>
                <w:szCs w:val="21"/>
              </w:rPr>
              <w:t>区域环境质量现状</w:t>
            </w:r>
          </w:p>
        </w:tc>
        <w:tc>
          <w:tcPr>
            <w:tcW w:w="9170" w:type="dxa"/>
            <w:vAlign w:val="center"/>
          </w:tcPr>
          <w:p>
            <w:pPr>
              <w:ind w:firstLine="482"/>
              <w:rPr>
                <w:b/>
                <w:kern w:val="0"/>
                <w:szCs w:val="21"/>
              </w:rPr>
            </w:pPr>
            <w:r>
              <w:rPr>
                <w:b/>
                <w:kern w:val="0"/>
                <w:szCs w:val="21"/>
              </w:rPr>
              <w:t>1、大气环境</w:t>
            </w:r>
          </w:p>
          <w:p>
            <w:pPr>
              <w:ind w:firstLine="480"/>
              <w:rPr>
                <w:kern w:val="0"/>
                <w:szCs w:val="21"/>
              </w:rPr>
            </w:pPr>
            <w:r>
              <w:rPr>
                <w:kern w:val="0"/>
                <w:szCs w:val="21"/>
              </w:rPr>
              <w:t>本项目位于合川区，根据《重庆市人民政府关于印发重庆市环境空气质量功能区划分规定的通知》(渝府发</w:t>
            </w:r>
            <w:r>
              <w:rPr>
                <w:rFonts w:hint="eastAsia"/>
              </w:rPr>
              <w:t>〔201</w:t>
            </w:r>
            <w:r>
              <w:t>6</w:t>
            </w:r>
            <w:r>
              <w:rPr>
                <w:rFonts w:hint="eastAsia"/>
              </w:rPr>
              <w:t>〕</w:t>
            </w:r>
            <w:r>
              <w:rPr>
                <w:kern w:val="0"/>
                <w:szCs w:val="21"/>
              </w:rPr>
              <w:t>19号)等相关文件规定，项目所在区域环境空气功能区划为二类区。环境空气质量执行《环境空气质量标准》（GB3095-2012）二级标准。</w:t>
            </w:r>
          </w:p>
          <w:p>
            <w:pPr>
              <w:ind w:firstLine="480"/>
              <w:rPr>
                <w:kern w:val="0"/>
                <w:szCs w:val="21"/>
              </w:rPr>
            </w:pPr>
            <w:r>
              <w:rPr>
                <w:kern w:val="0"/>
                <w:szCs w:val="21"/>
              </w:rPr>
              <w:t>（1）基本污染物</w:t>
            </w:r>
          </w:p>
          <w:p>
            <w:pPr>
              <w:ind w:firstLine="480"/>
              <w:rPr>
                <w:szCs w:val="21"/>
              </w:rPr>
            </w:pPr>
            <w:r>
              <w:rPr>
                <w:szCs w:val="21"/>
              </w:rPr>
              <w:t>根据《环境影响评价技术导则 大气环境》（HJ2.2-2018）相关要求，本次评价因子PM</w:t>
            </w:r>
            <w:r>
              <w:rPr>
                <w:szCs w:val="21"/>
                <w:vertAlign w:val="subscript"/>
              </w:rPr>
              <w:t>2.5</w:t>
            </w:r>
            <w:r>
              <w:rPr>
                <w:szCs w:val="21"/>
              </w:rPr>
              <w:t>、PM</w:t>
            </w:r>
            <w:r>
              <w:rPr>
                <w:szCs w:val="21"/>
                <w:vertAlign w:val="subscript"/>
              </w:rPr>
              <w:t>10</w:t>
            </w:r>
            <w:r>
              <w:rPr>
                <w:szCs w:val="21"/>
              </w:rPr>
              <w:t>、SO</w:t>
            </w:r>
            <w:r>
              <w:rPr>
                <w:szCs w:val="21"/>
                <w:vertAlign w:val="subscript"/>
              </w:rPr>
              <w:t>2</w:t>
            </w:r>
            <w:r>
              <w:rPr>
                <w:szCs w:val="21"/>
              </w:rPr>
              <w:t>、NO</w:t>
            </w:r>
            <w:r>
              <w:rPr>
                <w:szCs w:val="21"/>
                <w:vertAlign w:val="subscript"/>
              </w:rPr>
              <w:t>2</w:t>
            </w:r>
            <w:r>
              <w:rPr>
                <w:szCs w:val="21"/>
              </w:rPr>
              <w:t>、O</w:t>
            </w:r>
            <w:r>
              <w:rPr>
                <w:szCs w:val="21"/>
                <w:vertAlign w:val="subscript"/>
              </w:rPr>
              <w:t>3</w:t>
            </w:r>
            <w:r>
              <w:rPr>
                <w:szCs w:val="21"/>
              </w:rPr>
              <w:t>、CO监测数据引用</w:t>
            </w:r>
            <w:r>
              <w:rPr>
                <w:rFonts w:hint="eastAsia"/>
                <w:szCs w:val="21"/>
              </w:rPr>
              <w:t>《</w:t>
            </w:r>
            <w:r>
              <w:rPr>
                <w:szCs w:val="21"/>
              </w:rPr>
              <w:t>2022年重庆市生态环境状况公报</w:t>
            </w:r>
            <w:r>
              <w:rPr>
                <w:rFonts w:hint="eastAsia"/>
                <w:szCs w:val="21"/>
              </w:rPr>
              <w:t>》</w:t>
            </w:r>
            <w:r>
              <w:rPr>
                <w:szCs w:val="21"/>
              </w:rPr>
              <w:t>中</w:t>
            </w:r>
            <w:r>
              <w:rPr>
                <w:rFonts w:hint="eastAsia"/>
                <w:szCs w:val="21"/>
              </w:rPr>
              <w:t>合川区</w:t>
            </w:r>
            <w:r>
              <w:rPr>
                <w:szCs w:val="21"/>
              </w:rPr>
              <w:t>环境空气质量现状数据进行分析。区域</w:t>
            </w:r>
            <w:r>
              <w:rPr>
                <w:bCs/>
                <w:szCs w:val="21"/>
              </w:rPr>
              <w:t>基本污染物环境质量现状见表3-1</w:t>
            </w:r>
            <w:r>
              <w:rPr>
                <w:szCs w:val="21"/>
              </w:rPr>
              <w:t>。</w:t>
            </w:r>
          </w:p>
          <w:p>
            <w:pPr>
              <w:pStyle w:val="33"/>
              <w:spacing w:before="120"/>
            </w:pPr>
            <w:r>
              <w:t>表3-1   基本污染物环境空气质量状况一览表    单位：μg/m</w:t>
            </w:r>
            <w:r>
              <w:rPr>
                <w:vertAlign w:val="superscript"/>
              </w:rPr>
              <w:t>3</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67"/>
              <w:gridCol w:w="1937"/>
              <w:gridCol w:w="1259"/>
              <w:gridCol w:w="1487"/>
              <w:gridCol w:w="1487"/>
              <w:gridCol w:w="14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shd w:val="clear" w:color="auto" w:fill="auto"/>
                  <w:vAlign w:val="center"/>
                </w:tcPr>
                <w:p>
                  <w:pPr>
                    <w:pStyle w:val="34"/>
                    <w:jc w:val="center"/>
                  </w:pPr>
                  <w:r>
                    <w:t>污染物</w:t>
                  </w:r>
                </w:p>
              </w:tc>
              <w:tc>
                <w:tcPr>
                  <w:tcW w:w="1085" w:type="pct"/>
                  <w:shd w:val="clear" w:color="auto" w:fill="auto"/>
                  <w:vAlign w:val="center"/>
                </w:tcPr>
                <w:p>
                  <w:pPr>
                    <w:pStyle w:val="34"/>
                    <w:jc w:val="center"/>
                  </w:pPr>
                  <w:r>
                    <w:t>年评价指标</w:t>
                  </w:r>
                </w:p>
              </w:tc>
              <w:tc>
                <w:tcPr>
                  <w:tcW w:w="705" w:type="pct"/>
                  <w:shd w:val="clear" w:color="auto" w:fill="auto"/>
                  <w:vAlign w:val="center"/>
                </w:tcPr>
                <w:p>
                  <w:pPr>
                    <w:pStyle w:val="34"/>
                    <w:jc w:val="center"/>
                  </w:pPr>
                  <w:r>
                    <w:t>现状浓度</w:t>
                  </w:r>
                </w:p>
              </w:tc>
              <w:tc>
                <w:tcPr>
                  <w:tcW w:w="833" w:type="pct"/>
                  <w:shd w:val="clear" w:color="auto" w:fill="auto"/>
                  <w:vAlign w:val="center"/>
                </w:tcPr>
                <w:p>
                  <w:pPr>
                    <w:pStyle w:val="34"/>
                    <w:jc w:val="center"/>
                  </w:pPr>
                  <w:r>
                    <w:t>标准值</w:t>
                  </w:r>
                </w:p>
              </w:tc>
              <w:tc>
                <w:tcPr>
                  <w:tcW w:w="833" w:type="pct"/>
                  <w:shd w:val="clear" w:color="auto" w:fill="auto"/>
                  <w:vAlign w:val="center"/>
                </w:tcPr>
                <w:p>
                  <w:pPr>
                    <w:pStyle w:val="34"/>
                    <w:jc w:val="center"/>
                  </w:pPr>
                  <w:r>
                    <w:t>占标率%</w:t>
                  </w:r>
                </w:p>
              </w:tc>
              <w:tc>
                <w:tcPr>
                  <w:tcW w:w="833" w:type="pct"/>
                  <w:shd w:val="clear" w:color="auto" w:fill="auto"/>
                  <w:vAlign w:val="center"/>
                </w:tcPr>
                <w:p>
                  <w:pPr>
                    <w:pStyle w:val="34"/>
                    <w:jc w:val="center"/>
                  </w:pPr>
                  <w: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shd w:val="clear" w:color="auto" w:fill="auto"/>
                  <w:vAlign w:val="center"/>
                </w:tcPr>
                <w:p>
                  <w:pPr>
                    <w:spacing w:line="240" w:lineRule="auto"/>
                    <w:ind w:firstLine="0" w:firstLineChars="0"/>
                    <w:jc w:val="center"/>
                    <w:rPr>
                      <w:sz w:val="21"/>
                      <w:szCs w:val="21"/>
                    </w:rPr>
                  </w:pPr>
                  <w:r>
                    <w:rPr>
                      <w:sz w:val="21"/>
                      <w:szCs w:val="21"/>
                    </w:rPr>
                    <w:t>SO</w:t>
                  </w:r>
                  <w:r>
                    <w:rPr>
                      <w:sz w:val="21"/>
                      <w:szCs w:val="21"/>
                      <w:vertAlign w:val="subscript"/>
                    </w:rPr>
                    <w:t>2</w:t>
                  </w:r>
                </w:p>
              </w:tc>
              <w:tc>
                <w:tcPr>
                  <w:tcW w:w="1085" w:type="pct"/>
                  <w:shd w:val="clear" w:color="auto" w:fill="auto"/>
                  <w:vAlign w:val="center"/>
                </w:tcPr>
                <w:p>
                  <w:pPr>
                    <w:spacing w:line="240" w:lineRule="auto"/>
                    <w:ind w:firstLine="0" w:firstLineChars="0"/>
                    <w:jc w:val="center"/>
                    <w:rPr>
                      <w:sz w:val="21"/>
                      <w:szCs w:val="21"/>
                    </w:rPr>
                  </w:pPr>
                  <w:r>
                    <w:rPr>
                      <w:sz w:val="21"/>
                      <w:szCs w:val="21"/>
                    </w:rPr>
                    <w:t>年均浓度</w:t>
                  </w:r>
                </w:p>
              </w:tc>
              <w:tc>
                <w:tcPr>
                  <w:tcW w:w="705" w:type="pct"/>
                  <w:shd w:val="clear" w:color="auto" w:fill="auto"/>
                  <w:vAlign w:val="center"/>
                </w:tcPr>
                <w:p>
                  <w:pPr>
                    <w:spacing w:line="240" w:lineRule="auto"/>
                    <w:ind w:firstLine="0" w:firstLineChars="0"/>
                    <w:jc w:val="center"/>
                    <w:rPr>
                      <w:sz w:val="21"/>
                      <w:szCs w:val="21"/>
                    </w:rPr>
                  </w:pPr>
                  <w:r>
                    <w:rPr>
                      <w:sz w:val="21"/>
                      <w:szCs w:val="21"/>
                    </w:rPr>
                    <w:t>12</w:t>
                  </w:r>
                </w:p>
              </w:tc>
              <w:tc>
                <w:tcPr>
                  <w:tcW w:w="833" w:type="pct"/>
                  <w:shd w:val="clear" w:color="auto" w:fill="auto"/>
                  <w:vAlign w:val="center"/>
                </w:tcPr>
                <w:p>
                  <w:pPr>
                    <w:spacing w:line="240" w:lineRule="auto"/>
                    <w:ind w:firstLine="0" w:firstLineChars="0"/>
                    <w:jc w:val="center"/>
                    <w:rPr>
                      <w:sz w:val="21"/>
                      <w:szCs w:val="21"/>
                    </w:rPr>
                  </w:pPr>
                  <w:r>
                    <w:rPr>
                      <w:sz w:val="21"/>
                      <w:szCs w:val="21"/>
                    </w:rPr>
                    <w:t>60</w:t>
                  </w:r>
                </w:p>
              </w:tc>
              <w:tc>
                <w:tcPr>
                  <w:tcW w:w="833" w:type="pct"/>
                  <w:shd w:val="clear" w:color="auto" w:fill="auto"/>
                  <w:vAlign w:val="center"/>
                </w:tcPr>
                <w:p>
                  <w:pPr>
                    <w:spacing w:line="240" w:lineRule="auto"/>
                    <w:ind w:firstLine="0" w:firstLineChars="0"/>
                    <w:jc w:val="center"/>
                    <w:rPr>
                      <w:sz w:val="21"/>
                      <w:szCs w:val="21"/>
                    </w:rPr>
                  </w:pPr>
                  <w:r>
                    <w:rPr>
                      <w:sz w:val="21"/>
                      <w:szCs w:val="21"/>
                    </w:rPr>
                    <w:t>20.0</w:t>
                  </w:r>
                </w:p>
              </w:tc>
              <w:tc>
                <w:tcPr>
                  <w:tcW w:w="833" w:type="pct"/>
                  <w:shd w:val="clear" w:color="auto" w:fill="auto"/>
                  <w:vAlign w:val="center"/>
                </w:tcPr>
                <w:p>
                  <w:pPr>
                    <w:spacing w:line="240" w:lineRule="auto"/>
                    <w:ind w:firstLine="0" w:firstLineChars="0"/>
                    <w:jc w:val="center"/>
                    <w:rPr>
                      <w:sz w:val="21"/>
                      <w:szCs w:val="21"/>
                    </w:rPr>
                  </w:pPr>
                  <w:r>
                    <w:rPr>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shd w:val="clear" w:color="auto" w:fill="auto"/>
                  <w:vAlign w:val="center"/>
                </w:tcPr>
                <w:p>
                  <w:pPr>
                    <w:spacing w:line="240" w:lineRule="auto"/>
                    <w:ind w:firstLine="0" w:firstLineChars="0"/>
                    <w:jc w:val="center"/>
                    <w:rPr>
                      <w:sz w:val="21"/>
                      <w:szCs w:val="21"/>
                    </w:rPr>
                  </w:pPr>
                  <w:r>
                    <w:rPr>
                      <w:sz w:val="21"/>
                      <w:szCs w:val="21"/>
                    </w:rPr>
                    <w:t>NO</w:t>
                  </w:r>
                  <w:r>
                    <w:rPr>
                      <w:sz w:val="21"/>
                      <w:szCs w:val="21"/>
                      <w:vertAlign w:val="subscript"/>
                    </w:rPr>
                    <w:t>2</w:t>
                  </w:r>
                </w:p>
              </w:tc>
              <w:tc>
                <w:tcPr>
                  <w:tcW w:w="1085" w:type="pct"/>
                  <w:shd w:val="clear" w:color="auto" w:fill="auto"/>
                  <w:vAlign w:val="center"/>
                </w:tcPr>
                <w:p>
                  <w:pPr>
                    <w:spacing w:line="240" w:lineRule="auto"/>
                    <w:ind w:firstLine="0" w:firstLineChars="0"/>
                    <w:jc w:val="center"/>
                    <w:rPr>
                      <w:sz w:val="21"/>
                      <w:szCs w:val="21"/>
                    </w:rPr>
                  </w:pPr>
                  <w:r>
                    <w:rPr>
                      <w:sz w:val="21"/>
                      <w:szCs w:val="21"/>
                    </w:rPr>
                    <w:t>年均浓度</w:t>
                  </w:r>
                </w:p>
              </w:tc>
              <w:tc>
                <w:tcPr>
                  <w:tcW w:w="705" w:type="pct"/>
                  <w:shd w:val="clear" w:color="auto" w:fill="auto"/>
                  <w:vAlign w:val="center"/>
                </w:tcPr>
                <w:p>
                  <w:pPr>
                    <w:spacing w:line="240" w:lineRule="auto"/>
                    <w:ind w:firstLine="0" w:firstLineChars="0"/>
                    <w:jc w:val="center"/>
                    <w:rPr>
                      <w:sz w:val="21"/>
                      <w:szCs w:val="21"/>
                    </w:rPr>
                  </w:pPr>
                  <w:r>
                    <w:rPr>
                      <w:sz w:val="21"/>
                      <w:szCs w:val="21"/>
                    </w:rPr>
                    <w:t>21</w:t>
                  </w:r>
                </w:p>
              </w:tc>
              <w:tc>
                <w:tcPr>
                  <w:tcW w:w="833" w:type="pct"/>
                  <w:shd w:val="clear" w:color="auto" w:fill="auto"/>
                  <w:vAlign w:val="center"/>
                </w:tcPr>
                <w:p>
                  <w:pPr>
                    <w:spacing w:line="240" w:lineRule="auto"/>
                    <w:ind w:firstLine="0" w:firstLineChars="0"/>
                    <w:jc w:val="center"/>
                    <w:rPr>
                      <w:sz w:val="21"/>
                      <w:szCs w:val="21"/>
                    </w:rPr>
                  </w:pPr>
                  <w:r>
                    <w:rPr>
                      <w:sz w:val="21"/>
                      <w:szCs w:val="21"/>
                    </w:rPr>
                    <w:t>40</w:t>
                  </w:r>
                </w:p>
              </w:tc>
              <w:tc>
                <w:tcPr>
                  <w:tcW w:w="833" w:type="pct"/>
                  <w:shd w:val="clear" w:color="auto" w:fill="auto"/>
                  <w:vAlign w:val="center"/>
                </w:tcPr>
                <w:p>
                  <w:pPr>
                    <w:spacing w:line="240" w:lineRule="auto"/>
                    <w:ind w:firstLine="0" w:firstLineChars="0"/>
                    <w:jc w:val="center"/>
                    <w:rPr>
                      <w:sz w:val="21"/>
                      <w:szCs w:val="21"/>
                    </w:rPr>
                  </w:pPr>
                  <w:r>
                    <w:rPr>
                      <w:sz w:val="21"/>
                      <w:szCs w:val="21"/>
                    </w:rPr>
                    <w:t>52.5</w:t>
                  </w:r>
                </w:p>
              </w:tc>
              <w:tc>
                <w:tcPr>
                  <w:tcW w:w="833" w:type="pct"/>
                  <w:shd w:val="clear" w:color="auto" w:fill="auto"/>
                  <w:vAlign w:val="center"/>
                </w:tcPr>
                <w:p>
                  <w:pPr>
                    <w:spacing w:line="240" w:lineRule="auto"/>
                    <w:ind w:firstLine="0" w:firstLineChars="0"/>
                    <w:jc w:val="center"/>
                    <w:rPr>
                      <w:sz w:val="21"/>
                      <w:szCs w:val="21"/>
                    </w:rPr>
                  </w:pPr>
                  <w:r>
                    <w:rPr>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shd w:val="clear" w:color="auto" w:fill="auto"/>
                  <w:vAlign w:val="center"/>
                </w:tcPr>
                <w:p>
                  <w:pPr>
                    <w:spacing w:line="240" w:lineRule="auto"/>
                    <w:ind w:firstLine="0" w:firstLineChars="0"/>
                    <w:jc w:val="center"/>
                    <w:rPr>
                      <w:sz w:val="21"/>
                      <w:szCs w:val="21"/>
                    </w:rPr>
                  </w:pPr>
                  <w:r>
                    <w:rPr>
                      <w:sz w:val="21"/>
                      <w:szCs w:val="21"/>
                    </w:rPr>
                    <w:t>PM</w:t>
                  </w:r>
                  <w:r>
                    <w:rPr>
                      <w:sz w:val="21"/>
                      <w:szCs w:val="21"/>
                      <w:vertAlign w:val="subscript"/>
                    </w:rPr>
                    <w:t>10</w:t>
                  </w:r>
                </w:p>
              </w:tc>
              <w:tc>
                <w:tcPr>
                  <w:tcW w:w="1085" w:type="pct"/>
                  <w:shd w:val="clear" w:color="auto" w:fill="auto"/>
                  <w:vAlign w:val="center"/>
                </w:tcPr>
                <w:p>
                  <w:pPr>
                    <w:spacing w:line="240" w:lineRule="auto"/>
                    <w:ind w:firstLine="0" w:firstLineChars="0"/>
                    <w:jc w:val="center"/>
                    <w:rPr>
                      <w:sz w:val="21"/>
                      <w:szCs w:val="21"/>
                    </w:rPr>
                  </w:pPr>
                  <w:r>
                    <w:rPr>
                      <w:sz w:val="21"/>
                      <w:szCs w:val="21"/>
                    </w:rPr>
                    <w:t>年均浓度</w:t>
                  </w:r>
                </w:p>
              </w:tc>
              <w:tc>
                <w:tcPr>
                  <w:tcW w:w="705" w:type="pct"/>
                  <w:shd w:val="clear" w:color="auto" w:fill="auto"/>
                  <w:vAlign w:val="center"/>
                </w:tcPr>
                <w:p>
                  <w:pPr>
                    <w:spacing w:line="240" w:lineRule="auto"/>
                    <w:ind w:firstLine="0" w:firstLineChars="0"/>
                    <w:jc w:val="center"/>
                    <w:rPr>
                      <w:sz w:val="21"/>
                      <w:szCs w:val="21"/>
                    </w:rPr>
                  </w:pPr>
                  <w:r>
                    <w:rPr>
                      <w:sz w:val="21"/>
                      <w:szCs w:val="21"/>
                    </w:rPr>
                    <w:t>51</w:t>
                  </w:r>
                </w:p>
              </w:tc>
              <w:tc>
                <w:tcPr>
                  <w:tcW w:w="833" w:type="pct"/>
                  <w:shd w:val="clear" w:color="auto" w:fill="auto"/>
                  <w:vAlign w:val="center"/>
                </w:tcPr>
                <w:p>
                  <w:pPr>
                    <w:spacing w:line="240" w:lineRule="auto"/>
                    <w:ind w:firstLine="0" w:firstLineChars="0"/>
                    <w:jc w:val="center"/>
                    <w:rPr>
                      <w:sz w:val="21"/>
                      <w:szCs w:val="21"/>
                    </w:rPr>
                  </w:pPr>
                  <w:r>
                    <w:rPr>
                      <w:sz w:val="21"/>
                      <w:szCs w:val="21"/>
                    </w:rPr>
                    <w:t>70</w:t>
                  </w:r>
                </w:p>
              </w:tc>
              <w:tc>
                <w:tcPr>
                  <w:tcW w:w="833" w:type="pct"/>
                  <w:shd w:val="clear" w:color="auto" w:fill="auto"/>
                  <w:vAlign w:val="center"/>
                </w:tcPr>
                <w:p>
                  <w:pPr>
                    <w:spacing w:line="240" w:lineRule="auto"/>
                    <w:ind w:firstLine="0" w:firstLineChars="0"/>
                    <w:jc w:val="center"/>
                    <w:rPr>
                      <w:sz w:val="21"/>
                      <w:szCs w:val="21"/>
                    </w:rPr>
                  </w:pPr>
                  <w:r>
                    <w:rPr>
                      <w:sz w:val="21"/>
                      <w:szCs w:val="21"/>
                    </w:rPr>
                    <w:t>72.8</w:t>
                  </w:r>
                </w:p>
              </w:tc>
              <w:tc>
                <w:tcPr>
                  <w:tcW w:w="833" w:type="pct"/>
                  <w:shd w:val="clear" w:color="auto" w:fill="auto"/>
                  <w:vAlign w:val="center"/>
                </w:tcPr>
                <w:p>
                  <w:pPr>
                    <w:spacing w:line="240" w:lineRule="auto"/>
                    <w:ind w:firstLine="0" w:firstLineChars="0"/>
                    <w:jc w:val="center"/>
                    <w:rPr>
                      <w:sz w:val="21"/>
                      <w:szCs w:val="21"/>
                    </w:rPr>
                  </w:pPr>
                  <w:r>
                    <w:rPr>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shd w:val="clear" w:color="auto" w:fill="auto"/>
                  <w:vAlign w:val="center"/>
                </w:tcPr>
                <w:p>
                  <w:pPr>
                    <w:spacing w:line="240" w:lineRule="auto"/>
                    <w:ind w:firstLine="0" w:firstLineChars="0"/>
                    <w:jc w:val="center"/>
                    <w:rPr>
                      <w:sz w:val="21"/>
                      <w:szCs w:val="21"/>
                    </w:rPr>
                  </w:pPr>
                  <w:r>
                    <w:rPr>
                      <w:sz w:val="21"/>
                      <w:szCs w:val="21"/>
                    </w:rPr>
                    <w:t>PM</w:t>
                  </w:r>
                  <w:r>
                    <w:rPr>
                      <w:sz w:val="21"/>
                      <w:szCs w:val="21"/>
                      <w:vertAlign w:val="subscript"/>
                    </w:rPr>
                    <w:t>2.5</w:t>
                  </w:r>
                </w:p>
              </w:tc>
              <w:tc>
                <w:tcPr>
                  <w:tcW w:w="1085" w:type="pct"/>
                  <w:shd w:val="clear" w:color="auto" w:fill="auto"/>
                  <w:vAlign w:val="center"/>
                </w:tcPr>
                <w:p>
                  <w:pPr>
                    <w:spacing w:line="240" w:lineRule="auto"/>
                    <w:ind w:firstLine="0" w:firstLineChars="0"/>
                    <w:jc w:val="center"/>
                    <w:rPr>
                      <w:sz w:val="21"/>
                      <w:szCs w:val="21"/>
                    </w:rPr>
                  </w:pPr>
                  <w:r>
                    <w:rPr>
                      <w:sz w:val="21"/>
                      <w:szCs w:val="21"/>
                    </w:rPr>
                    <w:t>年均浓度</w:t>
                  </w:r>
                </w:p>
              </w:tc>
              <w:tc>
                <w:tcPr>
                  <w:tcW w:w="705" w:type="pct"/>
                  <w:shd w:val="clear" w:color="auto" w:fill="auto"/>
                  <w:vAlign w:val="center"/>
                </w:tcPr>
                <w:p>
                  <w:pPr>
                    <w:spacing w:line="240" w:lineRule="auto"/>
                    <w:ind w:firstLine="0" w:firstLineChars="0"/>
                    <w:jc w:val="center"/>
                    <w:rPr>
                      <w:sz w:val="21"/>
                      <w:szCs w:val="21"/>
                    </w:rPr>
                  </w:pPr>
                  <w:r>
                    <w:rPr>
                      <w:sz w:val="21"/>
                      <w:szCs w:val="21"/>
                    </w:rPr>
                    <w:t>34</w:t>
                  </w:r>
                </w:p>
              </w:tc>
              <w:tc>
                <w:tcPr>
                  <w:tcW w:w="833" w:type="pct"/>
                  <w:shd w:val="clear" w:color="auto" w:fill="auto"/>
                  <w:vAlign w:val="center"/>
                </w:tcPr>
                <w:p>
                  <w:pPr>
                    <w:spacing w:line="240" w:lineRule="auto"/>
                    <w:ind w:firstLine="0" w:firstLineChars="0"/>
                    <w:jc w:val="center"/>
                    <w:rPr>
                      <w:sz w:val="21"/>
                      <w:szCs w:val="21"/>
                    </w:rPr>
                  </w:pPr>
                  <w:r>
                    <w:rPr>
                      <w:sz w:val="21"/>
                      <w:szCs w:val="21"/>
                    </w:rPr>
                    <w:t>35</w:t>
                  </w:r>
                </w:p>
              </w:tc>
              <w:tc>
                <w:tcPr>
                  <w:tcW w:w="833" w:type="pct"/>
                  <w:shd w:val="clear" w:color="auto" w:fill="auto"/>
                  <w:vAlign w:val="center"/>
                </w:tcPr>
                <w:p>
                  <w:pPr>
                    <w:spacing w:line="240" w:lineRule="auto"/>
                    <w:ind w:firstLine="0" w:firstLineChars="0"/>
                    <w:jc w:val="center"/>
                    <w:rPr>
                      <w:sz w:val="21"/>
                      <w:szCs w:val="21"/>
                    </w:rPr>
                  </w:pPr>
                  <w:r>
                    <w:rPr>
                      <w:sz w:val="21"/>
                      <w:szCs w:val="21"/>
                    </w:rPr>
                    <w:t>97.1</w:t>
                  </w:r>
                </w:p>
              </w:tc>
              <w:tc>
                <w:tcPr>
                  <w:tcW w:w="833" w:type="pct"/>
                  <w:shd w:val="clear" w:color="auto" w:fill="auto"/>
                  <w:vAlign w:val="center"/>
                </w:tcPr>
                <w:p>
                  <w:pPr>
                    <w:spacing w:line="240" w:lineRule="auto"/>
                    <w:ind w:firstLine="0" w:firstLineChars="0"/>
                    <w:jc w:val="center"/>
                    <w:rPr>
                      <w:sz w:val="21"/>
                      <w:szCs w:val="21"/>
                    </w:rPr>
                  </w:pPr>
                  <w:r>
                    <w:rPr>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shd w:val="clear" w:color="auto" w:fill="auto"/>
                  <w:vAlign w:val="center"/>
                </w:tcPr>
                <w:p>
                  <w:pPr>
                    <w:spacing w:line="240" w:lineRule="auto"/>
                    <w:ind w:firstLine="0" w:firstLineChars="0"/>
                    <w:jc w:val="center"/>
                    <w:rPr>
                      <w:sz w:val="21"/>
                      <w:szCs w:val="21"/>
                    </w:rPr>
                  </w:pPr>
                  <w:r>
                    <w:rPr>
                      <w:sz w:val="21"/>
                      <w:szCs w:val="21"/>
                    </w:rPr>
                    <w:t>CO</w:t>
                  </w:r>
                </w:p>
              </w:tc>
              <w:tc>
                <w:tcPr>
                  <w:tcW w:w="1085" w:type="pct"/>
                  <w:shd w:val="clear" w:color="auto" w:fill="auto"/>
                  <w:vAlign w:val="center"/>
                </w:tcPr>
                <w:p>
                  <w:pPr>
                    <w:pStyle w:val="34"/>
                    <w:jc w:val="center"/>
                    <w:rPr>
                      <w:bCs/>
                      <w:kern w:val="28"/>
                    </w:rPr>
                  </w:pPr>
                  <w:r>
                    <w:rPr>
                      <w:bCs/>
                      <w:kern w:val="28"/>
                    </w:rPr>
                    <w:t>第95百分位数日均浓度</w:t>
                  </w:r>
                </w:p>
              </w:tc>
              <w:tc>
                <w:tcPr>
                  <w:tcW w:w="705" w:type="pct"/>
                  <w:shd w:val="clear" w:color="auto" w:fill="auto"/>
                  <w:vAlign w:val="center"/>
                </w:tcPr>
                <w:p>
                  <w:pPr>
                    <w:spacing w:line="240" w:lineRule="auto"/>
                    <w:ind w:firstLine="0" w:firstLineChars="0"/>
                    <w:jc w:val="center"/>
                    <w:rPr>
                      <w:sz w:val="21"/>
                      <w:szCs w:val="21"/>
                    </w:rPr>
                  </w:pPr>
                  <w:r>
                    <w:rPr>
                      <w:sz w:val="21"/>
                      <w:szCs w:val="21"/>
                    </w:rPr>
                    <w:t>900</w:t>
                  </w:r>
                </w:p>
              </w:tc>
              <w:tc>
                <w:tcPr>
                  <w:tcW w:w="833" w:type="pct"/>
                  <w:shd w:val="clear" w:color="auto" w:fill="auto"/>
                  <w:vAlign w:val="center"/>
                </w:tcPr>
                <w:p>
                  <w:pPr>
                    <w:spacing w:line="240" w:lineRule="auto"/>
                    <w:ind w:firstLine="0" w:firstLineChars="0"/>
                    <w:jc w:val="center"/>
                    <w:rPr>
                      <w:sz w:val="21"/>
                      <w:szCs w:val="21"/>
                    </w:rPr>
                  </w:pPr>
                  <w:r>
                    <w:rPr>
                      <w:sz w:val="21"/>
                      <w:szCs w:val="21"/>
                    </w:rPr>
                    <w:t>4000</w:t>
                  </w:r>
                </w:p>
              </w:tc>
              <w:tc>
                <w:tcPr>
                  <w:tcW w:w="833" w:type="pct"/>
                  <w:shd w:val="clear" w:color="auto" w:fill="auto"/>
                  <w:vAlign w:val="center"/>
                </w:tcPr>
                <w:p>
                  <w:pPr>
                    <w:spacing w:line="240" w:lineRule="auto"/>
                    <w:ind w:firstLine="0" w:firstLineChars="0"/>
                    <w:jc w:val="center"/>
                    <w:rPr>
                      <w:sz w:val="21"/>
                      <w:szCs w:val="21"/>
                    </w:rPr>
                  </w:pPr>
                  <w:r>
                    <w:rPr>
                      <w:sz w:val="21"/>
                      <w:szCs w:val="21"/>
                    </w:rPr>
                    <w:t>22.5</w:t>
                  </w:r>
                </w:p>
              </w:tc>
              <w:tc>
                <w:tcPr>
                  <w:tcW w:w="833" w:type="pct"/>
                  <w:shd w:val="clear" w:color="auto" w:fill="auto"/>
                  <w:vAlign w:val="center"/>
                </w:tcPr>
                <w:p>
                  <w:pPr>
                    <w:spacing w:line="240" w:lineRule="auto"/>
                    <w:ind w:firstLine="0" w:firstLineChars="0"/>
                    <w:jc w:val="center"/>
                    <w:rPr>
                      <w:sz w:val="21"/>
                      <w:szCs w:val="21"/>
                    </w:rPr>
                  </w:pPr>
                  <w:r>
                    <w:rPr>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pct"/>
                  <w:shd w:val="clear" w:color="auto" w:fill="auto"/>
                  <w:vAlign w:val="center"/>
                </w:tcPr>
                <w:p>
                  <w:pPr>
                    <w:spacing w:line="240" w:lineRule="auto"/>
                    <w:ind w:firstLine="0" w:firstLineChars="0"/>
                    <w:jc w:val="center"/>
                    <w:rPr>
                      <w:sz w:val="21"/>
                      <w:szCs w:val="21"/>
                    </w:rPr>
                  </w:pPr>
                  <w:r>
                    <w:rPr>
                      <w:sz w:val="21"/>
                      <w:szCs w:val="21"/>
                    </w:rPr>
                    <w:t>O</w:t>
                  </w:r>
                  <w:r>
                    <w:rPr>
                      <w:sz w:val="21"/>
                      <w:szCs w:val="21"/>
                      <w:vertAlign w:val="subscript"/>
                    </w:rPr>
                    <w:t>3</w:t>
                  </w:r>
                </w:p>
              </w:tc>
              <w:tc>
                <w:tcPr>
                  <w:tcW w:w="1085" w:type="pct"/>
                  <w:shd w:val="clear" w:color="auto" w:fill="auto"/>
                  <w:vAlign w:val="center"/>
                </w:tcPr>
                <w:p>
                  <w:pPr>
                    <w:pStyle w:val="34"/>
                    <w:jc w:val="center"/>
                    <w:rPr>
                      <w:bCs/>
                      <w:kern w:val="28"/>
                    </w:rPr>
                  </w:pPr>
                  <w:r>
                    <w:rPr>
                      <w:bCs/>
                      <w:kern w:val="28"/>
                    </w:rPr>
                    <w:t>第90百分位数日最大8h平均浓度</w:t>
                  </w:r>
                </w:p>
              </w:tc>
              <w:tc>
                <w:tcPr>
                  <w:tcW w:w="705" w:type="pct"/>
                  <w:shd w:val="clear" w:color="auto" w:fill="auto"/>
                  <w:vAlign w:val="center"/>
                </w:tcPr>
                <w:p>
                  <w:pPr>
                    <w:spacing w:line="240" w:lineRule="auto"/>
                    <w:ind w:firstLine="0" w:firstLineChars="0"/>
                    <w:jc w:val="center"/>
                    <w:rPr>
                      <w:sz w:val="21"/>
                      <w:szCs w:val="21"/>
                    </w:rPr>
                  </w:pPr>
                  <w:r>
                    <w:rPr>
                      <w:sz w:val="21"/>
                      <w:szCs w:val="21"/>
                    </w:rPr>
                    <w:t>164</w:t>
                  </w:r>
                </w:p>
              </w:tc>
              <w:tc>
                <w:tcPr>
                  <w:tcW w:w="833" w:type="pct"/>
                  <w:shd w:val="clear" w:color="auto" w:fill="auto"/>
                  <w:vAlign w:val="center"/>
                </w:tcPr>
                <w:p>
                  <w:pPr>
                    <w:spacing w:line="240" w:lineRule="auto"/>
                    <w:ind w:firstLine="0" w:firstLineChars="0"/>
                    <w:jc w:val="center"/>
                    <w:rPr>
                      <w:sz w:val="21"/>
                      <w:szCs w:val="21"/>
                    </w:rPr>
                  </w:pPr>
                  <w:r>
                    <w:rPr>
                      <w:sz w:val="21"/>
                      <w:szCs w:val="21"/>
                    </w:rPr>
                    <w:t>160</w:t>
                  </w:r>
                </w:p>
              </w:tc>
              <w:tc>
                <w:tcPr>
                  <w:tcW w:w="833" w:type="pct"/>
                  <w:shd w:val="clear" w:color="auto" w:fill="auto"/>
                  <w:vAlign w:val="center"/>
                </w:tcPr>
                <w:p>
                  <w:pPr>
                    <w:spacing w:line="240" w:lineRule="auto"/>
                    <w:ind w:firstLine="0" w:firstLineChars="0"/>
                    <w:jc w:val="center"/>
                    <w:rPr>
                      <w:sz w:val="21"/>
                      <w:szCs w:val="21"/>
                    </w:rPr>
                  </w:pPr>
                  <w:r>
                    <w:rPr>
                      <w:sz w:val="21"/>
                      <w:szCs w:val="21"/>
                    </w:rPr>
                    <w:t>102.5</w:t>
                  </w:r>
                </w:p>
              </w:tc>
              <w:tc>
                <w:tcPr>
                  <w:tcW w:w="833" w:type="pct"/>
                  <w:shd w:val="clear" w:color="auto" w:fill="auto"/>
                  <w:vAlign w:val="center"/>
                </w:tcPr>
                <w:p>
                  <w:pPr>
                    <w:spacing w:line="240" w:lineRule="auto"/>
                    <w:ind w:firstLine="0" w:firstLineChars="0"/>
                    <w:jc w:val="center"/>
                    <w:rPr>
                      <w:b/>
                      <w:sz w:val="21"/>
                      <w:szCs w:val="21"/>
                    </w:rPr>
                  </w:pPr>
                  <w:r>
                    <w:rPr>
                      <w:b/>
                      <w:sz w:val="21"/>
                      <w:szCs w:val="21"/>
                    </w:rPr>
                    <w:t>超标</w:t>
                  </w:r>
                </w:p>
              </w:tc>
            </w:tr>
          </w:tbl>
          <w:p>
            <w:pPr>
              <w:spacing w:before="120" w:beforeLines="50"/>
              <w:ind w:firstLine="504"/>
              <w:rPr>
                <w:szCs w:val="21"/>
              </w:rPr>
            </w:pPr>
            <w:r>
              <w:rPr>
                <w:spacing w:val="6"/>
                <w:szCs w:val="21"/>
              </w:rPr>
              <w:t>由表3-1可知</w:t>
            </w:r>
            <w:r>
              <w:rPr>
                <w:szCs w:val="21"/>
              </w:rPr>
              <w:t>，项目所在区域基本污染物中</w:t>
            </w:r>
            <w:r>
              <w:rPr>
                <w:bCs/>
                <w:szCs w:val="21"/>
              </w:rPr>
              <w:t>SO</w:t>
            </w:r>
            <w:r>
              <w:rPr>
                <w:bCs/>
                <w:szCs w:val="21"/>
                <w:vertAlign w:val="subscript"/>
              </w:rPr>
              <w:t>2</w:t>
            </w:r>
            <w:r>
              <w:rPr>
                <w:bCs/>
                <w:szCs w:val="21"/>
              </w:rPr>
              <w:t>、NO</w:t>
            </w:r>
            <w:r>
              <w:rPr>
                <w:bCs/>
                <w:szCs w:val="21"/>
                <w:vertAlign w:val="subscript"/>
              </w:rPr>
              <w:t>2</w:t>
            </w:r>
            <w:r>
              <w:rPr>
                <w:bCs/>
                <w:szCs w:val="21"/>
              </w:rPr>
              <w:t>、PM</w:t>
            </w:r>
            <w:r>
              <w:rPr>
                <w:bCs/>
                <w:szCs w:val="21"/>
                <w:vertAlign w:val="subscript"/>
              </w:rPr>
              <w:t>10</w:t>
            </w:r>
            <w:r>
              <w:rPr>
                <w:bCs/>
                <w:szCs w:val="21"/>
              </w:rPr>
              <w:t>、CO、PM</w:t>
            </w:r>
            <w:r>
              <w:rPr>
                <w:bCs/>
                <w:szCs w:val="21"/>
                <w:vertAlign w:val="subscript"/>
              </w:rPr>
              <w:t>2.5</w:t>
            </w:r>
            <w:r>
              <w:rPr>
                <w:bCs/>
                <w:szCs w:val="21"/>
              </w:rPr>
              <w:t>均满足《环境空气质量标准》（GB 3095-2012）中二级标准要求，O</w:t>
            </w:r>
            <w:r>
              <w:rPr>
                <w:bCs/>
                <w:szCs w:val="21"/>
                <w:vertAlign w:val="subscript"/>
              </w:rPr>
              <w:t>3</w:t>
            </w:r>
            <w:r>
              <w:rPr>
                <w:bCs/>
                <w:szCs w:val="21"/>
              </w:rPr>
              <w:t>超标，属于不达标区域</w:t>
            </w:r>
            <w:r>
              <w:rPr>
                <w:szCs w:val="21"/>
              </w:rPr>
              <w:t>。</w:t>
            </w:r>
          </w:p>
          <w:p>
            <w:pPr>
              <w:ind w:firstLine="480"/>
              <w:rPr>
                <w:szCs w:val="21"/>
              </w:rPr>
            </w:pPr>
            <w:r>
              <w:rPr>
                <w:rFonts w:hint="eastAsia"/>
                <w:szCs w:val="21"/>
              </w:rPr>
              <w:t>（2）</w:t>
            </w:r>
            <w:r>
              <w:rPr>
                <w:szCs w:val="21"/>
              </w:rPr>
              <w:t>区域环境空气质量达标规划</w:t>
            </w:r>
          </w:p>
          <w:p>
            <w:pPr>
              <w:ind w:firstLine="480"/>
              <w:rPr>
                <w:szCs w:val="21"/>
              </w:rPr>
            </w:pPr>
            <w:r>
              <w:rPr>
                <w:szCs w:val="21"/>
              </w:rPr>
              <w:t>合川区已制定区域环境空气质量达标规划，根据《合川区大气环境质量限期达标规划》，“主要任务与措施”如下：</w:t>
            </w:r>
          </w:p>
          <w:p>
            <w:pPr>
              <w:ind w:firstLine="480"/>
              <w:rPr>
                <w:szCs w:val="21"/>
              </w:rPr>
            </w:pPr>
            <w:r>
              <w:rPr>
                <w:szCs w:val="21"/>
              </w:rPr>
              <w:t>（一）提高能源效率，优化能源结构：控制煤炭消费总量、提升能源利用效率、加快清洁能源替代利用、推进建筑节能和绿色建筑。</w:t>
            </w:r>
          </w:p>
          <w:p>
            <w:pPr>
              <w:ind w:firstLine="480"/>
              <w:rPr>
                <w:szCs w:val="21"/>
              </w:rPr>
            </w:pPr>
            <w:r>
              <w:rPr>
                <w:szCs w:val="21"/>
              </w:rPr>
              <w:t>（二）优化产业布局，推进绿色发展：优化产业布局、严格环保准入、优化工业结构、推进绿色发展。</w:t>
            </w:r>
          </w:p>
          <w:p>
            <w:pPr>
              <w:ind w:firstLine="480"/>
              <w:rPr>
                <w:szCs w:val="21"/>
              </w:rPr>
            </w:pPr>
            <w:r>
              <w:rPr>
                <w:szCs w:val="21"/>
              </w:rPr>
              <w:t>（三）加大防治力度，控制工业污染：推进燃煤电厂超低排放改造、强化工业废气综合治理、深化工业源挥发性有机物污染防治、加快推进“散乱污”企业综合整治、实施企业错峰生产、加强污染源监督监测。</w:t>
            </w:r>
          </w:p>
          <w:p>
            <w:pPr>
              <w:ind w:firstLine="480"/>
              <w:rPr>
                <w:szCs w:val="21"/>
              </w:rPr>
            </w:pPr>
            <w:r>
              <w:rPr>
                <w:szCs w:val="21"/>
              </w:rPr>
              <w:t>（四）强化监督管理，控制交通污染：强化在用机动车监管、加强机动车环保达标监管、加强车用燃油品质达标监管、强化成品油储运系统油气排放污染控制、强化非道路移动机械和船舶污染控制、大力发展新能源汽车。</w:t>
            </w:r>
          </w:p>
          <w:p>
            <w:pPr>
              <w:ind w:firstLine="480"/>
              <w:rPr>
                <w:szCs w:val="21"/>
              </w:rPr>
            </w:pPr>
            <w:r>
              <w:rPr>
                <w:szCs w:val="21"/>
              </w:rPr>
              <w:t>（五）提升管理水平，严格控制扬尘：强化道路扬尘防治、严格施工扬尘管理、加强生产经营过程的扬尘控制、开展重点扬尘污染源在线监控、加强城市裸露土地管理。</w:t>
            </w:r>
          </w:p>
          <w:p>
            <w:pPr>
              <w:ind w:firstLine="480"/>
              <w:rPr>
                <w:szCs w:val="21"/>
              </w:rPr>
            </w:pPr>
            <w:r>
              <w:rPr>
                <w:szCs w:val="21"/>
              </w:rPr>
              <w:t>（六）加大治理力度，控制生活污染：巩固和扩大高污染燃料禁燃区、加强餐饮油烟污染治理、控制生活类挥发性有机物污染、加强露天烧烤和烟熏腊肉综合防治、严控露天焚烧行为。</w:t>
            </w:r>
          </w:p>
          <w:p>
            <w:pPr>
              <w:ind w:firstLine="480"/>
              <w:rPr>
                <w:szCs w:val="21"/>
              </w:rPr>
            </w:pPr>
            <w:r>
              <w:rPr>
                <w:szCs w:val="21"/>
              </w:rPr>
              <w:t>（七）加强综合利用，控制农业污染：加强生物质燃烧管理、减少化肥使用过程氨排放、控制畜禽养殖氨污染。</w:t>
            </w:r>
          </w:p>
          <w:p>
            <w:pPr>
              <w:ind w:firstLine="480"/>
              <w:rPr>
                <w:szCs w:val="21"/>
              </w:rPr>
            </w:pPr>
            <w:r>
              <w:rPr>
                <w:szCs w:val="21"/>
              </w:rPr>
              <w:t>（八）落实法规制度，增强监管能力：贯彻落实相关法规政策、强化应急预警机制、强化环保督查考核机制、提高环境监管能力、加大环保执法力度、实施环境信息公开。</w:t>
            </w:r>
          </w:p>
          <w:p>
            <w:pPr>
              <w:ind w:firstLine="480"/>
              <w:rPr>
                <w:szCs w:val="21"/>
              </w:rPr>
            </w:pPr>
            <w:r>
              <w:rPr>
                <w:szCs w:val="21"/>
              </w:rPr>
              <w:t>（九）深化区域协作，提升科研支撑：加强污染区域联防联控、加强大气环境监测能力、建立空气质量管理辅助决策支撑系统、强化大气环境科研支撑作用。</w:t>
            </w:r>
          </w:p>
          <w:p>
            <w:pPr>
              <w:ind w:firstLine="480"/>
              <w:rPr>
                <w:szCs w:val="21"/>
              </w:rPr>
            </w:pPr>
            <w:r>
              <w:rPr>
                <w:szCs w:val="21"/>
              </w:rPr>
              <w:t>（十）加强宣传教育，推动全民参与：加大宣传教育力度、实行环境信息公开、健全公众参与机制。</w:t>
            </w:r>
          </w:p>
          <w:p>
            <w:pPr>
              <w:ind w:firstLine="480"/>
              <w:rPr>
                <w:szCs w:val="21"/>
              </w:rPr>
            </w:pPr>
            <w:r>
              <w:rPr>
                <w:szCs w:val="21"/>
              </w:rPr>
              <w:t>在合川区范围内执行相应的整治措施后，可改善区域环境质量达标情况。</w:t>
            </w:r>
          </w:p>
          <w:p>
            <w:pPr>
              <w:ind w:firstLine="482"/>
              <w:rPr>
                <w:b/>
                <w:szCs w:val="21"/>
              </w:rPr>
            </w:pPr>
            <w:r>
              <w:rPr>
                <w:b/>
                <w:szCs w:val="21"/>
              </w:rPr>
              <w:t>2、地表水环境</w:t>
            </w:r>
          </w:p>
          <w:p>
            <w:pPr>
              <w:ind w:firstLine="480"/>
            </w:pPr>
            <w:r>
              <w:rPr>
                <w:rFonts w:hint="eastAsia"/>
                <w:bCs/>
              </w:rPr>
              <w:t>本项目废水经南溪A区污水处理厂处理达标后排入建梁河，经3.5km后汇入嘉陵江，建梁河未划定水域功能，根据《重庆市地面水域环境功能调整方案的通知》（渝府发</w:t>
            </w:r>
            <w:r>
              <w:rPr>
                <w:rFonts w:hint="eastAsia"/>
              </w:rPr>
              <w:t>〔201</w:t>
            </w:r>
            <w:r>
              <w:t>4</w:t>
            </w:r>
            <w:r>
              <w:rPr>
                <w:rFonts w:hint="eastAsia"/>
              </w:rPr>
              <w:t>〕</w:t>
            </w:r>
            <w:r>
              <w:rPr>
                <w:rFonts w:hint="eastAsia"/>
                <w:bCs/>
              </w:rPr>
              <w:t>4号），嘉陵江属于Ⅲ类水域，执行《地表水环境质量标准》（GB3838-2002）Ⅲ类水域标准。根据政府网站发布的“202</w:t>
            </w:r>
            <w:r>
              <w:rPr>
                <w:bCs/>
              </w:rPr>
              <w:t>3</w:t>
            </w:r>
            <w:r>
              <w:rPr>
                <w:rFonts w:hint="eastAsia"/>
                <w:bCs/>
              </w:rPr>
              <w:t>年</w:t>
            </w:r>
            <w:r>
              <w:rPr>
                <w:bCs/>
              </w:rPr>
              <w:t>11</w:t>
            </w:r>
            <w:r>
              <w:rPr>
                <w:rFonts w:hint="eastAsia"/>
                <w:bCs/>
              </w:rPr>
              <w:t>月合川区水环境质量状况”，嘉陵江金子断面水质状况达到Ⅱ类水质标准要求，表明区域地表水环境质量现状能满足相应的环境功能区划要求，</w:t>
            </w:r>
            <w:r>
              <w:rPr>
                <w:bCs/>
              </w:rPr>
              <w:t>有一定环境容量</w:t>
            </w:r>
            <w:r>
              <w:rPr>
                <w:rFonts w:hint="eastAsia"/>
                <w:bCs/>
              </w:rPr>
              <w:t>。</w:t>
            </w:r>
          </w:p>
          <w:p>
            <w:pPr>
              <w:ind w:firstLine="482"/>
              <w:rPr>
                <w:b/>
                <w:kern w:val="0"/>
                <w:szCs w:val="21"/>
              </w:rPr>
            </w:pPr>
            <w:r>
              <w:rPr>
                <w:b/>
                <w:kern w:val="0"/>
                <w:szCs w:val="21"/>
              </w:rPr>
              <w:t>3、声环境</w:t>
            </w:r>
          </w:p>
          <w:p>
            <w:pPr>
              <w:adjustRightInd w:val="0"/>
              <w:ind w:firstLine="480"/>
              <w:rPr>
                <w:bCs/>
              </w:rPr>
            </w:pPr>
            <w:r>
              <w:rPr>
                <w:rFonts w:hint="eastAsia"/>
                <w:bCs/>
              </w:rPr>
              <w:t>根据《建设项目环境影响报告表编制技术指南（污染影响类）（试行）》可知，厂界外周边50米范围内存在声环境保护目标的建设项目，应监测保护目标声环境质量现状并评价达标情况。</w:t>
            </w:r>
          </w:p>
          <w:p>
            <w:pPr>
              <w:adjustRightInd w:val="0"/>
              <w:ind w:firstLine="480"/>
              <w:rPr>
                <w:bCs/>
              </w:rPr>
            </w:pPr>
            <w:r>
              <w:rPr>
                <w:rFonts w:hint="eastAsia"/>
                <w:bCs/>
              </w:rPr>
              <w:t>本项目周边均为工业用地，厂界外周边50米范围内不存在声环境保护目标，故本次评价不进行声环境质量现状监测。</w:t>
            </w:r>
          </w:p>
          <w:p>
            <w:pPr>
              <w:ind w:firstLine="482"/>
            </w:pPr>
            <w:r>
              <w:rPr>
                <w:b/>
              </w:rPr>
              <w:t>4、地下水、土壤环境</w:t>
            </w:r>
          </w:p>
          <w:p>
            <w:pPr>
              <w:ind w:firstLine="480"/>
            </w:pPr>
            <w:r>
              <w:t>根据《建设项目环境影响报告表编制技术指南（污染影响类）（试行）》地下水、土壤原则上不开展环境质量现状调查。建设项目存在土壤、地下水环境污染途径的，应结合污染源、保护目标分布情况开展现状调查以留作背景值。</w:t>
            </w:r>
          </w:p>
          <w:p>
            <w:pPr>
              <w:ind w:firstLine="480"/>
            </w:pPr>
            <w:r>
              <w:rPr>
                <w:rFonts w:hint="eastAsia"/>
              </w:rPr>
              <w:t>项目位于工业园区内，周边地下水环境、土壤环境不敏感，项目生产工艺简单，生产废水经污水</w:t>
            </w:r>
            <w:r>
              <w:t>处理站处理后排入市政管网</w:t>
            </w:r>
            <w:r>
              <w:rPr>
                <w:rFonts w:hint="eastAsia"/>
              </w:rPr>
              <w:t>，正常情况下不存在地下水、土壤环境污染途径，因此不进行地下水、土壤环境质量现状监测。</w:t>
            </w:r>
          </w:p>
          <w:p>
            <w:pPr>
              <w:ind w:firstLine="482"/>
              <w:rPr>
                <w:b/>
              </w:rPr>
            </w:pPr>
            <w:r>
              <w:rPr>
                <w:b/>
              </w:rPr>
              <w:t>5、生态环境</w:t>
            </w:r>
          </w:p>
          <w:p>
            <w:pPr>
              <w:ind w:firstLine="480"/>
            </w:pPr>
            <w:r>
              <w:t>项目位于</w:t>
            </w:r>
            <w:r>
              <w:rPr>
                <w:szCs w:val="21"/>
              </w:rPr>
              <w:t>重庆市合川区高阳路1028号</w:t>
            </w:r>
            <w:r>
              <w:t>，周围分布为工业企业，项目建设区域生态结构较简单、植被稀疏、无珍稀野生动植物分布，无自然保护区、饮用水源地分布。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557" w:type="dxa"/>
            <w:vAlign w:val="center"/>
          </w:tcPr>
          <w:p>
            <w:pPr>
              <w:adjustRightInd w:val="0"/>
              <w:snapToGrid w:val="0"/>
              <w:ind w:firstLine="0" w:firstLineChars="0"/>
              <w:jc w:val="center"/>
              <w:rPr>
                <w:kern w:val="0"/>
                <w:szCs w:val="21"/>
              </w:rPr>
            </w:pPr>
            <w:r>
              <w:rPr>
                <w:kern w:val="0"/>
                <w:szCs w:val="21"/>
              </w:rPr>
              <w:t>环境保护目标</w:t>
            </w:r>
          </w:p>
        </w:tc>
        <w:tc>
          <w:tcPr>
            <w:tcW w:w="9170" w:type="dxa"/>
            <w:vAlign w:val="center"/>
          </w:tcPr>
          <w:p>
            <w:pPr>
              <w:autoSpaceDE w:val="0"/>
              <w:autoSpaceDN w:val="0"/>
              <w:spacing w:before="120" w:beforeLines="50"/>
              <w:ind w:firstLine="482"/>
              <w:rPr>
                <w:b/>
                <w:bCs/>
              </w:rPr>
            </w:pPr>
            <w:r>
              <w:rPr>
                <w:b/>
                <w:bCs/>
              </w:rPr>
              <w:t>1、大气环境保护目标</w:t>
            </w:r>
          </w:p>
          <w:p>
            <w:pPr>
              <w:autoSpaceDE w:val="0"/>
              <w:autoSpaceDN w:val="0"/>
              <w:ind w:firstLine="480"/>
              <w:rPr>
                <w:bCs/>
              </w:rPr>
            </w:pPr>
            <w:r>
              <w:rPr>
                <w:bCs/>
              </w:rPr>
              <w:t>项目厂界外500米范围内大气环境保护目标主要为散户居住区。大气环境保护目标见表3-2。</w:t>
            </w:r>
          </w:p>
          <w:p>
            <w:pPr>
              <w:pStyle w:val="33"/>
              <w:spacing w:before="120"/>
            </w:pPr>
            <w:r>
              <w:t>表3-2   环境保护目标一览表</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77"/>
              <w:gridCol w:w="1041"/>
              <w:gridCol w:w="1486"/>
              <w:gridCol w:w="1352"/>
              <w:gridCol w:w="1348"/>
              <w:gridCol w:w="644"/>
              <w:gridCol w:w="827"/>
              <w:gridCol w:w="810"/>
              <w:gridCol w:w="9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8" w:type="dxa"/>
                  <w:vMerge w:val="restart"/>
                  <w:vAlign w:val="center"/>
                </w:tcPr>
                <w:p>
                  <w:pPr>
                    <w:pStyle w:val="34"/>
                    <w:jc w:val="center"/>
                  </w:pPr>
                  <w:r>
                    <w:t>序号</w:t>
                  </w:r>
                </w:p>
              </w:tc>
              <w:tc>
                <w:tcPr>
                  <w:tcW w:w="1153" w:type="dxa"/>
                  <w:vMerge w:val="restart"/>
                  <w:vAlign w:val="center"/>
                </w:tcPr>
                <w:p>
                  <w:pPr>
                    <w:pStyle w:val="34"/>
                    <w:jc w:val="center"/>
                  </w:pPr>
                  <w:r>
                    <w:t>名称</w:t>
                  </w:r>
                </w:p>
              </w:tc>
              <w:tc>
                <w:tcPr>
                  <w:tcW w:w="2367" w:type="dxa"/>
                  <w:gridSpan w:val="2"/>
                  <w:vAlign w:val="center"/>
                </w:tcPr>
                <w:p>
                  <w:pPr>
                    <w:pStyle w:val="34"/>
                    <w:jc w:val="center"/>
                  </w:pPr>
                  <w:r>
                    <w:t>坐标</w:t>
                  </w:r>
                </w:p>
              </w:tc>
              <w:tc>
                <w:tcPr>
                  <w:tcW w:w="1536" w:type="dxa"/>
                  <w:vMerge w:val="restart"/>
                  <w:vAlign w:val="center"/>
                </w:tcPr>
                <w:p>
                  <w:pPr>
                    <w:pStyle w:val="34"/>
                    <w:jc w:val="center"/>
                  </w:pPr>
                  <w:r>
                    <w:t>保护对象</w:t>
                  </w:r>
                </w:p>
              </w:tc>
              <w:tc>
                <w:tcPr>
                  <w:tcW w:w="692" w:type="dxa"/>
                  <w:vMerge w:val="restart"/>
                  <w:vAlign w:val="center"/>
                </w:tcPr>
                <w:p>
                  <w:pPr>
                    <w:pStyle w:val="34"/>
                    <w:jc w:val="center"/>
                  </w:pPr>
                  <w:r>
                    <w:t>保护内容</w:t>
                  </w:r>
                </w:p>
              </w:tc>
              <w:tc>
                <w:tcPr>
                  <w:tcW w:w="868" w:type="dxa"/>
                  <w:vMerge w:val="restart"/>
                  <w:vAlign w:val="center"/>
                </w:tcPr>
                <w:p>
                  <w:pPr>
                    <w:pStyle w:val="34"/>
                    <w:jc w:val="center"/>
                  </w:pPr>
                  <w:r>
                    <w:t>环境功能区</w:t>
                  </w:r>
                </w:p>
              </w:tc>
              <w:tc>
                <w:tcPr>
                  <w:tcW w:w="860" w:type="dxa"/>
                  <w:vMerge w:val="restart"/>
                  <w:vAlign w:val="center"/>
                </w:tcPr>
                <w:p>
                  <w:pPr>
                    <w:pStyle w:val="34"/>
                    <w:jc w:val="center"/>
                  </w:pPr>
                  <w:r>
                    <w:t>相对厂址方位</w:t>
                  </w:r>
                </w:p>
              </w:tc>
              <w:tc>
                <w:tcPr>
                  <w:tcW w:w="960" w:type="dxa"/>
                  <w:vMerge w:val="restart"/>
                  <w:vAlign w:val="center"/>
                </w:tcPr>
                <w:p>
                  <w:pPr>
                    <w:pStyle w:val="34"/>
                    <w:jc w:val="center"/>
                  </w:pPr>
                  <w:r>
                    <w:t>相对厂界距离（m）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88" w:type="dxa"/>
                  <w:vMerge w:val="continue"/>
                  <w:vAlign w:val="center"/>
                </w:tcPr>
                <w:p>
                  <w:pPr>
                    <w:pStyle w:val="34"/>
                    <w:jc w:val="center"/>
                  </w:pPr>
                </w:p>
              </w:tc>
              <w:tc>
                <w:tcPr>
                  <w:tcW w:w="1153" w:type="dxa"/>
                  <w:vMerge w:val="continue"/>
                  <w:vAlign w:val="center"/>
                </w:tcPr>
                <w:p>
                  <w:pPr>
                    <w:pStyle w:val="34"/>
                    <w:jc w:val="center"/>
                  </w:pPr>
                </w:p>
              </w:tc>
              <w:tc>
                <w:tcPr>
                  <w:tcW w:w="1237" w:type="dxa"/>
                  <w:vAlign w:val="center"/>
                </w:tcPr>
                <w:p>
                  <w:pPr>
                    <w:pStyle w:val="34"/>
                    <w:jc w:val="center"/>
                  </w:pPr>
                  <w:r>
                    <w:t>经度</w:t>
                  </w:r>
                </w:p>
              </w:tc>
              <w:tc>
                <w:tcPr>
                  <w:tcW w:w="1130" w:type="dxa"/>
                  <w:vAlign w:val="center"/>
                </w:tcPr>
                <w:p>
                  <w:pPr>
                    <w:pStyle w:val="34"/>
                    <w:jc w:val="center"/>
                  </w:pPr>
                  <w:r>
                    <w:t>纬度</w:t>
                  </w:r>
                </w:p>
              </w:tc>
              <w:tc>
                <w:tcPr>
                  <w:tcW w:w="1536" w:type="dxa"/>
                  <w:vMerge w:val="continue"/>
                  <w:vAlign w:val="center"/>
                </w:tcPr>
                <w:p>
                  <w:pPr>
                    <w:pStyle w:val="34"/>
                    <w:jc w:val="center"/>
                  </w:pPr>
                </w:p>
              </w:tc>
              <w:tc>
                <w:tcPr>
                  <w:tcW w:w="692" w:type="dxa"/>
                  <w:vMerge w:val="continue"/>
                  <w:vAlign w:val="center"/>
                </w:tcPr>
                <w:p>
                  <w:pPr>
                    <w:pStyle w:val="34"/>
                    <w:jc w:val="center"/>
                  </w:pPr>
                </w:p>
              </w:tc>
              <w:tc>
                <w:tcPr>
                  <w:tcW w:w="868" w:type="dxa"/>
                  <w:vMerge w:val="continue"/>
                  <w:vAlign w:val="center"/>
                </w:tcPr>
                <w:p>
                  <w:pPr>
                    <w:pStyle w:val="34"/>
                    <w:jc w:val="center"/>
                  </w:pPr>
                </w:p>
              </w:tc>
              <w:tc>
                <w:tcPr>
                  <w:tcW w:w="860" w:type="dxa"/>
                  <w:vMerge w:val="continue"/>
                  <w:vAlign w:val="center"/>
                </w:tcPr>
                <w:p>
                  <w:pPr>
                    <w:pStyle w:val="34"/>
                    <w:jc w:val="center"/>
                  </w:pPr>
                </w:p>
              </w:tc>
              <w:tc>
                <w:tcPr>
                  <w:tcW w:w="960" w:type="dxa"/>
                  <w:vMerge w:val="continue"/>
                  <w:vAlign w:val="center"/>
                </w:tcPr>
                <w:p>
                  <w:pPr>
                    <w:pStyle w:val="34"/>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dxa"/>
                  <w:vAlign w:val="center"/>
                </w:tcPr>
                <w:p>
                  <w:pPr>
                    <w:pStyle w:val="34"/>
                    <w:jc w:val="center"/>
                    <w:rPr>
                      <w:snapToGrid w:val="0"/>
                    </w:rPr>
                  </w:pPr>
                  <w:r>
                    <w:rPr>
                      <w:snapToGrid w:val="0"/>
                    </w:rPr>
                    <w:t>1</w:t>
                  </w:r>
                </w:p>
              </w:tc>
              <w:tc>
                <w:tcPr>
                  <w:tcW w:w="1153" w:type="dxa"/>
                  <w:vAlign w:val="center"/>
                </w:tcPr>
                <w:p>
                  <w:pPr>
                    <w:pStyle w:val="34"/>
                    <w:jc w:val="center"/>
                    <w:rPr>
                      <w:snapToGrid w:val="0"/>
                    </w:rPr>
                  </w:pPr>
                  <w:r>
                    <w:rPr>
                      <w:rFonts w:hint="eastAsia"/>
                      <w:szCs w:val="18"/>
                    </w:rPr>
                    <w:t>1</w:t>
                  </w:r>
                  <w:r>
                    <w:rPr>
                      <w:szCs w:val="18"/>
                    </w:rPr>
                    <w:t>#居民</w:t>
                  </w:r>
                  <w:r>
                    <w:rPr>
                      <w:rFonts w:hint="eastAsia"/>
                      <w:szCs w:val="18"/>
                    </w:rPr>
                    <w:t>点</w:t>
                  </w:r>
                </w:p>
              </w:tc>
              <w:tc>
                <w:tcPr>
                  <w:tcW w:w="1237" w:type="dxa"/>
                  <w:vAlign w:val="center"/>
                </w:tcPr>
                <w:p>
                  <w:pPr>
                    <w:pStyle w:val="34"/>
                    <w:jc w:val="center"/>
                    <w:rPr>
                      <w:snapToGrid w:val="0"/>
                    </w:rPr>
                  </w:pPr>
                  <w:r>
                    <w:rPr>
                      <w:snapToGrid w:val="0"/>
                    </w:rPr>
                    <w:t>106.272625</w:t>
                  </w:r>
                </w:p>
              </w:tc>
              <w:tc>
                <w:tcPr>
                  <w:tcW w:w="1130" w:type="dxa"/>
                  <w:vAlign w:val="center"/>
                </w:tcPr>
                <w:p>
                  <w:pPr>
                    <w:pStyle w:val="34"/>
                    <w:jc w:val="center"/>
                    <w:rPr>
                      <w:snapToGrid w:val="0"/>
                    </w:rPr>
                  </w:pPr>
                  <w:r>
                    <w:rPr>
                      <w:snapToGrid w:val="0"/>
                    </w:rPr>
                    <w:t>29.957983</w:t>
                  </w:r>
                </w:p>
              </w:tc>
              <w:tc>
                <w:tcPr>
                  <w:tcW w:w="1536" w:type="dxa"/>
                  <w:vAlign w:val="center"/>
                </w:tcPr>
                <w:p>
                  <w:pPr>
                    <w:pStyle w:val="34"/>
                    <w:jc w:val="center"/>
                    <w:rPr>
                      <w:snapToGrid w:val="0"/>
                    </w:rPr>
                  </w:pPr>
                  <w:r>
                    <w:rPr>
                      <w:snapToGrid w:val="0"/>
                    </w:rPr>
                    <w:t>约10户</w:t>
                  </w:r>
                </w:p>
              </w:tc>
              <w:tc>
                <w:tcPr>
                  <w:tcW w:w="692" w:type="dxa"/>
                  <w:vMerge w:val="restart"/>
                  <w:vAlign w:val="center"/>
                </w:tcPr>
                <w:p>
                  <w:pPr>
                    <w:pStyle w:val="34"/>
                    <w:jc w:val="center"/>
                    <w:rPr>
                      <w:snapToGrid w:val="0"/>
                    </w:rPr>
                  </w:pPr>
                  <w:r>
                    <w:rPr>
                      <w:snapToGrid w:val="0"/>
                    </w:rPr>
                    <w:t>环境空气</w:t>
                  </w:r>
                </w:p>
              </w:tc>
              <w:tc>
                <w:tcPr>
                  <w:tcW w:w="868" w:type="dxa"/>
                  <w:vMerge w:val="restart"/>
                  <w:vAlign w:val="center"/>
                </w:tcPr>
                <w:p>
                  <w:pPr>
                    <w:pStyle w:val="34"/>
                    <w:jc w:val="center"/>
                  </w:pPr>
                  <w:r>
                    <w:t>环境空气：二类</w:t>
                  </w:r>
                </w:p>
              </w:tc>
              <w:tc>
                <w:tcPr>
                  <w:tcW w:w="860" w:type="dxa"/>
                  <w:vAlign w:val="center"/>
                </w:tcPr>
                <w:p>
                  <w:pPr>
                    <w:pStyle w:val="34"/>
                    <w:jc w:val="center"/>
                  </w:pPr>
                  <w:r>
                    <w:t>NW</w:t>
                  </w:r>
                </w:p>
              </w:tc>
              <w:tc>
                <w:tcPr>
                  <w:tcW w:w="960" w:type="dxa"/>
                  <w:vAlign w:val="center"/>
                </w:tcPr>
                <w:p>
                  <w:pPr>
                    <w:pStyle w:val="34"/>
                    <w:jc w:val="center"/>
                  </w:pPr>
                  <w:r>
                    <w:t>420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88" w:type="dxa"/>
                  <w:vAlign w:val="center"/>
                </w:tcPr>
                <w:p>
                  <w:pPr>
                    <w:pStyle w:val="34"/>
                    <w:jc w:val="center"/>
                    <w:rPr>
                      <w:snapToGrid w:val="0"/>
                    </w:rPr>
                  </w:pPr>
                  <w:r>
                    <w:rPr>
                      <w:rFonts w:hint="eastAsia"/>
                      <w:snapToGrid w:val="0"/>
                    </w:rPr>
                    <w:t>2</w:t>
                  </w:r>
                </w:p>
              </w:tc>
              <w:tc>
                <w:tcPr>
                  <w:tcW w:w="1153" w:type="dxa"/>
                  <w:vAlign w:val="center"/>
                </w:tcPr>
                <w:p>
                  <w:pPr>
                    <w:pStyle w:val="34"/>
                    <w:jc w:val="center"/>
                    <w:rPr>
                      <w:szCs w:val="18"/>
                    </w:rPr>
                  </w:pPr>
                  <w:r>
                    <w:rPr>
                      <w:szCs w:val="18"/>
                    </w:rPr>
                    <w:t>2#居民</w:t>
                  </w:r>
                  <w:r>
                    <w:rPr>
                      <w:rFonts w:hint="eastAsia"/>
                      <w:szCs w:val="18"/>
                    </w:rPr>
                    <w:t>点</w:t>
                  </w:r>
                </w:p>
              </w:tc>
              <w:tc>
                <w:tcPr>
                  <w:tcW w:w="1237" w:type="dxa"/>
                  <w:vAlign w:val="center"/>
                </w:tcPr>
                <w:p>
                  <w:pPr>
                    <w:pStyle w:val="34"/>
                    <w:jc w:val="center"/>
                    <w:rPr>
                      <w:snapToGrid w:val="0"/>
                    </w:rPr>
                  </w:pPr>
                  <w:r>
                    <w:rPr>
                      <w:snapToGrid w:val="0"/>
                    </w:rPr>
                    <w:t>106.271284</w:t>
                  </w:r>
                </w:p>
              </w:tc>
              <w:tc>
                <w:tcPr>
                  <w:tcW w:w="1130" w:type="dxa"/>
                  <w:vAlign w:val="center"/>
                </w:tcPr>
                <w:p>
                  <w:pPr>
                    <w:pStyle w:val="34"/>
                    <w:jc w:val="center"/>
                    <w:rPr>
                      <w:snapToGrid w:val="0"/>
                    </w:rPr>
                  </w:pPr>
                  <w:r>
                    <w:rPr>
                      <w:snapToGrid w:val="0"/>
                    </w:rPr>
                    <w:t>29.956524</w:t>
                  </w:r>
                </w:p>
              </w:tc>
              <w:tc>
                <w:tcPr>
                  <w:tcW w:w="1536" w:type="dxa"/>
                  <w:vAlign w:val="center"/>
                </w:tcPr>
                <w:p>
                  <w:pPr>
                    <w:pStyle w:val="34"/>
                    <w:jc w:val="center"/>
                    <w:rPr>
                      <w:snapToGrid w:val="0"/>
                    </w:rPr>
                  </w:pPr>
                  <w:r>
                    <w:rPr>
                      <w:snapToGrid w:val="0"/>
                    </w:rPr>
                    <w:t>约5户</w:t>
                  </w:r>
                </w:p>
              </w:tc>
              <w:tc>
                <w:tcPr>
                  <w:tcW w:w="692" w:type="dxa"/>
                  <w:vMerge w:val="continue"/>
                  <w:vAlign w:val="center"/>
                </w:tcPr>
                <w:p>
                  <w:pPr>
                    <w:pStyle w:val="34"/>
                    <w:jc w:val="center"/>
                    <w:rPr>
                      <w:snapToGrid w:val="0"/>
                    </w:rPr>
                  </w:pPr>
                </w:p>
              </w:tc>
              <w:tc>
                <w:tcPr>
                  <w:tcW w:w="868" w:type="dxa"/>
                  <w:vMerge w:val="continue"/>
                  <w:vAlign w:val="center"/>
                </w:tcPr>
                <w:p>
                  <w:pPr>
                    <w:pStyle w:val="34"/>
                    <w:jc w:val="center"/>
                  </w:pPr>
                </w:p>
              </w:tc>
              <w:tc>
                <w:tcPr>
                  <w:tcW w:w="860" w:type="dxa"/>
                  <w:vAlign w:val="center"/>
                </w:tcPr>
                <w:p>
                  <w:pPr>
                    <w:pStyle w:val="34"/>
                    <w:jc w:val="center"/>
                  </w:pPr>
                  <w:r>
                    <w:t>NW</w:t>
                  </w:r>
                </w:p>
              </w:tc>
              <w:tc>
                <w:tcPr>
                  <w:tcW w:w="960" w:type="dxa"/>
                  <w:vAlign w:val="center"/>
                </w:tcPr>
                <w:p>
                  <w:pPr>
                    <w:pStyle w:val="34"/>
                    <w:jc w:val="center"/>
                  </w:pPr>
                  <w:r>
                    <w:rPr>
                      <w:rFonts w:hint="eastAsia"/>
                    </w:rPr>
                    <w:t>3</w:t>
                  </w:r>
                  <w: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dxa"/>
                  <w:vAlign w:val="center"/>
                </w:tcPr>
                <w:p>
                  <w:pPr>
                    <w:pStyle w:val="34"/>
                    <w:jc w:val="center"/>
                    <w:rPr>
                      <w:snapToGrid w:val="0"/>
                    </w:rPr>
                  </w:pPr>
                  <w:r>
                    <w:rPr>
                      <w:rFonts w:hint="eastAsia"/>
                      <w:snapToGrid w:val="0"/>
                    </w:rPr>
                    <w:t>3</w:t>
                  </w:r>
                </w:p>
              </w:tc>
              <w:tc>
                <w:tcPr>
                  <w:tcW w:w="1153" w:type="dxa"/>
                  <w:vAlign w:val="center"/>
                </w:tcPr>
                <w:p>
                  <w:pPr>
                    <w:pStyle w:val="34"/>
                    <w:jc w:val="center"/>
                    <w:rPr>
                      <w:szCs w:val="18"/>
                    </w:rPr>
                  </w:pPr>
                  <w:r>
                    <w:rPr>
                      <w:szCs w:val="18"/>
                    </w:rPr>
                    <w:t>3#居民</w:t>
                  </w:r>
                  <w:r>
                    <w:rPr>
                      <w:rFonts w:hint="eastAsia"/>
                      <w:szCs w:val="18"/>
                    </w:rPr>
                    <w:t>点</w:t>
                  </w:r>
                </w:p>
              </w:tc>
              <w:tc>
                <w:tcPr>
                  <w:tcW w:w="1237" w:type="dxa"/>
                  <w:vAlign w:val="center"/>
                </w:tcPr>
                <w:p>
                  <w:pPr>
                    <w:pStyle w:val="34"/>
                    <w:jc w:val="center"/>
                    <w:rPr>
                      <w:snapToGrid w:val="0"/>
                    </w:rPr>
                  </w:pPr>
                  <w:r>
                    <w:rPr>
                      <w:snapToGrid w:val="0"/>
                    </w:rPr>
                    <w:t>106.271896</w:t>
                  </w:r>
                </w:p>
              </w:tc>
              <w:tc>
                <w:tcPr>
                  <w:tcW w:w="1130" w:type="dxa"/>
                  <w:vAlign w:val="center"/>
                </w:tcPr>
                <w:p>
                  <w:pPr>
                    <w:pStyle w:val="34"/>
                    <w:jc w:val="center"/>
                    <w:rPr>
                      <w:snapToGrid w:val="0"/>
                    </w:rPr>
                  </w:pPr>
                  <w:r>
                    <w:rPr>
                      <w:snapToGrid w:val="0"/>
                    </w:rPr>
                    <w:t>29.954529</w:t>
                  </w:r>
                </w:p>
              </w:tc>
              <w:tc>
                <w:tcPr>
                  <w:tcW w:w="1536" w:type="dxa"/>
                  <w:vAlign w:val="center"/>
                </w:tcPr>
                <w:p>
                  <w:pPr>
                    <w:pStyle w:val="34"/>
                    <w:jc w:val="center"/>
                    <w:rPr>
                      <w:snapToGrid w:val="0"/>
                    </w:rPr>
                  </w:pPr>
                  <w:r>
                    <w:rPr>
                      <w:snapToGrid w:val="0"/>
                    </w:rPr>
                    <w:t>约3户</w:t>
                  </w:r>
                </w:p>
              </w:tc>
              <w:tc>
                <w:tcPr>
                  <w:tcW w:w="692" w:type="dxa"/>
                  <w:vMerge w:val="continue"/>
                  <w:vAlign w:val="center"/>
                </w:tcPr>
                <w:p>
                  <w:pPr>
                    <w:pStyle w:val="34"/>
                    <w:jc w:val="center"/>
                    <w:rPr>
                      <w:snapToGrid w:val="0"/>
                    </w:rPr>
                  </w:pPr>
                </w:p>
              </w:tc>
              <w:tc>
                <w:tcPr>
                  <w:tcW w:w="868" w:type="dxa"/>
                  <w:vMerge w:val="continue"/>
                  <w:vAlign w:val="center"/>
                </w:tcPr>
                <w:p>
                  <w:pPr>
                    <w:pStyle w:val="34"/>
                    <w:jc w:val="center"/>
                  </w:pPr>
                </w:p>
              </w:tc>
              <w:tc>
                <w:tcPr>
                  <w:tcW w:w="860" w:type="dxa"/>
                  <w:vAlign w:val="center"/>
                </w:tcPr>
                <w:p>
                  <w:pPr>
                    <w:pStyle w:val="34"/>
                    <w:jc w:val="center"/>
                  </w:pPr>
                  <w:r>
                    <w:rPr>
                      <w:rFonts w:hint="eastAsia"/>
                    </w:rPr>
                    <w:t>W</w:t>
                  </w:r>
                </w:p>
              </w:tc>
              <w:tc>
                <w:tcPr>
                  <w:tcW w:w="960" w:type="dxa"/>
                  <w:vAlign w:val="center"/>
                </w:tcPr>
                <w:p>
                  <w:pPr>
                    <w:pStyle w:val="34"/>
                    <w:jc w:val="center"/>
                  </w:pPr>
                  <w:r>
                    <w:rPr>
                      <w:rFonts w:hint="eastAsia"/>
                    </w:rPr>
                    <w:t>2</w:t>
                  </w:r>
                  <w: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dxa"/>
                  <w:vAlign w:val="center"/>
                </w:tcPr>
                <w:p>
                  <w:pPr>
                    <w:pStyle w:val="34"/>
                    <w:jc w:val="center"/>
                    <w:rPr>
                      <w:snapToGrid w:val="0"/>
                    </w:rPr>
                  </w:pPr>
                  <w:r>
                    <w:rPr>
                      <w:rFonts w:hint="eastAsia"/>
                      <w:snapToGrid w:val="0"/>
                    </w:rPr>
                    <w:t>4</w:t>
                  </w:r>
                </w:p>
              </w:tc>
              <w:tc>
                <w:tcPr>
                  <w:tcW w:w="1153" w:type="dxa"/>
                  <w:vAlign w:val="center"/>
                </w:tcPr>
                <w:p>
                  <w:pPr>
                    <w:pStyle w:val="34"/>
                    <w:jc w:val="center"/>
                    <w:rPr>
                      <w:szCs w:val="18"/>
                    </w:rPr>
                  </w:pPr>
                  <w:r>
                    <w:rPr>
                      <w:szCs w:val="18"/>
                    </w:rPr>
                    <w:t>4#居民</w:t>
                  </w:r>
                  <w:r>
                    <w:rPr>
                      <w:rFonts w:hint="eastAsia"/>
                      <w:szCs w:val="18"/>
                    </w:rPr>
                    <w:t>点</w:t>
                  </w:r>
                </w:p>
              </w:tc>
              <w:tc>
                <w:tcPr>
                  <w:tcW w:w="1237" w:type="dxa"/>
                  <w:vAlign w:val="center"/>
                </w:tcPr>
                <w:p>
                  <w:pPr>
                    <w:pStyle w:val="34"/>
                    <w:jc w:val="center"/>
                    <w:rPr>
                      <w:snapToGrid w:val="0"/>
                    </w:rPr>
                  </w:pPr>
                  <w:r>
                    <w:rPr>
                      <w:snapToGrid w:val="0"/>
                    </w:rPr>
                    <w:t>106.271761</w:t>
                  </w:r>
                </w:p>
              </w:tc>
              <w:tc>
                <w:tcPr>
                  <w:tcW w:w="1130" w:type="dxa"/>
                  <w:vAlign w:val="center"/>
                </w:tcPr>
                <w:p>
                  <w:pPr>
                    <w:pStyle w:val="34"/>
                    <w:jc w:val="center"/>
                    <w:rPr>
                      <w:snapToGrid w:val="0"/>
                    </w:rPr>
                  </w:pPr>
                  <w:r>
                    <w:rPr>
                      <w:snapToGrid w:val="0"/>
                    </w:rPr>
                    <w:t>29.951482</w:t>
                  </w:r>
                </w:p>
              </w:tc>
              <w:tc>
                <w:tcPr>
                  <w:tcW w:w="1536" w:type="dxa"/>
                  <w:vAlign w:val="center"/>
                </w:tcPr>
                <w:p>
                  <w:pPr>
                    <w:pStyle w:val="34"/>
                    <w:jc w:val="center"/>
                    <w:rPr>
                      <w:snapToGrid w:val="0"/>
                    </w:rPr>
                  </w:pPr>
                  <w:r>
                    <w:rPr>
                      <w:snapToGrid w:val="0"/>
                    </w:rPr>
                    <w:t>约10户</w:t>
                  </w:r>
                </w:p>
              </w:tc>
              <w:tc>
                <w:tcPr>
                  <w:tcW w:w="692" w:type="dxa"/>
                  <w:vMerge w:val="continue"/>
                  <w:vAlign w:val="center"/>
                </w:tcPr>
                <w:p>
                  <w:pPr>
                    <w:pStyle w:val="34"/>
                    <w:jc w:val="center"/>
                    <w:rPr>
                      <w:snapToGrid w:val="0"/>
                    </w:rPr>
                  </w:pPr>
                </w:p>
              </w:tc>
              <w:tc>
                <w:tcPr>
                  <w:tcW w:w="868" w:type="dxa"/>
                  <w:vMerge w:val="continue"/>
                  <w:vAlign w:val="center"/>
                </w:tcPr>
                <w:p>
                  <w:pPr>
                    <w:pStyle w:val="34"/>
                    <w:jc w:val="center"/>
                  </w:pPr>
                </w:p>
              </w:tc>
              <w:tc>
                <w:tcPr>
                  <w:tcW w:w="860" w:type="dxa"/>
                  <w:vAlign w:val="center"/>
                </w:tcPr>
                <w:p>
                  <w:pPr>
                    <w:pStyle w:val="34"/>
                    <w:jc w:val="center"/>
                  </w:pPr>
                  <w:r>
                    <w:rPr>
                      <w:rFonts w:hint="eastAsia"/>
                    </w:rPr>
                    <w:t>SW</w:t>
                  </w:r>
                </w:p>
              </w:tc>
              <w:tc>
                <w:tcPr>
                  <w:tcW w:w="960" w:type="dxa"/>
                  <w:vAlign w:val="center"/>
                </w:tcPr>
                <w:p>
                  <w:pPr>
                    <w:pStyle w:val="34"/>
                    <w:jc w:val="center"/>
                  </w:pPr>
                  <w:r>
                    <w:t>375</w:t>
                  </w:r>
                </w:p>
              </w:tc>
            </w:tr>
          </w:tbl>
          <w:p>
            <w:pPr>
              <w:autoSpaceDE w:val="0"/>
              <w:autoSpaceDN w:val="0"/>
              <w:spacing w:before="120" w:beforeLines="50"/>
              <w:ind w:firstLine="482"/>
              <w:rPr>
                <w:b/>
                <w:kern w:val="0"/>
                <w:szCs w:val="21"/>
              </w:rPr>
            </w:pPr>
            <w:r>
              <w:rPr>
                <w:b/>
                <w:kern w:val="0"/>
                <w:szCs w:val="21"/>
              </w:rPr>
              <w:t>2、声环境保护目标</w:t>
            </w:r>
          </w:p>
          <w:p>
            <w:pPr>
              <w:autoSpaceDE w:val="0"/>
              <w:autoSpaceDN w:val="0"/>
              <w:ind w:firstLine="480"/>
              <w:rPr>
                <w:kern w:val="0"/>
                <w:szCs w:val="21"/>
              </w:rPr>
            </w:pPr>
            <w:r>
              <w:rPr>
                <w:kern w:val="0"/>
                <w:szCs w:val="21"/>
              </w:rPr>
              <w:t>项目厂界外50米范围内无声环境保护目标。</w:t>
            </w:r>
          </w:p>
          <w:p>
            <w:pPr>
              <w:autoSpaceDE w:val="0"/>
              <w:autoSpaceDN w:val="0"/>
              <w:ind w:firstLine="482"/>
              <w:rPr>
                <w:b/>
                <w:kern w:val="0"/>
                <w:szCs w:val="21"/>
              </w:rPr>
            </w:pPr>
            <w:r>
              <w:rPr>
                <w:b/>
                <w:kern w:val="0"/>
                <w:szCs w:val="21"/>
              </w:rPr>
              <w:t>3、地下水</w:t>
            </w:r>
          </w:p>
          <w:p>
            <w:pPr>
              <w:autoSpaceDE w:val="0"/>
              <w:autoSpaceDN w:val="0"/>
              <w:ind w:firstLine="480"/>
              <w:rPr>
                <w:kern w:val="0"/>
                <w:szCs w:val="21"/>
              </w:rPr>
            </w:pPr>
            <w:r>
              <w:rPr>
                <w:kern w:val="0"/>
                <w:szCs w:val="21"/>
              </w:rPr>
              <w:t>项目厂界外周边500m范围内无地下水集中式饮用水源和热水、矿泉水、温泉等特殊地下水资源。</w:t>
            </w:r>
          </w:p>
          <w:p>
            <w:pPr>
              <w:autoSpaceDE w:val="0"/>
              <w:autoSpaceDN w:val="0"/>
              <w:ind w:firstLine="482"/>
              <w:rPr>
                <w:b/>
                <w:kern w:val="0"/>
                <w:szCs w:val="21"/>
              </w:rPr>
            </w:pPr>
            <w:r>
              <w:rPr>
                <w:b/>
                <w:kern w:val="0"/>
                <w:szCs w:val="21"/>
              </w:rPr>
              <w:t>4、生态环境</w:t>
            </w:r>
          </w:p>
          <w:p>
            <w:pPr>
              <w:autoSpaceDE w:val="0"/>
              <w:autoSpaceDN w:val="0"/>
              <w:ind w:firstLine="480"/>
              <w:rPr>
                <w:kern w:val="0"/>
                <w:szCs w:val="21"/>
              </w:rPr>
            </w:pPr>
            <w:r>
              <w:rPr>
                <w:kern w:val="0"/>
                <w:szCs w:val="21"/>
              </w:rPr>
              <w:t>项目周围分布为工业企业，项目建设区域生态结构较简单、植被稀疏、无珍稀野生动植物分布，无生态环境保护目标。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557" w:type="dxa"/>
            <w:tcMar>
              <w:left w:w="28" w:type="dxa"/>
              <w:right w:w="28" w:type="dxa"/>
            </w:tcMar>
            <w:vAlign w:val="center"/>
          </w:tcPr>
          <w:p>
            <w:pPr>
              <w:adjustRightInd w:val="0"/>
              <w:snapToGrid w:val="0"/>
              <w:ind w:firstLine="0" w:firstLineChars="0"/>
              <w:rPr>
                <w:kern w:val="0"/>
                <w:szCs w:val="21"/>
              </w:rPr>
            </w:pPr>
            <w:r>
              <w:rPr>
                <w:kern w:val="0"/>
                <w:szCs w:val="21"/>
              </w:rPr>
              <w:t>污染物排放控制标准</w:t>
            </w:r>
          </w:p>
        </w:tc>
        <w:tc>
          <w:tcPr>
            <w:tcW w:w="9170" w:type="dxa"/>
            <w:vAlign w:val="center"/>
          </w:tcPr>
          <w:p>
            <w:pPr>
              <w:spacing w:before="240" w:beforeLines="100"/>
              <w:ind w:firstLine="482"/>
              <w:rPr>
                <w:b/>
                <w:kern w:val="0"/>
                <w:szCs w:val="21"/>
              </w:rPr>
            </w:pPr>
            <w:r>
              <w:rPr>
                <w:b/>
                <w:kern w:val="0"/>
                <w:szCs w:val="21"/>
              </w:rPr>
              <w:t>1、大气污染物排放标准</w:t>
            </w:r>
          </w:p>
          <w:p>
            <w:pPr>
              <w:ind w:firstLine="480"/>
              <w:rPr>
                <w:bCs/>
                <w:kern w:val="0"/>
                <w:szCs w:val="21"/>
              </w:rPr>
            </w:pPr>
            <w:r>
              <w:rPr>
                <w:rFonts w:hint="eastAsia"/>
                <w:kern w:val="0"/>
                <w:szCs w:val="21"/>
              </w:rPr>
              <w:t>本</w:t>
            </w:r>
            <w:r>
              <w:rPr>
                <w:kern w:val="0"/>
                <w:szCs w:val="21"/>
              </w:rPr>
              <w:t>项目</w:t>
            </w:r>
            <w:r>
              <w:rPr>
                <w:rFonts w:hint="eastAsia"/>
                <w:kern w:val="0"/>
                <w:szCs w:val="21"/>
              </w:rPr>
              <w:t>营运期废气主要</w:t>
            </w:r>
            <w:r>
              <w:rPr>
                <w:kern w:val="0"/>
                <w:szCs w:val="21"/>
              </w:rPr>
              <w:t>为配料粉尘</w:t>
            </w:r>
            <w:r>
              <w:rPr>
                <w:rFonts w:hint="eastAsia"/>
                <w:kern w:val="0"/>
                <w:szCs w:val="21"/>
              </w:rPr>
              <w:t>，</w:t>
            </w:r>
            <w:r>
              <w:rPr>
                <w:kern w:val="0"/>
                <w:szCs w:val="21"/>
              </w:rPr>
              <w:t>车间内无</w:t>
            </w:r>
            <w:r>
              <w:rPr>
                <w:rFonts w:hint="eastAsia"/>
                <w:kern w:val="0"/>
                <w:szCs w:val="21"/>
              </w:rPr>
              <w:t>组织</w:t>
            </w:r>
            <w:r>
              <w:rPr>
                <w:kern w:val="0"/>
                <w:szCs w:val="21"/>
              </w:rPr>
              <w:t>排放</w:t>
            </w:r>
            <w:r>
              <w:rPr>
                <w:rFonts w:hint="eastAsia"/>
                <w:kern w:val="0"/>
                <w:szCs w:val="21"/>
              </w:rPr>
              <w:t>，颗粒物执行《大气污染物综合排放标准》（DB50/418-2016）中</w:t>
            </w:r>
            <w:r>
              <w:rPr>
                <w:kern w:val="0"/>
                <w:szCs w:val="21"/>
              </w:rPr>
              <w:t>无组</w:t>
            </w:r>
            <w:r>
              <w:rPr>
                <w:rFonts w:hint="eastAsia"/>
                <w:kern w:val="0"/>
                <w:szCs w:val="21"/>
              </w:rPr>
              <w:t>排放标准</w:t>
            </w:r>
            <w:r>
              <w:rPr>
                <w:kern w:val="0"/>
                <w:szCs w:val="21"/>
              </w:rPr>
              <w:t>；</w:t>
            </w:r>
            <w:r>
              <w:rPr>
                <w:rFonts w:hint="eastAsia"/>
                <w:kern w:val="0"/>
                <w:szCs w:val="21"/>
              </w:rPr>
              <w:t>车间</w:t>
            </w:r>
            <w:r>
              <w:rPr>
                <w:kern w:val="0"/>
                <w:szCs w:val="21"/>
              </w:rPr>
              <w:t>无组织排放的臭气浓度</w:t>
            </w:r>
            <w:r>
              <w:rPr>
                <w:bCs/>
                <w:kern w:val="0"/>
                <w:szCs w:val="21"/>
              </w:rPr>
              <w:t>《恶臭污染物排放标准》（GB14554-93）</w:t>
            </w:r>
            <w:r>
              <w:rPr>
                <w:rFonts w:hint="eastAsia"/>
                <w:bCs/>
                <w:kern w:val="0"/>
                <w:szCs w:val="21"/>
              </w:rPr>
              <w:t>中表1恶臭污染物厂界标准值。</w:t>
            </w:r>
          </w:p>
          <w:p>
            <w:pPr>
              <w:adjustRightInd w:val="0"/>
              <w:spacing w:line="440" w:lineRule="exact"/>
              <w:ind w:firstLine="482"/>
              <w:jc w:val="center"/>
              <w:rPr>
                <w:b/>
                <w:bCs/>
                <w:lang w:val="zh-CN"/>
              </w:rPr>
            </w:pPr>
            <w:r>
              <w:rPr>
                <w:rFonts w:hint="eastAsia" w:cs="宋体"/>
                <w:b/>
                <w:bCs/>
                <w:lang w:val="zh-CN" w:bidi="ar"/>
              </w:rPr>
              <w:t>表</w:t>
            </w:r>
            <w:r>
              <w:rPr>
                <w:b/>
                <w:bCs/>
                <w:lang w:val="zh-CN" w:bidi="ar"/>
              </w:rPr>
              <w:t>3-</w:t>
            </w:r>
            <w:r>
              <w:rPr>
                <w:b/>
                <w:bCs/>
                <w:lang w:bidi="ar"/>
              </w:rPr>
              <w:t>3</w:t>
            </w:r>
            <w:r>
              <w:rPr>
                <w:b/>
                <w:bCs/>
                <w:lang w:val="zh-CN" w:bidi="ar"/>
              </w:rPr>
              <w:t xml:space="preserve">   </w:t>
            </w:r>
            <w:r>
              <w:rPr>
                <w:rFonts w:hint="eastAsia"/>
                <w:b/>
                <w:kern w:val="0"/>
                <w:szCs w:val="21"/>
              </w:rPr>
              <w:t>《大气污染物综合排放标准》(DB50/418-2016)</w:t>
            </w:r>
          </w:p>
          <w:tbl>
            <w:tblPr>
              <w:tblStyle w:val="18"/>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55"/>
              <w:gridCol w:w="46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17" w:hRule="atLeast"/>
                <w:jc w:val="center"/>
              </w:trPr>
              <w:tc>
                <w:tcPr>
                  <w:tcW w:w="2384" w:type="pct"/>
                  <w:tcBorders>
                    <w:top w:val="single" w:color="auto" w:sz="12" w:space="0"/>
                    <w:left w:val="single" w:color="auto" w:sz="12" w:space="0"/>
                    <w:bottom w:val="single" w:color="auto" w:sz="4" w:space="0"/>
                    <w:right w:val="single" w:color="auto" w:sz="4" w:space="0"/>
                  </w:tcBorders>
                  <w:shd w:val="clear" w:color="auto" w:fill="auto"/>
                  <w:vAlign w:val="center"/>
                </w:tcPr>
                <w:p>
                  <w:pPr>
                    <w:pStyle w:val="62"/>
                    <w:widowControl/>
                    <w:spacing w:before="24"/>
                    <w:ind w:firstLine="420"/>
                    <w:rPr>
                      <w:rFonts w:ascii="Times New Roman" w:hAnsi="Times New Roman"/>
                      <w:bCs/>
                      <w:szCs w:val="21"/>
                    </w:rPr>
                  </w:pPr>
                  <w:r>
                    <w:rPr>
                      <w:rFonts w:ascii="Times New Roman" w:hAnsi="Times New Roman"/>
                      <w:bCs/>
                      <w:szCs w:val="21"/>
                    </w:rPr>
                    <w:t>污染物项目</w:t>
                  </w:r>
                </w:p>
              </w:tc>
              <w:tc>
                <w:tcPr>
                  <w:tcW w:w="2615" w:type="pct"/>
                  <w:tcBorders>
                    <w:top w:val="single" w:color="auto" w:sz="12" w:space="0"/>
                    <w:left w:val="single" w:color="auto" w:sz="4" w:space="0"/>
                    <w:bottom w:val="single" w:color="auto" w:sz="4" w:space="0"/>
                    <w:right w:val="single" w:color="auto" w:sz="12" w:space="0"/>
                  </w:tcBorders>
                  <w:shd w:val="clear" w:color="auto" w:fill="auto"/>
                  <w:vAlign w:val="center"/>
                </w:tcPr>
                <w:p>
                  <w:pPr>
                    <w:pStyle w:val="62"/>
                    <w:widowControl/>
                    <w:spacing w:before="24"/>
                    <w:ind w:firstLine="420"/>
                    <w:rPr>
                      <w:rFonts w:ascii="Times New Roman" w:hAnsi="Times New Roman"/>
                      <w:bCs/>
                      <w:szCs w:val="21"/>
                    </w:rPr>
                  </w:pPr>
                  <w:r>
                    <w:rPr>
                      <w:rFonts w:hint="eastAsia" w:ascii="Times New Roman" w:hAnsi="Times New Roman"/>
                      <w:bCs/>
                      <w:szCs w:val="21"/>
                    </w:rPr>
                    <w:t>无组织</w:t>
                  </w:r>
                  <w:r>
                    <w:rPr>
                      <w:rFonts w:ascii="Times New Roman" w:hAnsi="Times New Roman"/>
                      <w:bCs/>
                      <w:szCs w:val="21"/>
                    </w:rPr>
                    <w:t>排放浓度mg/m</w:t>
                  </w:r>
                  <w:r>
                    <w:rPr>
                      <w:rFonts w:ascii="Times New Roman" w:hAnsi="Times New Roman"/>
                      <w:bCs/>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84" w:type="pct"/>
                  <w:tcBorders>
                    <w:top w:val="single" w:color="auto" w:sz="4" w:space="0"/>
                    <w:left w:val="single" w:color="auto" w:sz="12" w:space="0"/>
                    <w:bottom w:val="single" w:color="auto" w:sz="4" w:space="0"/>
                    <w:right w:val="single" w:color="auto" w:sz="4" w:space="0"/>
                  </w:tcBorders>
                  <w:shd w:val="clear" w:color="auto" w:fill="auto"/>
                  <w:vAlign w:val="center"/>
                </w:tcPr>
                <w:p>
                  <w:pPr>
                    <w:pStyle w:val="62"/>
                    <w:widowControl/>
                    <w:spacing w:before="24"/>
                    <w:ind w:firstLine="420"/>
                    <w:rPr>
                      <w:rFonts w:ascii="Times New Roman" w:hAnsi="Times New Roman"/>
                      <w:szCs w:val="21"/>
                    </w:rPr>
                  </w:pPr>
                  <w:r>
                    <w:rPr>
                      <w:rFonts w:hint="eastAsia" w:ascii="Times New Roman" w:hAnsi="Times New Roman"/>
                      <w:szCs w:val="21"/>
                    </w:rPr>
                    <w:t>颗粒物</w:t>
                  </w:r>
                </w:p>
              </w:tc>
              <w:tc>
                <w:tcPr>
                  <w:tcW w:w="2615" w:type="pct"/>
                  <w:tcBorders>
                    <w:top w:val="single" w:color="auto" w:sz="4" w:space="0"/>
                    <w:left w:val="single" w:color="auto" w:sz="4" w:space="0"/>
                    <w:bottom w:val="single" w:color="auto" w:sz="4" w:space="0"/>
                    <w:right w:val="single" w:color="auto" w:sz="12" w:space="0"/>
                  </w:tcBorders>
                  <w:shd w:val="clear" w:color="auto" w:fill="auto"/>
                  <w:vAlign w:val="center"/>
                </w:tcPr>
                <w:p>
                  <w:pPr>
                    <w:pStyle w:val="62"/>
                    <w:widowControl/>
                    <w:spacing w:before="24"/>
                    <w:ind w:firstLine="420"/>
                    <w:rPr>
                      <w:rFonts w:ascii="Times New Roman" w:hAnsi="Times New Roman"/>
                      <w:szCs w:val="21"/>
                    </w:rPr>
                  </w:pPr>
                  <w:r>
                    <w:rPr>
                      <w:rFonts w:ascii="Times New Roman" w:hAnsi="Times New Roman"/>
                      <w:szCs w:val="21"/>
                    </w:rPr>
                    <w:t>1.0</w:t>
                  </w:r>
                </w:p>
              </w:tc>
            </w:tr>
          </w:tbl>
          <w:p>
            <w:pPr>
              <w:adjustRightInd w:val="0"/>
              <w:spacing w:line="440" w:lineRule="exact"/>
              <w:ind w:firstLine="482"/>
              <w:jc w:val="center"/>
              <w:rPr>
                <w:b/>
                <w:bCs/>
                <w:lang w:bidi="ar"/>
              </w:rPr>
            </w:pPr>
            <w:r>
              <w:rPr>
                <w:rFonts w:hint="eastAsia" w:cs="宋体"/>
                <w:b/>
                <w:bCs/>
                <w:lang w:val="zh-CN" w:bidi="ar"/>
              </w:rPr>
              <w:t>表</w:t>
            </w:r>
            <w:r>
              <w:rPr>
                <w:b/>
                <w:bCs/>
                <w:lang w:val="zh-CN" w:bidi="ar"/>
              </w:rPr>
              <w:t>3-</w:t>
            </w:r>
            <w:r>
              <w:rPr>
                <w:b/>
                <w:bCs/>
                <w:lang w:bidi="ar"/>
              </w:rPr>
              <w:t>4   《恶臭污染物排放标准》（GB14554-93）</w:t>
            </w:r>
          </w:p>
          <w:tbl>
            <w:tblPr>
              <w:tblStyle w:val="18"/>
              <w:tblW w:w="5000" w:type="pct"/>
              <w:jc w:val="center"/>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autofit"/>
              <w:tblCellMar>
                <w:top w:w="0" w:type="dxa"/>
                <w:left w:w="0" w:type="dxa"/>
                <w:bottom w:w="0" w:type="dxa"/>
                <w:right w:w="0" w:type="dxa"/>
              </w:tblCellMar>
            </w:tblPr>
            <w:tblGrid>
              <w:gridCol w:w="1487"/>
              <w:gridCol w:w="1935"/>
              <w:gridCol w:w="2445"/>
              <w:gridCol w:w="3057"/>
            </w:tblGrid>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0" w:type="dxa"/>
                  <w:bottom w:w="0" w:type="dxa"/>
                  <w:right w:w="0" w:type="dxa"/>
                </w:tblCellMar>
              </w:tblPrEx>
              <w:trPr>
                <w:cantSplit/>
                <w:trHeight w:val="369" w:hRule="atLeast"/>
                <w:jc w:val="center"/>
              </w:trPr>
              <w:tc>
                <w:tcPr>
                  <w:tcW w:w="833" w:type="pct"/>
                  <w:vAlign w:val="center"/>
                </w:tcPr>
                <w:p>
                  <w:pPr>
                    <w:pStyle w:val="62"/>
                    <w:widowControl/>
                    <w:spacing w:beforeLines="0" w:line="257" w:lineRule="auto"/>
                    <w:ind w:firstLine="0" w:firstLineChars="0"/>
                    <w:rPr>
                      <w:rFonts w:ascii="Times New Roman" w:hAnsi="Times New Roman"/>
                      <w:bCs/>
                      <w:szCs w:val="21"/>
                    </w:rPr>
                  </w:pPr>
                  <w:r>
                    <w:rPr>
                      <w:rFonts w:ascii="Times New Roman" w:hAnsi="Times New Roman"/>
                      <w:bCs/>
                      <w:szCs w:val="21"/>
                    </w:rPr>
                    <w:t>污染物种类</w:t>
                  </w:r>
                </w:p>
              </w:tc>
              <w:tc>
                <w:tcPr>
                  <w:tcW w:w="1084" w:type="pct"/>
                  <w:vAlign w:val="center"/>
                </w:tcPr>
                <w:p>
                  <w:pPr>
                    <w:pStyle w:val="62"/>
                    <w:widowControl/>
                    <w:spacing w:beforeLines="0" w:line="257" w:lineRule="auto"/>
                    <w:ind w:firstLine="0" w:firstLineChars="0"/>
                    <w:rPr>
                      <w:rFonts w:ascii="Times New Roman" w:hAnsi="Times New Roman"/>
                      <w:bCs/>
                      <w:szCs w:val="21"/>
                    </w:rPr>
                  </w:pPr>
                  <w:r>
                    <w:rPr>
                      <w:rFonts w:ascii="Times New Roman" w:hAnsi="Times New Roman"/>
                      <w:bCs/>
                      <w:szCs w:val="21"/>
                    </w:rPr>
                    <w:t>单位</w:t>
                  </w:r>
                </w:p>
              </w:tc>
              <w:tc>
                <w:tcPr>
                  <w:tcW w:w="1370" w:type="pct"/>
                  <w:vAlign w:val="center"/>
                </w:tcPr>
                <w:p>
                  <w:pPr>
                    <w:pStyle w:val="62"/>
                    <w:widowControl/>
                    <w:spacing w:beforeLines="0" w:line="257" w:lineRule="auto"/>
                    <w:ind w:firstLine="0" w:firstLineChars="0"/>
                    <w:rPr>
                      <w:rFonts w:ascii="Times New Roman" w:hAnsi="Times New Roman"/>
                      <w:bCs/>
                      <w:szCs w:val="21"/>
                    </w:rPr>
                  </w:pPr>
                  <w:r>
                    <w:rPr>
                      <w:rFonts w:ascii="Times New Roman" w:hAnsi="Times New Roman"/>
                      <w:bCs/>
                      <w:szCs w:val="21"/>
                    </w:rPr>
                    <w:t>排放形式</w:t>
                  </w:r>
                </w:p>
              </w:tc>
              <w:tc>
                <w:tcPr>
                  <w:tcW w:w="1713" w:type="pct"/>
                  <w:vAlign w:val="center"/>
                </w:tcPr>
                <w:p>
                  <w:pPr>
                    <w:pStyle w:val="62"/>
                    <w:widowControl/>
                    <w:spacing w:beforeLines="0" w:line="257" w:lineRule="auto"/>
                    <w:ind w:firstLine="0" w:firstLineChars="0"/>
                    <w:rPr>
                      <w:rFonts w:ascii="Times New Roman" w:hAnsi="Times New Roman"/>
                      <w:bCs/>
                      <w:szCs w:val="21"/>
                    </w:rPr>
                  </w:pPr>
                  <w:r>
                    <w:rPr>
                      <w:rFonts w:ascii="Times New Roman" w:hAnsi="Times New Roman"/>
                      <w:bCs/>
                      <w:szCs w:val="21"/>
                    </w:rPr>
                    <w:t>排放限值</w:t>
                  </w:r>
                </w:p>
              </w:tc>
            </w:tr>
            <w:tr>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0" w:type="dxa"/>
                  <w:bottom w:w="0" w:type="dxa"/>
                  <w:right w:w="0" w:type="dxa"/>
                </w:tblCellMar>
              </w:tblPrEx>
              <w:trPr>
                <w:cantSplit/>
                <w:trHeight w:val="369" w:hRule="atLeast"/>
                <w:jc w:val="center"/>
              </w:trPr>
              <w:tc>
                <w:tcPr>
                  <w:tcW w:w="833" w:type="pct"/>
                  <w:vAlign w:val="center"/>
                </w:tcPr>
                <w:p>
                  <w:pPr>
                    <w:pStyle w:val="62"/>
                    <w:widowControl/>
                    <w:spacing w:beforeLines="0" w:line="257" w:lineRule="auto"/>
                    <w:ind w:firstLine="0" w:firstLineChars="0"/>
                    <w:rPr>
                      <w:rFonts w:ascii="Times New Roman" w:hAnsi="Times New Roman"/>
                      <w:bCs/>
                      <w:szCs w:val="21"/>
                    </w:rPr>
                  </w:pPr>
                  <w:r>
                    <w:rPr>
                      <w:rFonts w:ascii="Times New Roman" w:hAnsi="Times New Roman"/>
                      <w:bCs/>
                      <w:szCs w:val="21"/>
                    </w:rPr>
                    <w:t>臭气浓度</w:t>
                  </w:r>
                </w:p>
              </w:tc>
              <w:tc>
                <w:tcPr>
                  <w:tcW w:w="1084" w:type="pct"/>
                  <w:vAlign w:val="center"/>
                </w:tcPr>
                <w:p>
                  <w:pPr>
                    <w:pStyle w:val="62"/>
                    <w:widowControl/>
                    <w:spacing w:beforeLines="0" w:line="257" w:lineRule="auto"/>
                    <w:ind w:firstLine="0" w:firstLineChars="0"/>
                    <w:rPr>
                      <w:rFonts w:ascii="Times New Roman" w:hAnsi="Times New Roman"/>
                      <w:bCs/>
                      <w:szCs w:val="21"/>
                    </w:rPr>
                  </w:pPr>
                  <w:r>
                    <w:rPr>
                      <w:rFonts w:ascii="Times New Roman" w:hAnsi="Times New Roman"/>
                      <w:bCs/>
                      <w:szCs w:val="21"/>
                    </w:rPr>
                    <w:t>无量纲</w:t>
                  </w:r>
                </w:p>
              </w:tc>
              <w:tc>
                <w:tcPr>
                  <w:tcW w:w="1370" w:type="pct"/>
                  <w:vAlign w:val="center"/>
                </w:tcPr>
                <w:p>
                  <w:pPr>
                    <w:pStyle w:val="62"/>
                    <w:widowControl/>
                    <w:spacing w:beforeLines="0" w:line="257" w:lineRule="auto"/>
                    <w:ind w:firstLine="0" w:firstLineChars="0"/>
                    <w:rPr>
                      <w:rFonts w:ascii="Times New Roman" w:hAnsi="Times New Roman"/>
                      <w:bCs/>
                      <w:szCs w:val="21"/>
                    </w:rPr>
                  </w:pPr>
                  <w:r>
                    <w:rPr>
                      <w:rFonts w:ascii="Times New Roman" w:hAnsi="Times New Roman"/>
                      <w:bCs/>
                      <w:szCs w:val="21"/>
                    </w:rPr>
                    <w:t>无组织</w:t>
                  </w:r>
                </w:p>
              </w:tc>
              <w:tc>
                <w:tcPr>
                  <w:tcW w:w="1713" w:type="pct"/>
                  <w:vAlign w:val="center"/>
                </w:tcPr>
                <w:p>
                  <w:pPr>
                    <w:pStyle w:val="62"/>
                    <w:widowControl/>
                    <w:spacing w:beforeLines="0" w:line="257" w:lineRule="auto"/>
                    <w:ind w:firstLine="0" w:firstLineChars="0"/>
                    <w:rPr>
                      <w:rFonts w:ascii="Times New Roman" w:hAnsi="Times New Roman"/>
                      <w:bCs/>
                      <w:szCs w:val="21"/>
                    </w:rPr>
                  </w:pPr>
                  <w:r>
                    <w:rPr>
                      <w:rFonts w:ascii="Times New Roman" w:hAnsi="Times New Roman"/>
                      <w:bCs/>
                      <w:szCs w:val="21"/>
                    </w:rPr>
                    <w:t>20</w:t>
                  </w:r>
                </w:p>
              </w:tc>
            </w:tr>
          </w:tbl>
          <w:p>
            <w:pPr>
              <w:ind w:firstLine="482"/>
              <w:rPr>
                <w:b/>
                <w:kern w:val="0"/>
                <w:szCs w:val="21"/>
              </w:rPr>
            </w:pPr>
            <w:r>
              <w:rPr>
                <w:b/>
                <w:kern w:val="0"/>
                <w:szCs w:val="21"/>
              </w:rPr>
              <w:t>2、废水污染物排放标准</w:t>
            </w:r>
          </w:p>
          <w:p>
            <w:pPr>
              <w:ind w:firstLine="480"/>
            </w:pPr>
            <w:r>
              <w:rPr>
                <w:kern w:val="0"/>
                <w:szCs w:val="21"/>
              </w:rPr>
              <w:t>项目主要废水为生活污水</w:t>
            </w:r>
            <w:r>
              <w:rPr>
                <w:rFonts w:hint="eastAsia"/>
                <w:kern w:val="0"/>
                <w:szCs w:val="21"/>
              </w:rPr>
              <w:t>和</w:t>
            </w:r>
            <w:r>
              <w:rPr>
                <w:kern w:val="0"/>
                <w:szCs w:val="21"/>
              </w:rPr>
              <w:t>生产废水</w:t>
            </w:r>
            <w:r>
              <w:rPr>
                <w:rFonts w:hint="eastAsia"/>
                <w:kern w:val="0"/>
                <w:szCs w:val="21"/>
              </w:rPr>
              <w:t>，生产废水</w:t>
            </w:r>
            <w:r>
              <w:rPr>
                <w:rFonts w:hint="eastAsia"/>
              </w:rPr>
              <w:t>经自建的一体化废水处理设施处理达《淀粉工业水污染物排放标准》（GB25461-2010）表2中间接排放标准后与</w:t>
            </w:r>
            <w:r>
              <w:t>生活污水一并</w:t>
            </w:r>
            <w:r>
              <w:rPr>
                <w:rFonts w:hint="eastAsia"/>
              </w:rPr>
              <w:t>排入宜企健厂区</w:t>
            </w:r>
            <w:r>
              <w:t>污水处理站</w:t>
            </w:r>
            <w:r>
              <w:rPr>
                <w:rFonts w:hint="eastAsia"/>
              </w:rPr>
              <w:t>，由于是依托宜企健的污水处理站，污水处理站的运营管理由宜企健负责，宜企健污水</w:t>
            </w:r>
            <w:r>
              <w:t>处理站出水执行</w:t>
            </w:r>
            <w:r>
              <w:rPr>
                <w:kern w:val="0"/>
                <w:szCs w:val="21"/>
              </w:rPr>
              <w:t>《</w:t>
            </w:r>
            <w:r>
              <w:rPr>
                <w:rFonts w:hint="eastAsia"/>
                <w:kern w:val="0"/>
                <w:szCs w:val="21"/>
              </w:rPr>
              <w:t>肉类加工</w:t>
            </w:r>
            <w:r>
              <w:rPr>
                <w:kern w:val="0"/>
                <w:szCs w:val="21"/>
              </w:rPr>
              <w:t>工业水污染物排放标准》（GB13457-1992）</w:t>
            </w:r>
            <w:r>
              <w:rPr>
                <w:rFonts w:hint="eastAsia"/>
                <w:kern w:val="0"/>
                <w:szCs w:val="21"/>
              </w:rPr>
              <w:t>中</w:t>
            </w:r>
            <w:r>
              <w:rPr>
                <w:kern w:val="0"/>
                <w:szCs w:val="21"/>
              </w:rPr>
              <w:t>“</w:t>
            </w:r>
            <w:r>
              <w:rPr>
                <w:rFonts w:hint="eastAsia"/>
                <w:kern w:val="0"/>
                <w:szCs w:val="21"/>
              </w:rPr>
              <w:t>肉制品</w:t>
            </w:r>
            <w:r>
              <w:rPr>
                <w:kern w:val="0"/>
                <w:szCs w:val="21"/>
              </w:rPr>
              <w:t>加工”三级标准标准</w:t>
            </w:r>
            <w:r>
              <w:rPr>
                <w:rFonts w:hint="eastAsia"/>
                <w:kern w:val="0"/>
                <w:szCs w:val="21"/>
              </w:rPr>
              <w:t>，</w:t>
            </w:r>
            <w:r>
              <w:rPr>
                <w:kern w:val="0"/>
                <w:szCs w:val="21"/>
              </w:rPr>
              <w:t>接入市政管网排至</w:t>
            </w:r>
            <w:r>
              <w:rPr>
                <w:rFonts w:hint="eastAsia"/>
              </w:rPr>
              <w:t>园区污水</w:t>
            </w:r>
            <w:r>
              <w:t>处理厂</w:t>
            </w:r>
            <w:r>
              <w:rPr>
                <w:rFonts w:hint="eastAsia"/>
              </w:rPr>
              <w:t>，最终处理达到《城镇污水处理厂污染物排放标准》（GB18918-2002）一级B标准后排入建梁河，最后汇入嘉陵江。</w:t>
            </w:r>
          </w:p>
          <w:p>
            <w:pPr>
              <w:pStyle w:val="33"/>
              <w:spacing w:before="0" w:beforeLines="0"/>
            </w:pPr>
            <w:r>
              <w:t>表3-5   水污染物排放标准    单位：mg/L</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99"/>
              <w:gridCol w:w="2427"/>
              <w:gridCol w:w="2539"/>
              <w:gridCol w:w="25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pct"/>
                  <w:vAlign w:val="center"/>
                </w:tcPr>
                <w:p>
                  <w:pPr>
                    <w:pStyle w:val="34"/>
                    <w:jc w:val="center"/>
                  </w:pPr>
                  <w:r>
                    <w:t>污染物种类</w:t>
                  </w:r>
                </w:p>
              </w:tc>
              <w:tc>
                <w:tcPr>
                  <w:tcW w:w="1359" w:type="pct"/>
                  <w:vAlign w:val="center"/>
                </w:tcPr>
                <w:p>
                  <w:pPr>
                    <w:pStyle w:val="34"/>
                    <w:jc w:val="center"/>
                  </w:pPr>
                  <w:r>
                    <w:rPr>
                      <w:bCs/>
                    </w:rPr>
                    <w:t>GB13457-1992</w:t>
                  </w:r>
                  <w:r>
                    <w:rPr>
                      <w:rFonts w:hint="eastAsia"/>
                      <w:bCs/>
                    </w:rPr>
                    <w:t>中</w:t>
                  </w:r>
                  <w:r>
                    <w:rPr>
                      <w:bCs/>
                    </w:rPr>
                    <w:t>“</w:t>
                  </w:r>
                  <w:r>
                    <w:rPr>
                      <w:rFonts w:hint="eastAsia"/>
                      <w:bCs/>
                    </w:rPr>
                    <w:t>肉制品</w:t>
                  </w:r>
                  <w:r>
                    <w:rPr>
                      <w:bCs/>
                    </w:rPr>
                    <w:t>加工”三级标准</w:t>
                  </w:r>
                </w:p>
              </w:tc>
              <w:tc>
                <w:tcPr>
                  <w:tcW w:w="1422" w:type="pct"/>
                  <w:vAlign w:val="center"/>
                </w:tcPr>
                <w:p>
                  <w:pPr>
                    <w:pStyle w:val="34"/>
                    <w:jc w:val="center"/>
                    <w:rPr>
                      <w:bCs/>
                    </w:rPr>
                  </w:pPr>
                  <w:r>
                    <w:rPr>
                      <w:rFonts w:hint="eastAsia"/>
                      <w:bCs/>
                    </w:rPr>
                    <w:t>（GB25461-2010）间接</w:t>
                  </w:r>
                  <w:r>
                    <w:rPr>
                      <w:bCs/>
                    </w:rPr>
                    <w:t>排放标准</w:t>
                  </w:r>
                </w:p>
              </w:tc>
              <w:tc>
                <w:tcPr>
                  <w:tcW w:w="1433" w:type="pct"/>
                  <w:vAlign w:val="center"/>
                </w:tcPr>
                <w:p>
                  <w:pPr>
                    <w:pStyle w:val="34"/>
                    <w:jc w:val="center"/>
                  </w:pPr>
                  <w:r>
                    <w:rPr>
                      <w:bCs/>
                    </w:rPr>
                    <w:t>GB18918-2002一级B标准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pct"/>
                  <w:vAlign w:val="center"/>
                </w:tcPr>
                <w:p>
                  <w:pPr>
                    <w:pStyle w:val="34"/>
                    <w:jc w:val="center"/>
                  </w:pPr>
                  <w:r>
                    <w:t>COD</w:t>
                  </w:r>
                </w:p>
              </w:tc>
              <w:tc>
                <w:tcPr>
                  <w:tcW w:w="1359" w:type="pct"/>
                  <w:vAlign w:val="center"/>
                </w:tcPr>
                <w:p>
                  <w:pPr>
                    <w:pStyle w:val="34"/>
                    <w:jc w:val="center"/>
                  </w:pPr>
                  <w:r>
                    <w:t>500</w:t>
                  </w:r>
                </w:p>
              </w:tc>
              <w:tc>
                <w:tcPr>
                  <w:tcW w:w="1422" w:type="pct"/>
                  <w:vAlign w:val="center"/>
                </w:tcPr>
                <w:p>
                  <w:pPr>
                    <w:pStyle w:val="34"/>
                    <w:jc w:val="center"/>
                  </w:pPr>
                  <w:r>
                    <w:rPr>
                      <w:rFonts w:hint="eastAsia"/>
                    </w:rPr>
                    <w:t>300</w:t>
                  </w:r>
                </w:p>
              </w:tc>
              <w:tc>
                <w:tcPr>
                  <w:tcW w:w="1433" w:type="pct"/>
                  <w:vAlign w:val="center"/>
                </w:tcPr>
                <w:p>
                  <w:pPr>
                    <w:pStyle w:val="34"/>
                    <w:jc w:val="center"/>
                  </w:pPr>
                  <w: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pct"/>
                  <w:vAlign w:val="center"/>
                </w:tcPr>
                <w:p>
                  <w:pPr>
                    <w:pStyle w:val="34"/>
                    <w:jc w:val="center"/>
                    <w:rPr>
                      <w:bCs/>
                    </w:rPr>
                  </w:pPr>
                  <w:r>
                    <w:rPr>
                      <w:bCs/>
                    </w:rPr>
                    <w:t>BOD</w:t>
                  </w:r>
                  <w:r>
                    <w:rPr>
                      <w:bCs/>
                      <w:vertAlign w:val="subscript"/>
                    </w:rPr>
                    <w:t>5</w:t>
                  </w:r>
                </w:p>
              </w:tc>
              <w:tc>
                <w:tcPr>
                  <w:tcW w:w="1359" w:type="pct"/>
                  <w:vAlign w:val="center"/>
                </w:tcPr>
                <w:p>
                  <w:pPr>
                    <w:pStyle w:val="34"/>
                    <w:jc w:val="center"/>
                  </w:pPr>
                  <w:r>
                    <w:t>300</w:t>
                  </w:r>
                </w:p>
              </w:tc>
              <w:tc>
                <w:tcPr>
                  <w:tcW w:w="1422" w:type="pct"/>
                  <w:vAlign w:val="center"/>
                </w:tcPr>
                <w:p>
                  <w:pPr>
                    <w:pStyle w:val="34"/>
                    <w:jc w:val="center"/>
                  </w:pPr>
                  <w:r>
                    <w:rPr>
                      <w:rFonts w:hint="eastAsia"/>
                    </w:rPr>
                    <w:t>70</w:t>
                  </w:r>
                </w:p>
              </w:tc>
              <w:tc>
                <w:tcPr>
                  <w:tcW w:w="1433" w:type="pct"/>
                  <w:vAlign w:val="center"/>
                </w:tcPr>
                <w:p>
                  <w:pPr>
                    <w:pStyle w:val="34"/>
                    <w:jc w:val="center"/>
                  </w:pPr>
                  <w: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pct"/>
                  <w:vAlign w:val="center"/>
                </w:tcPr>
                <w:p>
                  <w:pPr>
                    <w:pStyle w:val="34"/>
                    <w:jc w:val="center"/>
                    <w:rPr>
                      <w:bCs/>
                    </w:rPr>
                  </w:pPr>
                  <w:r>
                    <w:rPr>
                      <w:bCs/>
                    </w:rPr>
                    <w:t>SS</w:t>
                  </w:r>
                </w:p>
              </w:tc>
              <w:tc>
                <w:tcPr>
                  <w:tcW w:w="1359" w:type="pct"/>
                  <w:vAlign w:val="center"/>
                </w:tcPr>
                <w:p>
                  <w:pPr>
                    <w:pStyle w:val="34"/>
                    <w:jc w:val="center"/>
                  </w:pPr>
                  <w:r>
                    <w:t>350</w:t>
                  </w:r>
                </w:p>
              </w:tc>
              <w:tc>
                <w:tcPr>
                  <w:tcW w:w="1422" w:type="pct"/>
                  <w:vAlign w:val="center"/>
                </w:tcPr>
                <w:p>
                  <w:pPr>
                    <w:pStyle w:val="34"/>
                    <w:jc w:val="center"/>
                  </w:pPr>
                  <w:r>
                    <w:rPr>
                      <w:rFonts w:hint="eastAsia"/>
                    </w:rPr>
                    <w:t>70</w:t>
                  </w:r>
                </w:p>
              </w:tc>
              <w:tc>
                <w:tcPr>
                  <w:tcW w:w="1433" w:type="pct"/>
                  <w:vAlign w:val="center"/>
                </w:tcPr>
                <w:p>
                  <w:pPr>
                    <w:pStyle w:val="34"/>
                    <w:jc w:val="center"/>
                  </w:pPr>
                  <w: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pct"/>
                  <w:vAlign w:val="center"/>
                </w:tcPr>
                <w:p>
                  <w:pPr>
                    <w:pStyle w:val="34"/>
                    <w:jc w:val="center"/>
                    <w:rPr>
                      <w:bCs/>
                    </w:rPr>
                  </w:pPr>
                  <w:r>
                    <w:rPr>
                      <w:bCs/>
                    </w:rPr>
                    <w:t>NH</w:t>
                  </w:r>
                  <w:r>
                    <w:rPr>
                      <w:bCs/>
                      <w:vertAlign w:val="subscript"/>
                    </w:rPr>
                    <w:t>3</w:t>
                  </w:r>
                  <w:r>
                    <w:rPr>
                      <w:bCs/>
                    </w:rPr>
                    <w:t>-N</w:t>
                  </w:r>
                </w:p>
              </w:tc>
              <w:tc>
                <w:tcPr>
                  <w:tcW w:w="1359" w:type="pct"/>
                  <w:vAlign w:val="center"/>
                </w:tcPr>
                <w:p>
                  <w:pPr>
                    <w:pStyle w:val="34"/>
                    <w:jc w:val="center"/>
                  </w:pPr>
                  <w:r>
                    <w:t>45</w:t>
                  </w:r>
                  <w:r>
                    <w:rPr>
                      <w:rFonts w:hint="eastAsia" w:ascii="宋体" w:hAnsi="宋体" w:cs="宋体"/>
                      <w:vertAlign w:val="superscript"/>
                    </w:rPr>
                    <w:t>①</w:t>
                  </w:r>
                </w:p>
              </w:tc>
              <w:tc>
                <w:tcPr>
                  <w:tcW w:w="1422" w:type="pct"/>
                  <w:vAlign w:val="center"/>
                </w:tcPr>
                <w:p>
                  <w:pPr>
                    <w:pStyle w:val="34"/>
                    <w:jc w:val="center"/>
                  </w:pPr>
                  <w:r>
                    <w:rPr>
                      <w:rFonts w:hint="eastAsia"/>
                    </w:rPr>
                    <w:t>35</w:t>
                  </w:r>
                </w:p>
              </w:tc>
              <w:tc>
                <w:tcPr>
                  <w:tcW w:w="1433" w:type="pct"/>
                  <w:vAlign w:val="center"/>
                </w:tcPr>
                <w:p>
                  <w:pPr>
                    <w:pStyle w:val="34"/>
                    <w:jc w:val="center"/>
                  </w:pPr>
                  <w:r>
                    <w:t>8（15）</w:t>
                  </w:r>
                  <w:r>
                    <w:rPr>
                      <w:rFonts w:hint="eastAsia"/>
                      <w:vertAlign w:val="superscript"/>
                    </w:rPr>
                    <w:t>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pct"/>
                  <w:vAlign w:val="center"/>
                </w:tcPr>
                <w:p>
                  <w:pPr>
                    <w:pStyle w:val="34"/>
                    <w:jc w:val="center"/>
                    <w:rPr>
                      <w:bCs/>
                    </w:rPr>
                  </w:pPr>
                  <w:r>
                    <w:rPr>
                      <w:rFonts w:hint="eastAsia"/>
                      <w:bCs/>
                    </w:rPr>
                    <w:t>总氮</w:t>
                  </w:r>
                </w:p>
              </w:tc>
              <w:tc>
                <w:tcPr>
                  <w:tcW w:w="1359" w:type="pct"/>
                  <w:vAlign w:val="center"/>
                </w:tcPr>
                <w:p>
                  <w:pPr>
                    <w:pStyle w:val="34"/>
                    <w:jc w:val="center"/>
                  </w:pPr>
                  <w:r>
                    <w:t>70</w:t>
                  </w:r>
                  <w:r>
                    <w:rPr>
                      <w:rFonts w:hint="eastAsia" w:ascii="宋体" w:hAnsi="宋体" w:cs="宋体"/>
                      <w:vertAlign w:val="superscript"/>
                    </w:rPr>
                    <w:t>①</w:t>
                  </w:r>
                </w:p>
              </w:tc>
              <w:tc>
                <w:tcPr>
                  <w:tcW w:w="1422" w:type="pct"/>
                  <w:vAlign w:val="center"/>
                </w:tcPr>
                <w:p>
                  <w:pPr>
                    <w:pStyle w:val="34"/>
                    <w:jc w:val="center"/>
                  </w:pPr>
                  <w:r>
                    <w:rPr>
                      <w:rFonts w:hint="eastAsia"/>
                    </w:rPr>
                    <w:t>55</w:t>
                  </w:r>
                </w:p>
              </w:tc>
              <w:tc>
                <w:tcPr>
                  <w:tcW w:w="1433" w:type="pct"/>
                  <w:vAlign w:val="center"/>
                </w:tcPr>
                <w:p>
                  <w:pPr>
                    <w:pStyle w:val="34"/>
                    <w:jc w:val="center"/>
                  </w:pPr>
                  <w:r>
                    <w:t>2</w:t>
                  </w:r>
                  <w:r>
                    <w:rPr>
                      <w:rFonts w:hint="eastAsi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pct"/>
                  <w:vAlign w:val="center"/>
                </w:tcPr>
                <w:p>
                  <w:pPr>
                    <w:pStyle w:val="34"/>
                    <w:jc w:val="center"/>
                    <w:rPr>
                      <w:bCs/>
                    </w:rPr>
                  </w:pPr>
                  <w:r>
                    <w:rPr>
                      <w:rFonts w:hint="eastAsia"/>
                      <w:bCs/>
                    </w:rPr>
                    <w:t>总磷</w:t>
                  </w:r>
                </w:p>
              </w:tc>
              <w:tc>
                <w:tcPr>
                  <w:tcW w:w="1359" w:type="pct"/>
                  <w:vAlign w:val="center"/>
                </w:tcPr>
                <w:p>
                  <w:pPr>
                    <w:pStyle w:val="34"/>
                    <w:jc w:val="center"/>
                  </w:pPr>
                  <w:r>
                    <w:t>8</w:t>
                  </w:r>
                  <w:r>
                    <w:rPr>
                      <w:rFonts w:hint="eastAsia" w:ascii="宋体" w:hAnsi="宋体" w:cs="宋体"/>
                      <w:vertAlign w:val="superscript"/>
                    </w:rPr>
                    <w:t>①</w:t>
                  </w:r>
                </w:p>
              </w:tc>
              <w:tc>
                <w:tcPr>
                  <w:tcW w:w="1422" w:type="pct"/>
                  <w:vAlign w:val="center"/>
                </w:tcPr>
                <w:p>
                  <w:pPr>
                    <w:pStyle w:val="34"/>
                    <w:jc w:val="center"/>
                  </w:pPr>
                  <w:r>
                    <w:rPr>
                      <w:rFonts w:hint="eastAsia"/>
                    </w:rPr>
                    <w:t>5</w:t>
                  </w:r>
                </w:p>
              </w:tc>
              <w:tc>
                <w:tcPr>
                  <w:tcW w:w="1433" w:type="pct"/>
                  <w:vAlign w:val="center"/>
                </w:tcPr>
                <w:p>
                  <w:pPr>
                    <w:pStyle w:val="34"/>
                    <w:jc w:val="center"/>
                  </w:pPr>
                  <w:r>
                    <w:rPr>
                      <w:rFonts w:hint="eastAsia"/>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pct"/>
                  <w:vAlign w:val="center"/>
                </w:tcPr>
                <w:p>
                  <w:pPr>
                    <w:pStyle w:val="34"/>
                    <w:jc w:val="center"/>
                    <w:rPr>
                      <w:bCs/>
                    </w:rPr>
                  </w:pPr>
                  <w:r>
                    <w:rPr>
                      <w:rFonts w:hint="eastAsia"/>
                      <w:bCs/>
                    </w:rPr>
                    <w:t>单位</w:t>
                  </w:r>
                  <w:r>
                    <w:rPr>
                      <w:bCs/>
                    </w:rPr>
                    <w:t>产品（</w:t>
                  </w:r>
                  <w:r>
                    <w:rPr>
                      <w:rFonts w:hint="eastAsia"/>
                      <w:bCs/>
                    </w:rPr>
                    <w:t>淀粉</w:t>
                  </w:r>
                  <w:r>
                    <w:rPr>
                      <w:bCs/>
                    </w:rPr>
                    <w:t>）</w:t>
                  </w:r>
                  <w:r>
                    <w:rPr>
                      <w:rFonts w:hint="eastAsia"/>
                      <w:bCs/>
                    </w:rPr>
                    <w:t>基准</w:t>
                  </w:r>
                  <w:r>
                    <w:rPr>
                      <w:bCs/>
                    </w:rPr>
                    <w:t>排水量</w:t>
                  </w:r>
                </w:p>
              </w:tc>
              <w:tc>
                <w:tcPr>
                  <w:tcW w:w="1359" w:type="pct"/>
                  <w:vAlign w:val="center"/>
                </w:tcPr>
                <w:p>
                  <w:pPr>
                    <w:pStyle w:val="34"/>
                    <w:jc w:val="center"/>
                  </w:pPr>
                  <w:r>
                    <w:rPr>
                      <w:rFonts w:hint="eastAsia"/>
                    </w:rPr>
                    <w:t>/</w:t>
                  </w:r>
                </w:p>
              </w:tc>
              <w:tc>
                <w:tcPr>
                  <w:tcW w:w="1422" w:type="pct"/>
                  <w:vAlign w:val="center"/>
                </w:tcPr>
                <w:p>
                  <w:pPr>
                    <w:pStyle w:val="34"/>
                    <w:jc w:val="center"/>
                  </w:pPr>
                  <w:r>
                    <w:t>8m</w:t>
                  </w:r>
                  <w:r>
                    <w:rPr>
                      <w:vertAlign w:val="superscript"/>
                    </w:rPr>
                    <w:t>3</w:t>
                  </w:r>
                  <w:r>
                    <w:t>/t（</w:t>
                  </w:r>
                  <w:r>
                    <w:rPr>
                      <w:rFonts w:hint="eastAsia"/>
                    </w:rPr>
                    <w:t>参照以</w:t>
                  </w:r>
                  <w:r>
                    <w:t>薯类</w:t>
                  </w:r>
                  <w:r>
                    <w:rPr>
                      <w:rFonts w:hint="eastAsia"/>
                    </w:rPr>
                    <w:t>为</w:t>
                  </w:r>
                  <w:r>
                    <w:t>原料）</w:t>
                  </w:r>
                </w:p>
              </w:tc>
              <w:tc>
                <w:tcPr>
                  <w:tcW w:w="1433" w:type="pct"/>
                  <w:vAlign w:val="center"/>
                </w:tcPr>
                <w:p>
                  <w:pPr>
                    <w:pStyle w:val="34"/>
                    <w:jc w:val="center"/>
                  </w:pPr>
                  <w:r>
                    <w:rPr>
                      <w:rFonts w:hint="eastAsia"/>
                    </w:rPr>
                    <w:t>/</w:t>
                  </w:r>
                </w:p>
              </w:tc>
            </w:tr>
          </w:tbl>
          <w:p>
            <w:pPr>
              <w:ind w:firstLine="360"/>
              <w:rPr>
                <w:kern w:val="0"/>
                <w:sz w:val="18"/>
                <w:szCs w:val="18"/>
              </w:rPr>
            </w:pPr>
            <w:r>
              <w:rPr>
                <w:kern w:val="0"/>
                <w:sz w:val="18"/>
                <w:szCs w:val="18"/>
              </w:rPr>
              <w:t>注：</w:t>
            </w:r>
            <w:r>
              <w:rPr>
                <w:kern w:val="0"/>
                <w:sz w:val="18"/>
                <w:szCs w:val="18"/>
              </w:rPr>
              <w:fldChar w:fldCharType="begin"/>
            </w:r>
            <w:r>
              <w:rPr>
                <w:kern w:val="0"/>
                <w:sz w:val="18"/>
                <w:szCs w:val="18"/>
              </w:rPr>
              <w:instrText xml:space="preserve"> = 1 \* GB3 </w:instrText>
            </w:r>
            <w:r>
              <w:rPr>
                <w:kern w:val="0"/>
                <w:sz w:val="18"/>
                <w:szCs w:val="18"/>
              </w:rPr>
              <w:fldChar w:fldCharType="separate"/>
            </w:r>
            <w:r>
              <w:rPr>
                <w:rFonts w:hint="eastAsia" w:ascii="宋体" w:hAnsi="宋体" w:cs="宋体"/>
                <w:kern w:val="0"/>
                <w:sz w:val="18"/>
                <w:szCs w:val="18"/>
              </w:rPr>
              <w:t>①</w:t>
            </w:r>
            <w:r>
              <w:rPr>
                <w:kern w:val="0"/>
                <w:sz w:val="18"/>
                <w:szCs w:val="18"/>
              </w:rPr>
              <w:fldChar w:fldCharType="end"/>
            </w:r>
            <w:r>
              <w:rPr>
                <w:kern w:val="0"/>
                <w:sz w:val="18"/>
                <w:szCs w:val="18"/>
              </w:rPr>
              <w:t>氨氮、</w:t>
            </w:r>
            <w:r>
              <w:rPr>
                <w:rFonts w:hint="eastAsia"/>
                <w:kern w:val="0"/>
                <w:sz w:val="18"/>
                <w:szCs w:val="18"/>
              </w:rPr>
              <w:t>总氮</w:t>
            </w:r>
            <w:r>
              <w:rPr>
                <w:kern w:val="0"/>
                <w:sz w:val="18"/>
                <w:szCs w:val="18"/>
              </w:rPr>
              <w:t>、总磷 执行《污水排入城镇下水道水质标准》（GB/T 31962-2015）。</w:t>
            </w:r>
          </w:p>
          <w:p>
            <w:pPr>
              <w:ind w:firstLine="360"/>
              <w:rPr>
                <w:kern w:val="0"/>
                <w:sz w:val="18"/>
                <w:szCs w:val="18"/>
              </w:rPr>
            </w:pPr>
            <w:r>
              <w:rPr>
                <w:kern w:val="0"/>
                <w:sz w:val="18"/>
                <w:szCs w:val="18"/>
              </w:rPr>
              <w:fldChar w:fldCharType="begin"/>
            </w:r>
            <w:r>
              <w:rPr>
                <w:kern w:val="0"/>
                <w:sz w:val="18"/>
                <w:szCs w:val="18"/>
              </w:rPr>
              <w:instrText xml:space="preserve"> = 2 \* GB3 </w:instrText>
            </w:r>
            <w:r>
              <w:rPr>
                <w:kern w:val="0"/>
                <w:sz w:val="18"/>
                <w:szCs w:val="18"/>
              </w:rPr>
              <w:fldChar w:fldCharType="separate"/>
            </w:r>
            <w:r>
              <w:rPr>
                <w:rFonts w:hint="eastAsia" w:ascii="宋体" w:hAnsi="宋体" w:cs="宋体"/>
                <w:kern w:val="0"/>
                <w:sz w:val="18"/>
                <w:szCs w:val="18"/>
              </w:rPr>
              <w:t>②</w:t>
            </w:r>
            <w:r>
              <w:rPr>
                <w:kern w:val="0"/>
                <w:sz w:val="18"/>
                <w:szCs w:val="18"/>
              </w:rPr>
              <w:fldChar w:fldCharType="end"/>
            </w:r>
            <w:r>
              <w:rPr>
                <w:kern w:val="0"/>
                <w:sz w:val="18"/>
                <w:szCs w:val="18"/>
              </w:rPr>
              <w:t>括号外数值为水温&gt;12</w:t>
            </w:r>
            <w:r>
              <w:rPr>
                <w:rFonts w:hint="eastAsia" w:ascii="宋体" w:hAnsi="宋体" w:cs="宋体"/>
                <w:kern w:val="0"/>
                <w:sz w:val="18"/>
                <w:szCs w:val="18"/>
              </w:rPr>
              <w:t>℃</w:t>
            </w:r>
            <w:r>
              <w:rPr>
                <w:kern w:val="0"/>
                <w:sz w:val="18"/>
                <w:szCs w:val="18"/>
              </w:rPr>
              <w:t>时的控制指标，括号内数值为水温≤12</w:t>
            </w:r>
            <w:r>
              <w:rPr>
                <w:rFonts w:hint="eastAsia" w:ascii="宋体" w:hAnsi="宋体" w:cs="宋体"/>
                <w:kern w:val="0"/>
                <w:sz w:val="18"/>
                <w:szCs w:val="18"/>
              </w:rPr>
              <w:t>℃</w:t>
            </w:r>
            <w:r>
              <w:rPr>
                <w:kern w:val="0"/>
                <w:sz w:val="18"/>
                <w:szCs w:val="18"/>
              </w:rPr>
              <w:t>时的控制指标。</w:t>
            </w:r>
          </w:p>
          <w:p>
            <w:pPr>
              <w:ind w:firstLine="482"/>
              <w:rPr>
                <w:b/>
                <w:kern w:val="0"/>
                <w:szCs w:val="21"/>
              </w:rPr>
            </w:pPr>
            <w:r>
              <w:rPr>
                <w:b/>
                <w:kern w:val="0"/>
                <w:szCs w:val="21"/>
              </w:rPr>
              <w:t>3、噪声排放标准</w:t>
            </w:r>
          </w:p>
          <w:p>
            <w:pPr>
              <w:ind w:firstLine="480"/>
              <w:rPr>
                <w:kern w:val="0"/>
                <w:szCs w:val="21"/>
              </w:rPr>
            </w:pPr>
            <w:r>
              <w:rPr>
                <w:rFonts w:hint="eastAsia"/>
                <w:kern w:val="0"/>
                <w:szCs w:val="21"/>
              </w:rPr>
              <w:t>营</w:t>
            </w:r>
            <w:r>
              <w:rPr>
                <w:kern w:val="0"/>
                <w:szCs w:val="21"/>
              </w:rPr>
              <w:t>运期产生的噪声执行《工业企业厂界环境噪声排放标准》（GB12348-2008）中3类标准，具体排放限值详见下表。</w:t>
            </w:r>
          </w:p>
          <w:p>
            <w:pPr>
              <w:pStyle w:val="33"/>
              <w:spacing w:before="120"/>
            </w:pPr>
            <w:r>
              <w:t>表3-6    工业企业厂界环境噪声排放标准    单位：dB（A）</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4055"/>
              <w:gridCol w:w="1840"/>
              <w:gridCol w:w="21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8" w:type="dxa"/>
                  <w:vAlign w:val="center"/>
                </w:tcPr>
                <w:p>
                  <w:pPr>
                    <w:pStyle w:val="34"/>
                    <w:jc w:val="center"/>
                  </w:pPr>
                  <w:r>
                    <w:t>类别</w:t>
                  </w:r>
                </w:p>
              </w:tc>
              <w:tc>
                <w:tcPr>
                  <w:tcW w:w="3610" w:type="dxa"/>
                  <w:vAlign w:val="center"/>
                </w:tcPr>
                <w:p>
                  <w:pPr>
                    <w:pStyle w:val="34"/>
                    <w:jc w:val="center"/>
                  </w:pPr>
                  <w:r>
                    <w:t>适用区域</w:t>
                  </w:r>
                </w:p>
              </w:tc>
              <w:tc>
                <w:tcPr>
                  <w:tcW w:w="1638" w:type="dxa"/>
                  <w:vAlign w:val="center"/>
                </w:tcPr>
                <w:p>
                  <w:pPr>
                    <w:pStyle w:val="34"/>
                    <w:jc w:val="center"/>
                  </w:pPr>
                  <w:r>
                    <w:t>昼间</w:t>
                  </w:r>
                </w:p>
              </w:tc>
              <w:tc>
                <w:tcPr>
                  <w:tcW w:w="1898" w:type="dxa"/>
                  <w:vAlign w:val="center"/>
                </w:tcPr>
                <w:p>
                  <w:pPr>
                    <w:pStyle w:val="34"/>
                    <w:jc w:val="center"/>
                  </w:pPr>
                  <w: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8" w:type="dxa"/>
                  <w:vAlign w:val="center"/>
                </w:tcPr>
                <w:p>
                  <w:pPr>
                    <w:pStyle w:val="34"/>
                    <w:jc w:val="center"/>
                  </w:pPr>
                  <w:r>
                    <w:t>3类</w:t>
                  </w:r>
                </w:p>
              </w:tc>
              <w:tc>
                <w:tcPr>
                  <w:tcW w:w="3610" w:type="dxa"/>
                  <w:vAlign w:val="center"/>
                </w:tcPr>
                <w:p>
                  <w:pPr>
                    <w:pStyle w:val="34"/>
                    <w:jc w:val="center"/>
                  </w:pPr>
                  <w:r>
                    <w:t>厂界四周</w:t>
                  </w:r>
                </w:p>
              </w:tc>
              <w:tc>
                <w:tcPr>
                  <w:tcW w:w="1638" w:type="dxa"/>
                  <w:vAlign w:val="center"/>
                </w:tcPr>
                <w:p>
                  <w:pPr>
                    <w:pStyle w:val="34"/>
                    <w:jc w:val="center"/>
                  </w:pPr>
                  <w:r>
                    <w:t>65</w:t>
                  </w:r>
                </w:p>
              </w:tc>
              <w:tc>
                <w:tcPr>
                  <w:tcW w:w="1898" w:type="dxa"/>
                  <w:vAlign w:val="center"/>
                </w:tcPr>
                <w:p>
                  <w:pPr>
                    <w:pStyle w:val="34"/>
                    <w:jc w:val="center"/>
                  </w:pPr>
                  <w:r>
                    <w:t>55</w:t>
                  </w:r>
                </w:p>
              </w:tc>
            </w:tr>
          </w:tbl>
          <w:p>
            <w:pPr>
              <w:spacing w:before="120" w:beforeLines="50"/>
              <w:ind w:firstLine="482"/>
              <w:rPr>
                <w:b/>
                <w:kern w:val="0"/>
                <w:szCs w:val="21"/>
              </w:rPr>
            </w:pPr>
            <w:r>
              <w:rPr>
                <w:b/>
                <w:kern w:val="0"/>
                <w:szCs w:val="21"/>
              </w:rPr>
              <w:t>4、固体废物</w:t>
            </w:r>
          </w:p>
          <w:p>
            <w:pPr>
              <w:ind w:firstLine="480"/>
            </w:pPr>
            <w:r>
              <w:rPr>
                <w:rFonts w:hint="eastAsia"/>
              </w:rPr>
              <w:t>一般工业固体废物参照《一般工业固体废物贮存和填埋污染控制标准》（GB18599-2020）中的要求，在贮存过程中满足防渗漏、防雨淋、防扬尘等环境保护要求。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91" w:hRule="atLeast"/>
          <w:jc w:val="center"/>
        </w:trPr>
        <w:tc>
          <w:tcPr>
            <w:tcW w:w="557" w:type="dxa"/>
            <w:vAlign w:val="center"/>
          </w:tcPr>
          <w:p>
            <w:pPr>
              <w:adjustRightInd w:val="0"/>
              <w:snapToGrid w:val="0"/>
              <w:ind w:firstLine="0" w:firstLineChars="0"/>
              <w:jc w:val="center"/>
              <w:rPr>
                <w:kern w:val="0"/>
                <w:szCs w:val="21"/>
              </w:rPr>
            </w:pPr>
            <w:r>
              <w:rPr>
                <w:kern w:val="0"/>
                <w:szCs w:val="21"/>
              </w:rPr>
              <w:t>总量控制指标</w:t>
            </w:r>
          </w:p>
        </w:tc>
        <w:tc>
          <w:tcPr>
            <w:tcW w:w="9170" w:type="dxa"/>
          </w:tcPr>
          <w:p>
            <w:pPr>
              <w:spacing w:before="120" w:beforeLines="50"/>
              <w:ind w:firstLine="480"/>
              <w:rPr>
                <w:kern w:val="0"/>
                <w:szCs w:val="21"/>
              </w:rPr>
            </w:pPr>
            <w:r>
              <w:rPr>
                <w:kern w:val="0"/>
                <w:szCs w:val="21"/>
              </w:rPr>
              <w:t>根据本项目的排污特点、环境质量要求和国家、重庆市的总量控制要求，确定排污总量控制因子为：</w:t>
            </w:r>
          </w:p>
          <w:p>
            <w:pPr>
              <w:ind w:firstLine="480"/>
              <w:rPr>
                <w:kern w:val="0"/>
                <w:szCs w:val="21"/>
              </w:rPr>
            </w:pPr>
            <w:r>
              <w:rPr>
                <w:kern w:val="0"/>
                <w:szCs w:val="21"/>
              </w:rPr>
              <w:t>废水：COD、NH</w:t>
            </w:r>
            <w:r>
              <w:rPr>
                <w:kern w:val="0"/>
                <w:szCs w:val="21"/>
                <w:vertAlign w:val="subscript"/>
              </w:rPr>
              <w:t>3</w:t>
            </w:r>
            <w:r>
              <w:rPr>
                <w:kern w:val="0"/>
                <w:szCs w:val="21"/>
              </w:rPr>
              <w:t>-N；</w:t>
            </w:r>
          </w:p>
          <w:p>
            <w:pPr>
              <w:pStyle w:val="33"/>
              <w:spacing w:before="120"/>
            </w:pPr>
            <w:r>
              <w:t>表3-</w:t>
            </w:r>
            <w:r>
              <w:rPr>
                <w:rFonts w:hint="eastAsia"/>
              </w:rPr>
              <w:t>6</w:t>
            </w:r>
            <w:r>
              <w:t xml:space="preserve">   </w:t>
            </w:r>
            <w:r>
              <w:rPr>
                <w:rFonts w:hint="eastAsia"/>
              </w:rPr>
              <w:t>项目</w:t>
            </w:r>
            <w:r>
              <w:t>污染物排放总量控制建议指标    单位：t/a</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60"/>
              <w:gridCol w:w="3225"/>
              <w:gridCol w:w="32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0" w:type="dxa"/>
                  <w:vAlign w:val="center"/>
                </w:tcPr>
                <w:p>
                  <w:pPr>
                    <w:pStyle w:val="34"/>
                    <w:jc w:val="center"/>
                  </w:pPr>
                </w:p>
              </w:tc>
              <w:tc>
                <w:tcPr>
                  <w:tcW w:w="6464" w:type="dxa"/>
                  <w:gridSpan w:val="2"/>
                  <w:vAlign w:val="center"/>
                </w:tcPr>
                <w:p>
                  <w:pPr>
                    <w:pStyle w:val="34"/>
                    <w:jc w:val="center"/>
                    <w:rPr>
                      <w:szCs w:val="21"/>
                    </w:rPr>
                  </w:pPr>
                  <w:r>
                    <w:rPr>
                      <w:szCs w:val="21"/>
                    </w:rPr>
                    <w:t>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0" w:type="dxa"/>
                  <w:vAlign w:val="center"/>
                </w:tcPr>
                <w:p>
                  <w:pPr>
                    <w:pStyle w:val="34"/>
                    <w:jc w:val="center"/>
                  </w:pPr>
                  <w:r>
                    <w:t>污染物</w:t>
                  </w:r>
                </w:p>
              </w:tc>
              <w:tc>
                <w:tcPr>
                  <w:tcW w:w="3225" w:type="dxa"/>
                  <w:vAlign w:val="center"/>
                </w:tcPr>
                <w:p>
                  <w:pPr>
                    <w:pStyle w:val="34"/>
                    <w:jc w:val="center"/>
                    <w:rPr>
                      <w:szCs w:val="21"/>
                    </w:rPr>
                  </w:pPr>
                  <w:r>
                    <w:rPr>
                      <w:kern w:val="0"/>
                      <w:szCs w:val="21"/>
                    </w:rPr>
                    <w:t>COD</w:t>
                  </w:r>
                </w:p>
              </w:tc>
              <w:tc>
                <w:tcPr>
                  <w:tcW w:w="3239" w:type="dxa"/>
                  <w:vAlign w:val="center"/>
                </w:tcPr>
                <w:p>
                  <w:pPr>
                    <w:pStyle w:val="34"/>
                    <w:jc w:val="center"/>
                    <w:rPr>
                      <w:szCs w:val="21"/>
                    </w:rPr>
                  </w:pPr>
                  <w:r>
                    <w:rPr>
                      <w:kern w:val="0"/>
                      <w:szCs w:val="21"/>
                    </w:rPr>
                    <w:t>NH</w:t>
                  </w:r>
                  <w:r>
                    <w:rPr>
                      <w:kern w:val="0"/>
                      <w:szCs w:val="21"/>
                      <w:vertAlign w:val="subscript"/>
                    </w:rPr>
                    <w:t>3</w:t>
                  </w:r>
                  <w:r>
                    <w:rPr>
                      <w:kern w:val="0"/>
                      <w:szCs w:val="21"/>
                    </w:rPr>
                    <w: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60" w:type="dxa"/>
                  <w:vAlign w:val="center"/>
                </w:tcPr>
                <w:p>
                  <w:pPr>
                    <w:pStyle w:val="34"/>
                    <w:jc w:val="center"/>
                  </w:pPr>
                  <w:r>
                    <w:t>建议总量</w:t>
                  </w:r>
                </w:p>
              </w:tc>
              <w:tc>
                <w:tcPr>
                  <w:tcW w:w="3225" w:type="dxa"/>
                  <w:vAlign w:val="center"/>
                </w:tcPr>
                <w:p>
                  <w:pPr>
                    <w:pStyle w:val="34"/>
                    <w:jc w:val="center"/>
                    <w:rPr>
                      <w:szCs w:val="21"/>
                    </w:rPr>
                  </w:pPr>
                  <w:r>
                    <w:rPr>
                      <w:rFonts w:hint="eastAsia"/>
                      <w:szCs w:val="21"/>
                    </w:rPr>
                    <w:t>0.</w:t>
                  </w:r>
                  <w:r>
                    <w:rPr>
                      <w:szCs w:val="21"/>
                    </w:rPr>
                    <w:t>0</w:t>
                  </w:r>
                  <w:r>
                    <w:rPr>
                      <w:rFonts w:hint="eastAsia"/>
                      <w:szCs w:val="21"/>
                    </w:rPr>
                    <w:t>32</w:t>
                  </w:r>
                </w:p>
              </w:tc>
              <w:tc>
                <w:tcPr>
                  <w:tcW w:w="3239" w:type="dxa"/>
                  <w:vAlign w:val="center"/>
                </w:tcPr>
                <w:p>
                  <w:pPr>
                    <w:pStyle w:val="34"/>
                    <w:jc w:val="center"/>
                    <w:rPr>
                      <w:szCs w:val="21"/>
                    </w:rPr>
                  </w:pPr>
                  <w:r>
                    <w:rPr>
                      <w:rFonts w:hint="eastAsia"/>
                      <w:szCs w:val="21"/>
                    </w:rPr>
                    <w:t>0.004</w:t>
                  </w:r>
                </w:p>
              </w:tc>
            </w:tr>
          </w:tbl>
          <w:p>
            <w:pPr>
              <w:adjustRightInd w:val="0"/>
              <w:snapToGrid w:val="0"/>
              <w:ind w:firstLine="480"/>
              <w:rPr>
                <w:kern w:val="0"/>
                <w:szCs w:val="21"/>
              </w:rPr>
            </w:pPr>
          </w:p>
          <w:p>
            <w:pPr>
              <w:adjustRightInd w:val="0"/>
              <w:snapToGrid w:val="0"/>
              <w:ind w:firstLine="480"/>
              <w:rPr>
                <w:kern w:val="0"/>
                <w:szCs w:val="21"/>
              </w:rPr>
            </w:pPr>
          </w:p>
          <w:p>
            <w:pPr>
              <w:adjustRightInd w:val="0"/>
              <w:snapToGrid w:val="0"/>
              <w:ind w:firstLine="480"/>
              <w:rPr>
                <w:kern w:val="0"/>
                <w:szCs w:val="21"/>
              </w:rPr>
            </w:pPr>
          </w:p>
        </w:tc>
      </w:tr>
    </w:tbl>
    <w:p>
      <w:pPr>
        <w:ind w:firstLine="720"/>
        <w:jc w:val="center"/>
        <w:outlineLvl w:val="0"/>
        <w:rPr>
          <w:snapToGrid w:val="0"/>
          <w:sz w:val="30"/>
          <w:szCs w:val="30"/>
        </w:rPr>
      </w:pPr>
      <w:r>
        <w:rPr>
          <w:snapToGrid w:val="0"/>
          <w:sz w:val="36"/>
          <w:szCs w:val="36"/>
        </w:rPr>
        <w:br w:type="page"/>
      </w:r>
      <w:r>
        <w:rPr>
          <w:snapToGrid w:val="0"/>
          <w:sz w:val="30"/>
          <w:szCs w:val="30"/>
        </w:rPr>
        <w:t>四、主要环境影响和保护措施</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715"/>
        <w:gridCol w:w="924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12880" w:hRule="atLeast"/>
          <w:jc w:val="center"/>
        </w:trPr>
        <w:tc>
          <w:tcPr>
            <w:tcW w:w="359" w:type="pct"/>
            <w:vAlign w:val="center"/>
          </w:tcPr>
          <w:p>
            <w:pPr>
              <w:ind w:firstLine="0" w:firstLineChars="0"/>
              <w:jc w:val="center"/>
              <w:rPr>
                <w:snapToGrid w:val="0"/>
              </w:rPr>
            </w:pPr>
            <w:r>
              <w:rPr>
                <w:snapToGrid w:val="0"/>
              </w:rPr>
              <w:t>施工期环境保护措施</w:t>
            </w:r>
          </w:p>
        </w:tc>
        <w:tc>
          <w:tcPr>
            <w:tcW w:w="4641" w:type="pct"/>
          </w:tcPr>
          <w:p>
            <w:pPr>
              <w:ind w:firstLine="480"/>
              <w:rPr>
                <w:snapToGrid w:val="0"/>
              </w:rPr>
            </w:pPr>
            <w:r>
              <w:rPr>
                <w:snapToGrid w:val="0"/>
              </w:rPr>
              <w:t>本项目租赁已建厂房</w:t>
            </w:r>
            <w:r>
              <w:rPr>
                <w:rFonts w:hint="eastAsia"/>
                <w:snapToGrid w:val="0"/>
              </w:rPr>
              <w:t>车间</w:t>
            </w:r>
            <w:r>
              <w:rPr>
                <w:snapToGrid w:val="0"/>
              </w:rPr>
              <w:t>，不新建其他建构筑物，施工期主要建设内容为设备安装，不涉及大规模土石方工程，建设内容较少，施工周期较短</w:t>
            </w:r>
            <w:r>
              <w:rPr>
                <w:rFonts w:hint="eastAsia"/>
                <w:snapToGrid w:val="0"/>
              </w:rPr>
              <w:t>，</w:t>
            </w:r>
            <w:r>
              <w:rPr>
                <w:snapToGrid w:val="0"/>
              </w:rPr>
              <w:t>施工期主要建设内容为设备安装</w:t>
            </w:r>
            <w:r>
              <w:rPr>
                <w:rFonts w:hint="eastAsia"/>
                <w:snapToGrid w:val="0"/>
              </w:rPr>
              <w:t>和</w:t>
            </w:r>
            <w:r>
              <w:rPr>
                <w:snapToGrid w:val="0"/>
              </w:rPr>
              <w:t>调试，</w:t>
            </w:r>
            <w:r>
              <w:rPr>
                <w:rFonts w:hint="eastAsia"/>
              </w:rPr>
              <w:t>目前项目</w:t>
            </w:r>
            <w:r>
              <w:t>已建设完成</w:t>
            </w:r>
            <w:r>
              <w:rPr>
                <w:rFonts w:hint="eastAsia"/>
              </w:rPr>
              <w:t>。施工期影响</w:t>
            </w:r>
            <w:r>
              <w:t>采用简单的回顾性评价。</w:t>
            </w:r>
          </w:p>
          <w:p>
            <w:pPr>
              <w:ind w:firstLine="482"/>
              <w:rPr>
                <w:b/>
                <w:bCs/>
                <w:snapToGrid w:val="0"/>
              </w:rPr>
            </w:pPr>
            <w:r>
              <w:rPr>
                <w:b/>
                <w:bCs/>
                <w:snapToGrid w:val="0"/>
              </w:rPr>
              <w:t>1、废气</w:t>
            </w:r>
          </w:p>
          <w:p>
            <w:pPr>
              <w:ind w:firstLine="480"/>
              <w:rPr>
                <w:snapToGrid w:val="0"/>
              </w:rPr>
            </w:pPr>
            <w:r>
              <w:rPr>
                <w:snapToGrid w:val="0"/>
              </w:rPr>
              <w:t>本项目不涉及土建工程，工程量较小，不涉及各种燃油动力机械加工。施工期产生的废气主要为设备现场搬运</w:t>
            </w:r>
            <w:r>
              <w:rPr>
                <w:rFonts w:hint="eastAsia"/>
                <w:snapToGrid w:val="0"/>
              </w:rPr>
              <w:t>，</w:t>
            </w:r>
            <w:r>
              <w:rPr>
                <w:snapToGrid w:val="0"/>
              </w:rPr>
              <w:t>无废气产生，</w:t>
            </w:r>
            <w:r>
              <w:rPr>
                <w:rFonts w:hint="eastAsia"/>
                <w:snapToGrid w:val="0"/>
              </w:rPr>
              <w:t>基本</w:t>
            </w:r>
            <w:r>
              <w:rPr>
                <w:snapToGrid w:val="0"/>
              </w:rPr>
              <w:t>不会对周围大气环境产生影响。</w:t>
            </w:r>
          </w:p>
          <w:p>
            <w:pPr>
              <w:ind w:firstLine="482"/>
              <w:rPr>
                <w:b/>
                <w:bCs/>
                <w:snapToGrid w:val="0"/>
              </w:rPr>
            </w:pPr>
            <w:r>
              <w:rPr>
                <w:b/>
                <w:bCs/>
                <w:snapToGrid w:val="0"/>
              </w:rPr>
              <w:t>2、废水</w:t>
            </w:r>
          </w:p>
          <w:p>
            <w:pPr>
              <w:ind w:firstLine="480"/>
              <w:rPr>
                <w:snapToGrid w:val="0"/>
              </w:rPr>
            </w:pPr>
            <w:r>
              <w:rPr>
                <w:snapToGrid w:val="0"/>
              </w:rPr>
              <w:t>本项目基础加工及设备安装过程中，不会产生废水，员工会产生生活废水，依托租赁厂房现有</w:t>
            </w:r>
            <w:r>
              <w:rPr>
                <w:rFonts w:hint="eastAsia"/>
                <w:snapToGrid w:val="0"/>
              </w:rPr>
              <w:t>污水处理</w:t>
            </w:r>
            <w:r>
              <w:rPr>
                <w:snapToGrid w:val="0"/>
              </w:rPr>
              <w:t>站进行处理后排放；由于量很小，对周围环境产生影响较小。</w:t>
            </w:r>
          </w:p>
          <w:p>
            <w:pPr>
              <w:ind w:firstLine="482"/>
              <w:rPr>
                <w:b/>
                <w:bCs/>
                <w:snapToGrid w:val="0"/>
              </w:rPr>
            </w:pPr>
            <w:r>
              <w:rPr>
                <w:b/>
                <w:bCs/>
                <w:snapToGrid w:val="0"/>
              </w:rPr>
              <w:t>3、噪声</w:t>
            </w:r>
          </w:p>
          <w:p>
            <w:pPr>
              <w:ind w:firstLine="480"/>
              <w:rPr>
                <w:snapToGrid w:val="0"/>
              </w:rPr>
            </w:pPr>
            <w:r>
              <w:rPr>
                <w:snapToGrid w:val="0"/>
              </w:rPr>
              <w:t>本项目施工期间主要为设备的按照、内部装修等施工过程中可能会产生一定的噪声，其噪声值不大，约80-95dB（A）。且项目位于工业园区内部，通过合理布置施工设备，同时噪声经距离衰减和墙体隔声后，对外环境影响很小。</w:t>
            </w:r>
          </w:p>
          <w:p>
            <w:pPr>
              <w:ind w:firstLine="482"/>
              <w:rPr>
                <w:b/>
                <w:bCs/>
                <w:snapToGrid w:val="0"/>
              </w:rPr>
            </w:pPr>
            <w:r>
              <w:rPr>
                <w:b/>
                <w:bCs/>
                <w:snapToGrid w:val="0"/>
              </w:rPr>
              <w:t>4、固废</w:t>
            </w:r>
          </w:p>
          <w:p>
            <w:pPr>
              <w:ind w:firstLine="480"/>
              <w:rPr>
                <w:snapToGrid w:val="0"/>
              </w:rPr>
            </w:pPr>
            <w:r>
              <w:rPr>
                <w:snapToGrid w:val="0"/>
              </w:rPr>
              <w:t>本项目施工期产生的固体废弃物包括废包装物、生活垃圾等。施工人员的生活垃圾经收集后交由环卫部门处理处置：设备包装废料经收集后外售：</w:t>
            </w:r>
          </w:p>
          <w:p>
            <w:pPr>
              <w:ind w:firstLine="480"/>
              <w:rPr>
                <w:snapToGrid w:val="0"/>
              </w:rPr>
            </w:pPr>
            <w:r>
              <w:rPr>
                <w:snapToGrid w:val="0"/>
              </w:rPr>
              <w:t>本项目施工期工程量小，施工期短，对采取上述措施后，施工期</w:t>
            </w:r>
            <w:r>
              <w:rPr>
                <w:rFonts w:hint="eastAsia"/>
                <w:snapToGrid w:val="0"/>
              </w:rPr>
              <w:t>未</w:t>
            </w:r>
            <w:r>
              <w:rPr>
                <w:snapToGrid w:val="0"/>
              </w:rPr>
              <w:t>对环境产生不利影响。</w:t>
            </w:r>
          </w:p>
        </w:tc>
      </w:tr>
    </w:tbl>
    <w:p>
      <w:pPr>
        <w:ind w:firstLine="480"/>
        <w:rPr>
          <w:snapToGrid w:val="0"/>
        </w:rPr>
        <w:sectPr>
          <w:type w:val="continuous"/>
          <w:pgSz w:w="11907" w:h="16840"/>
          <w:pgMar w:top="1440" w:right="1080" w:bottom="1440" w:left="1080" w:header="851" w:footer="851" w:gutter="0"/>
          <w:cols w:space="720" w:num="1"/>
          <w:docGrid w:linePitch="312" w:charSpace="0"/>
        </w:sectPr>
      </w:pPr>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94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05" w:hRule="atLeast"/>
          <w:jc w:val="center"/>
        </w:trPr>
        <w:tc>
          <w:tcPr>
            <w:tcW w:w="214" w:type="pct"/>
            <w:tcMar>
              <w:left w:w="28" w:type="dxa"/>
              <w:right w:w="28" w:type="dxa"/>
            </w:tcMar>
            <w:vAlign w:val="center"/>
          </w:tcPr>
          <w:p>
            <w:pPr>
              <w:adjustRightInd w:val="0"/>
              <w:snapToGrid w:val="0"/>
              <w:ind w:firstLine="0" w:firstLineChars="0"/>
              <w:jc w:val="center"/>
              <w:rPr>
                <w:bCs/>
                <w:szCs w:val="21"/>
              </w:rPr>
            </w:pPr>
            <w:r>
              <w:rPr>
                <w:bCs/>
                <w:szCs w:val="21"/>
              </w:rPr>
              <w:t>运营期环境影响和保护措施</w:t>
            </w:r>
          </w:p>
        </w:tc>
        <w:tc>
          <w:tcPr>
            <w:tcW w:w="4786" w:type="pct"/>
          </w:tcPr>
          <w:p>
            <w:pPr>
              <w:spacing w:before="120" w:beforeLines="50"/>
              <w:ind w:firstLine="482"/>
              <w:rPr>
                <w:b/>
                <w:bCs/>
                <w:szCs w:val="21"/>
              </w:rPr>
            </w:pPr>
            <w:r>
              <w:rPr>
                <w:rFonts w:hint="eastAsia"/>
                <w:b/>
                <w:bCs/>
                <w:szCs w:val="21"/>
              </w:rPr>
              <w:t>1、</w:t>
            </w:r>
            <w:r>
              <w:rPr>
                <w:b/>
                <w:bCs/>
                <w:szCs w:val="21"/>
              </w:rPr>
              <w:t>废气</w:t>
            </w:r>
          </w:p>
          <w:p>
            <w:pPr>
              <w:spacing w:before="120" w:beforeLines="50"/>
              <w:ind w:firstLine="480"/>
              <w:rPr>
                <w:bCs/>
                <w:szCs w:val="21"/>
              </w:rPr>
            </w:pPr>
            <w:r>
              <w:rPr>
                <w:rFonts w:hint="eastAsia"/>
                <w:bCs/>
                <w:szCs w:val="21"/>
              </w:rPr>
              <w:t>（1）废气</w:t>
            </w:r>
            <w:r>
              <w:rPr>
                <w:bCs/>
                <w:szCs w:val="21"/>
              </w:rPr>
              <w:t>排放情况</w:t>
            </w:r>
          </w:p>
          <w:p>
            <w:pPr>
              <w:spacing w:before="120" w:beforeLines="50"/>
              <w:ind w:firstLine="480"/>
              <w:rPr>
                <w:szCs w:val="22"/>
              </w:rPr>
            </w:pPr>
            <w:r>
              <w:rPr>
                <w:rFonts w:hint="eastAsia"/>
                <w:bCs/>
                <w:szCs w:val="21"/>
              </w:rPr>
              <w:t>本</w:t>
            </w:r>
            <w:r>
              <w:rPr>
                <w:rFonts w:hint="eastAsia"/>
                <w:szCs w:val="22"/>
              </w:rPr>
              <w:t>项目豆干</w:t>
            </w:r>
            <w:r>
              <w:rPr>
                <w:szCs w:val="22"/>
              </w:rPr>
              <w:t>卤制和苕皮蒸煮</w:t>
            </w:r>
            <w:r>
              <w:rPr>
                <w:rFonts w:hint="eastAsia"/>
                <w:szCs w:val="22"/>
              </w:rPr>
              <w:t>过程</w:t>
            </w:r>
            <w:r>
              <w:rPr>
                <w:szCs w:val="22"/>
              </w:rPr>
              <w:t>会产生少量</w:t>
            </w:r>
            <w:r>
              <w:rPr>
                <w:rFonts w:hint="eastAsia"/>
                <w:szCs w:val="22"/>
              </w:rPr>
              <w:t>异味</w:t>
            </w:r>
            <w:r>
              <w:rPr>
                <w:szCs w:val="22"/>
              </w:rPr>
              <w:t>，</w:t>
            </w:r>
            <w:r>
              <w:rPr>
                <w:rFonts w:hint="eastAsia"/>
                <w:szCs w:val="22"/>
              </w:rPr>
              <w:t>通过</w:t>
            </w:r>
            <w:r>
              <w:rPr>
                <w:szCs w:val="22"/>
              </w:rPr>
              <w:t>车间内排风扇抽至室外无组织排放；</w:t>
            </w:r>
            <w:r>
              <w:rPr>
                <w:rFonts w:hint="eastAsia"/>
                <w:szCs w:val="22"/>
              </w:rPr>
              <w:t>苕皮</w:t>
            </w:r>
            <w:r>
              <w:rPr>
                <w:szCs w:val="22"/>
              </w:rPr>
              <w:t>生产</w:t>
            </w:r>
            <w:r>
              <w:rPr>
                <w:rFonts w:hint="eastAsia"/>
                <w:szCs w:val="22"/>
              </w:rPr>
              <w:t>搅拌投料</w:t>
            </w:r>
            <w:r>
              <w:rPr>
                <w:szCs w:val="22"/>
              </w:rPr>
              <w:t>时</w:t>
            </w:r>
            <w:r>
              <w:rPr>
                <w:rFonts w:hint="eastAsia"/>
                <w:szCs w:val="22"/>
              </w:rPr>
              <w:t>同步</w:t>
            </w:r>
            <w:r>
              <w:rPr>
                <w:szCs w:val="22"/>
              </w:rPr>
              <w:t>添加自来水</w:t>
            </w:r>
            <w:r>
              <w:rPr>
                <w:rFonts w:hint="eastAsia"/>
                <w:szCs w:val="22"/>
              </w:rPr>
              <w:t>来降低起尘</w:t>
            </w:r>
            <w:r>
              <w:rPr>
                <w:szCs w:val="22"/>
              </w:rPr>
              <w:t>量</w:t>
            </w:r>
            <w:r>
              <w:rPr>
                <w:rFonts w:hint="eastAsia"/>
                <w:szCs w:val="22"/>
              </w:rPr>
              <w:t>，投料</w:t>
            </w:r>
            <w:r>
              <w:rPr>
                <w:szCs w:val="22"/>
              </w:rPr>
              <w:t>过程产生少量的</w:t>
            </w:r>
            <w:r>
              <w:rPr>
                <w:rFonts w:hint="eastAsia"/>
                <w:szCs w:val="22"/>
              </w:rPr>
              <w:t>粉尘</w:t>
            </w:r>
            <w:r>
              <w:rPr>
                <w:szCs w:val="22"/>
              </w:rPr>
              <w:t>，</w:t>
            </w:r>
            <w:r>
              <w:rPr>
                <w:rFonts w:hint="eastAsia"/>
                <w:szCs w:val="22"/>
              </w:rPr>
              <w:t>通过</w:t>
            </w:r>
            <w:r>
              <w:rPr>
                <w:szCs w:val="22"/>
              </w:rPr>
              <w:t>加强车间通风</w:t>
            </w:r>
            <w:r>
              <w:rPr>
                <w:rFonts w:hint="eastAsia"/>
                <w:szCs w:val="22"/>
              </w:rPr>
              <w:t>无组织</w:t>
            </w:r>
            <w:r>
              <w:rPr>
                <w:szCs w:val="22"/>
              </w:rPr>
              <w:t>排放</w:t>
            </w:r>
            <w:r>
              <w:rPr>
                <w:rFonts w:hint="eastAsia"/>
                <w:szCs w:val="22"/>
              </w:rPr>
              <w:t>，满足《排污许可证</w:t>
            </w:r>
            <w:r>
              <w:rPr>
                <w:szCs w:val="22"/>
              </w:rPr>
              <w:t>申请与合法技术规范</w:t>
            </w:r>
            <w:r>
              <w:rPr>
                <w:rFonts w:hint="eastAsia"/>
                <w:szCs w:val="22"/>
              </w:rPr>
              <w:t xml:space="preserve"> 农副</w:t>
            </w:r>
            <w:r>
              <w:rPr>
                <w:szCs w:val="22"/>
              </w:rPr>
              <w:t>食品加工</w:t>
            </w:r>
            <w:r>
              <w:rPr>
                <w:rFonts w:hint="eastAsia"/>
                <w:szCs w:val="22"/>
              </w:rPr>
              <w:t>工业—淀粉</w:t>
            </w:r>
            <w:r>
              <w:rPr>
                <w:szCs w:val="22"/>
              </w:rPr>
              <w:t>工业</w:t>
            </w:r>
            <w:r>
              <w:rPr>
                <w:rFonts w:hint="eastAsia"/>
                <w:szCs w:val="22"/>
              </w:rPr>
              <w:t>》中“淀粉</w:t>
            </w:r>
            <w:r>
              <w:rPr>
                <w:szCs w:val="22"/>
              </w:rPr>
              <w:t>制品生产</w:t>
            </w:r>
            <w:r>
              <w:rPr>
                <w:rFonts w:hint="eastAsia"/>
                <w:szCs w:val="22"/>
              </w:rPr>
              <w:t>”无组织</w:t>
            </w:r>
            <w:r>
              <w:rPr>
                <w:szCs w:val="22"/>
              </w:rPr>
              <w:t>排放要求</w:t>
            </w:r>
            <w:r>
              <w:rPr>
                <w:rFonts w:hint="eastAsia"/>
                <w:szCs w:val="22"/>
              </w:rPr>
              <w:t>。</w:t>
            </w:r>
          </w:p>
          <w:p>
            <w:pPr>
              <w:spacing w:before="120" w:beforeLines="50" w:line="240" w:lineRule="auto"/>
              <w:ind w:firstLine="0" w:firstLineChars="0"/>
              <w:jc w:val="center"/>
              <w:rPr>
                <w:b/>
                <w:snapToGrid w:val="0"/>
                <w:szCs w:val="21"/>
              </w:rPr>
            </w:pPr>
            <w:r>
              <w:rPr>
                <w:b/>
                <w:snapToGrid w:val="0"/>
                <w:szCs w:val="21"/>
              </w:rPr>
              <w:t xml:space="preserve">表4-1   </w:t>
            </w:r>
            <w:r>
              <w:rPr>
                <w:rFonts w:hint="eastAsia"/>
                <w:b/>
                <w:snapToGrid w:val="0"/>
                <w:szCs w:val="21"/>
              </w:rPr>
              <w:t>项目</w:t>
            </w:r>
            <w:r>
              <w:rPr>
                <w:b/>
                <w:snapToGrid w:val="0"/>
                <w:szCs w:val="21"/>
              </w:rPr>
              <w:t>废气监测要求表</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13"/>
              <w:gridCol w:w="1155"/>
              <w:gridCol w:w="1045"/>
              <w:gridCol w:w="1198"/>
              <w:gridCol w:w="1288"/>
              <w:gridCol w:w="1896"/>
              <w:gridCol w:w="15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1" w:hRule="atLeast"/>
                <w:jc w:val="center"/>
              </w:trPr>
              <w:tc>
                <w:tcPr>
                  <w:tcW w:w="604" w:type="pct"/>
                  <w:vMerge w:val="restart"/>
                  <w:vAlign w:val="center"/>
                </w:tcPr>
                <w:p>
                  <w:pPr>
                    <w:wordWrap w:val="0"/>
                    <w:topLinePunct/>
                    <w:adjustRightInd w:val="0"/>
                    <w:snapToGrid w:val="0"/>
                    <w:spacing w:line="240" w:lineRule="auto"/>
                    <w:ind w:firstLine="0" w:firstLineChars="0"/>
                    <w:jc w:val="center"/>
                    <w:rPr>
                      <w:snapToGrid w:val="0"/>
                      <w:sz w:val="21"/>
                    </w:rPr>
                  </w:pPr>
                  <w:r>
                    <w:rPr>
                      <w:snapToGrid w:val="0"/>
                      <w:sz w:val="21"/>
                    </w:rPr>
                    <w:t>排放口名称</w:t>
                  </w:r>
                </w:p>
              </w:tc>
              <w:tc>
                <w:tcPr>
                  <w:tcW w:w="627" w:type="pct"/>
                  <w:vMerge w:val="restart"/>
                  <w:vAlign w:val="center"/>
                </w:tcPr>
                <w:p>
                  <w:pPr>
                    <w:wordWrap w:val="0"/>
                    <w:topLinePunct/>
                    <w:adjustRightInd w:val="0"/>
                    <w:snapToGrid w:val="0"/>
                    <w:spacing w:line="240" w:lineRule="auto"/>
                    <w:ind w:firstLine="0" w:firstLineChars="0"/>
                    <w:jc w:val="center"/>
                    <w:rPr>
                      <w:snapToGrid w:val="0"/>
                      <w:sz w:val="21"/>
                    </w:rPr>
                  </w:pPr>
                  <w:r>
                    <w:rPr>
                      <w:snapToGrid w:val="0"/>
                      <w:sz w:val="21"/>
                    </w:rPr>
                    <w:t>排放口/监测点位</w:t>
                  </w:r>
                </w:p>
              </w:tc>
              <w:tc>
                <w:tcPr>
                  <w:tcW w:w="567" w:type="pct"/>
                  <w:vMerge w:val="restart"/>
                  <w:vAlign w:val="center"/>
                </w:tcPr>
                <w:p>
                  <w:pPr>
                    <w:wordWrap w:val="0"/>
                    <w:topLinePunct/>
                    <w:adjustRightInd w:val="0"/>
                    <w:snapToGrid w:val="0"/>
                    <w:spacing w:line="240" w:lineRule="auto"/>
                    <w:ind w:firstLine="0" w:firstLineChars="0"/>
                    <w:jc w:val="center"/>
                    <w:rPr>
                      <w:snapToGrid w:val="0"/>
                      <w:sz w:val="21"/>
                    </w:rPr>
                  </w:pPr>
                  <w:r>
                    <w:rPr>
                      <w:snapToGrid w:val="0"/>
                      <w:sz w:val="21"/>
                    </w:rPr>
                    <w:t>排放口类型</w:t>
                  </w:r>
                </w:p>
              </w:tc>
              <w:tc>
                <w:tcPr>
                  <w:tcW w:w="650" w:type="pct"/>
                  <w:vMerge w:val="restart"/>
                  <w:vAlign w:val="center"/>
                </w:tcPr>
                <w:p>
                  <w:pPr>
                    <w:wordWrap w:val="0"/>
                    <w:topLinePunct/>
                    <w:adjustRightInd w:val="0"/>
                    <w:snapToGrid w:val="0"/>
                    <w:spacing w:line="240" w:lineRule="auto"/>
                    <w:ind w:firstLine="0" w:firstLineChars="0"/>
                    <w:jc w:val="center"/>
                    <w:rPr>
                      <w:snapToGrid w:val="0"/>
                      <w:sz w:val="21"/>
                    </w:rPr>
                  </w:pPr>
                  <w:r>
                    <w:rPr>
                      <w:snapToGrid w:val="0"/>
                      <w:sz w:val="21"/>
                    </w:rPr>
                    <w:t>监测因子</w:t>
                  </w:r>
                </w:p>
              </w:tc>
              <w:tc>
                <w:tcPr>
                  <w:tcW w:w="699" w:type="pct"/>
                  <w:vMerge w:val="restart"/>
                  <w:vAlign w:val="center"/>
                </w:tcPr>
                <w:p>
                  <w:pPr>
                    <w:wordWrap w:val="0"/>
                    <w:topLinePunct/>
                    <w:adjustRightInd w:val="0"/>
                    <w:snapToGrid w:val="0"/>
                    <w:spacing w:line="240" w:lineRule="auto"/>
                    <w:ind w:firstLine="0" w:firstLineChars="0"/>
                    <w:jc w:val="center"/>
                    <w:rPr>
                      <w:snapToGrid w:val="0"/>
                      <w:sz w:val="21"/>
                    </w:rPr>
                  </w:pPr>
                  <w:r>
                    <w:rPr>
                      <w:snapToGrid w:val="0"/>
                      <w:sz w:val="21"/>
                    </w:rPr>
                    <w:t>排放浓度限值mg/m</w:t>
                  </w:r>
                  <w:r>
                    <w:rPr>
                      <w:snapToGrid w:val="0"/>
                      <w:sz w:val="21"/>
                      <w:vertAlign w:val="superscript"/>
                    </w:rPr>
                    <w:t>3</w:t>
                  </w:r>
                </w:p>
              </w:tc>
              <w:tc>
                <w:tcPr>
                  <w:tcW w:w="1029" w:type="pct"/>
                  <w:vMerge w:val="restart"/>
                  <w:vAlign w:val="center"/>
                </w:tcPr>
                <w:p>
                  <w:pPr>
                    <w:wordWrap w:val="0"/>
                    <w:topLinePunct/>
                    <w:adjustRightInd w:val="0"/>
                    <w:snapToGrid w:val="0"/>
                    <w:spacing w:line="240" w:lineRule="auto"/>
                    <w:ind w:firstLine="0" w:firstLineChars="0"/>
                    <w:jc w:val="center"/>
                    <w:rPr>
                      <w:snapToGrid w:val="0"/>
                      <w:sz w:val="21"/>
                    </w:rPr>
                  </w:pPr>
                  <w:r>
                    <w:rPr>
                      <w:snapToGrid w:val="0"/>
                      <w:sz w:val="21"/>
                    </w:rPr>
                    <w:t>标准名称</w:t>
                  </w:r>
                </w:p>
              </w:tc>
              <w:tc>
                <w:tcPr>
                  <w:tcW w:w="824" w:type="pct"/>
                  <w:vMerge w:val="restart"/>
                  <w:vAlign w:val="center"/>
                </w:tcPr>
                <w:p>
                  <w:pPr>
                    <w:wordWrap w:val="0"/>
                    <w:topLinePunct/>
                    <w:adjustRightInd w:val="0"/>
                    <w:snapToGrid w:val="0"/>
                    <w:spacing w:line="240" w:lineRule="auto"/>
                    <w:ind w:firstLine="0" w:firstLineChars="0"/>
                    <w:jc w:val="center"/>
                    <w:rPr>
                      <w:snapToGrid w:val="0"/>
                      <w:sz w:val="21"/>
                    </w:rPr>
                  </w:pPr>
                  <w:r>
                    <w:rPr>
                      <w:snapToGrid w:val="0"/>
                      <w:sz w:val="21"/>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1" w:hRule="atLeast"/>
                <w:jc w:val="center"/>
              </w:trPr>
              <w:tc>
                <w:tcPr>
                  <w:tcW w:w="604" w:type="pct"/>
                  <w:vMerge w:val="continue"/>
                  <w:vAlign w:val="center"/>
                </w:tcPr>
                <w:p>
                  <w:pPr>
                    <w:wordWrap w:val="0"/>
                    <w:topLinePunct/>
                    <w:adjustRightInd w:val="0"/>
                    <w:snapToGrid w:val="0"/>
                    <w:spacing w:line="240" w:lineRule="auto"/>
                    <w:ind w:firstLine="0" w:firstLineChars="0"/>
                    <w:jc w:val="center"/>
                    <w:rPr>
                      <w:snapToGrid w:val="0"/>
                      <w:sz w:val="21"/>
                    </w:rPr>
                  </w:pPr>
                </w:p>
              </w:tc>
              <w:tc>
                <w:tcPr>
                  <w:tcW w:w="627" w:type="pct"/>
                  <w:vMerge w:val="continue"/>
                  <w:vAlign w:val="center"/>
                </w:tcPr>
                <w:p>
                  <w:pPr>
                    <w:wordWrap w:val="0"/>
                    <w:topLinePunct/>
                    <w:adjustRightInd w:val="0"/>
                    <w:snapToGrid w:val="0"/>
                    <w:spacing w:line="240" w:lineRule="auto"/>
                    <w:ind w:firstLine="0" w:firstLineChars="0"/>
                    <w:jc w:val="center"/>
                    <w:rPr>
                      <w:snapToGrid w:val="0"/>
                      <w:sz w:val="21"/>
                    </w:rPr>
                  </w:pPr>
                </w:p>
              </w:tc>
              <w:tc>
                <w:tcPr>
                  <w:tcW w:w="567" w:type="pct"/>
                  <w:vMerge w:val="continue"/>
                  <w:vAlign w:val="center"/>
                </w:tcPr>
                <w:p>
                  <w:pPr>
                    <w:wordWrap w:val="0"/>
                    <w:topLinePunct/>
                    <w:adjustRightInd w:val="0"/>
                    <w:snapToGrid w:val="0"/>
                    <w:spacing w:line="240" w:lineRule="auto"/>
                    <w:ind w:firstLine="0" w:firstLineChars="0"/>
                    <w:jc w:val="center"/>
                    <w:rPr>
                      <w:snapToGrid w:val="0"/>
                      <w:sz w:val="21"/>
                    </w:rPr>
                  </w:pPr>
                </w:p>
              </w:tc>
              <w:tc>
                <w:tcPr>
                  <w:tcW w:w="650" w:type="pct"/>
                  <w:vMerge w:val="continue"/>
                  <w:vAlign w:val="center"/>
                </w:tcPr>
                <w:p>
                  <w:pPr>
                    <w:wordWrap w:val="0"/>
                    <w:topLinePunct/>
                    <w:adjustRightInd w:val="0"/>
                    <w:snapToGrid w:val="0"/>
                    <w:spacing w:line="240" w:lineRule="auto"/>
                    <w:ind w:firstLine="0" w:firstLineChars="0"/>
                    <w:jc w:val="center"/>
                    <w:rPr>
                      <w:snapToGrid w:val="0"/>
                      <w:sz w:val="21"/>
                    </w:rPr>
                  </w:pPr>
                </w:p>
              </w:tc>
              <w:tc>
                <w:tcPr>
                  <w:tcW w:w="699" w:type="pct"/>
                  <w:vMerge w:val="continue"/>
                  <w:vAlign w:val="center"/>
                </w:tcPr>
                <w:p>
                  <w:pPr>
                    <w:wordWrap w:val="0"/>
                    <w:topLinePunct/>
                    <w:adjustRightInd w:val="0"/>
                    <w:snapToGrid w:val="0"/>
                    <w:spacing w:line="240" w:lineRule="auto"/>
                    <w:ind w:firstLine="0" w:firstLineChars="0"/>
                    <w:jc w:val="center"/>
                    <w:rPr>
                      <w:snapToGrid w:val="0"/>
                      <w:sz w:val="21"/>
                    </w:rPr>
                  </w:pPr>
                </w:p>
              </w:tc>
              <w:tc>
                <w:tcPr>
                  <w:tcW w:w="1029" w:type="pct"/>
                  <w:vMerge w:val="continue"/>
                  <w:vAlign w:val="center"/>
                </w:tcPr>
                <w:p>
                  <w:pPr>
                    <w:wordWrap w:val="0"/>
                    <w:topLinePunct/>
                    <w:adjustRightInd w:val="0"/>
                    <w:snapToGrid w:val="0"/>
                    <w:spacing w:line="240" w:lineRule="auto"/>
                    <w:ind w:firstLine="0" w:firstLineChars="0"/>
                    <w:jc w:val="center"/>
                    <w:rPr>
                      <w:snapToGrid w:val="0"/>
                      <w:sz w:val="21"/>
                    </w:rPr>
                  </w:pPr>
                </w:p>
              </w:tc>
              <w:tc>
                <w:tcPr>
                  <w:tcW w:w="824" w:type="pct"/>
                  <w:vMerge w:val="continue"/>
                  <w:vAlign w:val="center"/>
                </w:tcPr>
                <w:p>
                  <w:pPr>
                    <w:wordWrap w:val="0"/>
                    <w:topLinePunct/>
                    <w:adjustRightInd w:val="0"/>
                    <w:snapToGrid w:val="0"/>
                    <w:spacing w:line="240" w:lineRule="auto"/>
                    <w:ind w:firstLine="0" w:firstLineChars="0"/>
                    <w:jc w:val="center"/>
                    <w:rPr>
                      <w:snapToGrid w:val="0"/>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604" w:type="pct"/>
                  <w:vMerge w:val="restart"/>
                  <w:vAlign w:val="center"/>
                </w:tcPr>
                <w:p>
                  <w:pPr>
                    <w:wordWrap w:val="0"/>
                    <w:topLinePunct/>
                    <w:adjustRightInd w:val="0"/>
                    <w:snapToGrid w:val="0"/>
                    <w:spacing w:line="240" w:lineRule="auto"/>
                    <w:ind w:firstLine="0" w:firstLineChars="0"/>
                    <w:jc w:val="center"/>
                    <w:rPr>
                      <w:snapToGrid w:val="0"/>
                      <w:sz w:val="21"/>
                    </w:rPr>
                  </w:pPr>
                  <w:r>
                    <w:rPr>
                      <w:rFonts w:hint="eastAsia"/>
                      <w:snapToGrid w:val="0"/>
                      <w:sz w:val="21"/>
                    </w:rPr>
                    <w:t>厂界</w:t>
                  </w:r>
                  <w:r>
                    <w:rPr>
                      <w:snapToGrid w:val="0"/>
                      <w:sz w:val="21"/>
                    </w:rPr>
                    <w:t>无组织</w:t>
                  </w:r>
                </w:p>
              </w:tc>
              <w:tc>
                <w:tcPr>
                  <w:tcW w:w="627" w:type="pct"/>
                  <w:vMerge w:val="restart"/>
                  <w:vAlign w:val="center"/>
                </w:tcPr>
                <w:p>
                  <w:pPr>
                    <w:wordWrap w:val="0"/>
                    <w:topLinePunct/>
                    <w:adjustRightInd w:val="0"/>
                    <w:snapToGrid w:val="0"/>
                    <w:spacing w:line="240" w:lineRule="auto"/>
                    <w:ind w:firstLine="0" w:firstLineChars="0"/>
                    <w:jc w:val="center"/>
                    <w:rPr>
                      <w:snapToGrid w:val="0"/>
                      <w:sz w:val="21"/>
                    </w:rPr>
                  </w:pPr>
                  <w:r>
                    <w:rPr>
                      <w:rFonts w:hint="eastAsia"/>
                      <w:snapToGrid w:val="0"/>
                      <w:sz w:val="21"/>
                    </w:rPr>
                    <w:t>厂界</w:t>
                  </w:r>
                </w:p>
              </w:tc>
              <w:tc>
                <w:tcPr>
                  <w:tcW w:w="567" w:type="pct"/>
                  <w:vMerge w:val="restart"/>
                  <w:vAlign w:val="center"/>
                </w:tcPr>
                <w:p>
                  <w:pPr>
                    <w:wordWrap w:val="0"/>
                    <w:topLinePunct/>
                    <w:adjustRightInd w:val="0"/>
                    <w:snapToGrid w:val="0"/>
                    <w:spacing w:line="240" w:lineRule="auto"/>
                    <w:ind w:firstLine="0" w:firstLineChars="0"/>
                    <w:jc w:val="center"/>
                    <w:rPr>
                      <w:snapToGrid w:val="0"/>
                      <w:sz w:val="21"/>
                    </w:rPr>
                  </w:pPr>
                  <w:r>
                    <w:rPr>
                      <w:rFonts w:hint="eastAsia"/>
                      <w:snapToGrid w:val="0"/>
                      <w:sz w:val="21"/>
                    </w:rPr>
                    <w:t>/</w:t>
                  </w:r>
                </w:p>
              </w:tc>
              <w:tc>
                <w:tcPr>
                  <w:tcW w:w="650" w:type="pct"/>
                  <w:vAlign w:val="center"/>
                </w:tcPr>
                <w:p>
                  <w:pPr>
                    <w:spacing w:line="240" w:lineRule="auto"/>
                    <w:ind w:firstLine="0" w:firstLineChars="0"/>
                    <w:jc w:val="center"/>
                    <w:rPr>
                      <w:snapToGrid w:val="0"/>
                      <w:sz w:val="21"/>
                      <w:szCs w:val="21"/>
                    </w:rPr>
                  </w:pPr>
                  <w:r>
                    <w:rPr>
                      <w:rFonts w:hAnsi="宋体"/>
                      <w:bCs/>
                      <w:kern w:val="28"/>
                      <w:sz w:val="21"/>
                      <w:szCs w:val="21"/>
                    </w:rPr>
                    <w:t>颗粒物</w:t>
                  </w:r>
                </w:p>
              </w:tc>
              <w:tc>
                <w:tcPr>
                  <w:tcW w:w="699" w:type="pct"/>
                  <w:vAlign w:val="center"/>
                </w:tcPr>
                <w:p>
                  <w:pPr>
                    <w:wordWrap w:val="0"/>
                    <w:topLinePunct/>
                    <w:adjustRightInd w:val="0"/>
                    <w:snapToGrid w:val="0"/>
                    <w:spacing w:line="240" w:lineRule="auto"/>
                    <w:ind w:firstLine="0" w:firstLineChars="0"/>
                    <w:jc w:val="center"/>
                    <w:rPr>
                      <w:snapToGrid w:val="0"/>
                      <w:sz w:val="21"/>
                    </w:rPr>
                  </w:pPr>
                  <w:r>
                    <w:rPr>
                      <w:rFonts w:hint="eastAsia"/>
                      <w:snapToGrid w:val="0"/>
                      <w:sz w:val="21"/>
                    </w:rPr>
                    <w:t>1</w:t>
                  </w:r>
                  <w:r>
                    <w:rPr>
                      <w:snapToGrid w:val="0"/>
                      <w:sz w:val="21"/>
                    </w:rPr>
                    <w:t>.0</w:t>
                  </w:r>
                </w:p>
              </w:tc>
              <w:tc>
                <w:tcPr>
                  <w:tcW w:w="1029" w:type="pct"/>
                  <w:tcBorders>
                    <w:bottom w:val="single" w:color="auto" w:sz="4" w:space="0"/>
                  </w:tcBorders>
                  <w:vAlign w:val="center"/>
                </w:tcPr>
                <w:p>
                  <w:pPr>
                    <w:wordWrap w:val="0"/>
                    <w:topLinePunct/>
                    <w:adjustRightInd w:val="0"/>
                    <w:snapToGrid w:val="0"/>
                    <w:spacing w:line="240" w:lineRule="auto"/>
                    <w:ind w:firstLine="0" w:firstLineChars="0"/>
                    <w:jc w:val="center"/>
                    <w:rPr>
                      <w:snapToGrid w:val="0"/>
                      <w:sz w:val="21"/>
                    </w:rPr>
                  </w:pPr>
                  <w:r>
                    <w:rPr>
                      <w:rFonts w:hint="eastAsia"/>
                      <w:snapToGrid w:val="0"/>
                      <w:sz w:val="21"/>
                    </w:rPr>
                    <w:t>《大气污染物综合排放标准》(DB50/418-2016)</w:t>
                  </w:r>
                </w:p>
              </w:tc>
              <w:tc>
                <w:tcPr>
                  <w:tcW w:w="824" w:type="pct"/>
                  <w:vMerge w:val="restart"/>
                  <w:vAlign w:val="center"/>
                </w:tcPr>
                <w:p>
                  <w:pPr>
                    <w:wordWrap w:val="0"/>
                    <w:topLinePunct/>
                    <w:adjustRightInd w:val="0"/>
                    <w:snapToGrid w:val="0"/>
                    <w:spacing w:line="240" w:lineRule="auto"/>
                    <w:ind w:firstLine="0" w:firstLineChars="0"/>
                    <w:jc w:val="center"/>
                    <w:rPr>
                      <w:snapToGrid w:val="0"/>
                      <w:sz w:val="21"/>
                    </w:rPr>
                  </w:pPr>
                  <w:r>
                    <w:rPr>
                      <w:snapToGrid w:val="0"/>
                      <w:sz w:val="21"/>
                    </w:rPr>
                    <w:t>验收监测一次，其余</w:t>
                  </w:r>
                  <w:r>
                    <w:rPr>
                      <w:rFonts w:hint="eastAsia"/>
                      <w:snapToGrid w:val="0"/>
                      <w:sz w:val="21"/>
                    </w:rPr>
                    <w:t>半</w:t>
                  </w:r>
                  <w:r>
                    <w:rPr>
                      <w:snapToGrid w:val="0"/>
                      <w:sz w:val="21"/>
                    </w:rPr>
                    <w:t>年/次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04" w:type="pct"/>
                  <w:vMerge w:val="continue"/>
                  <w:vAlign w:val="center"/>
                </w:tcPr>
                <w:p>
                  <w:pPr>
                    <w:wordWrap w:val="0"/>
                    <w:topLinePunct/>
                    <w:adjustRightInd w:val="0"/>
                    <w:snapToGrid w:val="0"/>
                    <w:spacing w:line="240" w:lineRule="auto"/>
                    <w:ind w:firstLine="0" w:firstLineChars="0"/>
                    <w:jc w:val="center"/>
                    <w:rPr>
                      <w:snapToGrid w:val="0"/>
                      <w:sz w:val="21"/>
                    </w:rPr>
                  </w:pPr>
                </w:p>
              </w:tc>
              <w:tc>
                <w:tcPr>
                  <w:tcW w:w="627" w:type="pct"/>
                  <w:vMerge w:val="continue"/>
                  <w:vAlign w:val="center"/>
                </w:tcPr>
                <w:p>
                  <w:pPr>
                    <w:wordWrap w:val="0"/>
                    <w:topLinePunct/>
                    <w:adjustRightInd w:val="0"/>
                    <w:snapToGrid w:val="0"/>
                    <w:spacing w:line="240" w:lineRule="auto"/>
                    <w:ind w:firstLine="0" w:firstLineChars="0"/>
                    <w:jc w:val="center"/>
                    <w:rPr>
                      <w:snapToGrid w:val="0"/>
                      <w:sz w:val="21"/>
                    </w:rPr>
                  </w:pPr>
                </w:p>
              </w:tc>
              <w:tc>
                <w:tcPr>
                  <w:tcW w:w="567" w:type="pct"/>
                  <w:vMerge w:val="continue"/>
                  <w:vAlign w:val="center"/>
                </w:tcPr>
                <w:p>
                  <w:pPr>
                    <w:wordWrap w:val="0"/>
                    <w:topLinePunct/>
                    <w:adjustRightInd w:val="0"/>
                    <w:snapToGrid w:val="0"/>
                    <w:spacing w:line="240" w:lineRule="auto"/>
                    <w:ind w:firstLine="0" w:firstLineChars="0"/>
                    <w:jc w:val="center"/>
                    <w:rPr>
                      <w:snapToGrid w:val="0"/>
                      <w:sz w:val="21"/>
                    </w:rPr>
                  </w:pPr>
                </w:p>
              </w:tc>
              <w:tc>
                <w:tcPr>
                  <w:tcW w:w="650" w:type="pct"/>
                  <w:vAlign w:val="center"/>
                </w:tcPr>
                <w:p>
                  <w:pPr>
                    <w:spacing w:line="240" w:lineRule="auto"/>
                    <w:ind w:firstLine="0" w:firstLineChars="0"/>
                    <w:jc w:val="center"/>
                    <w:rPr>
                      <w:snapToGrid w:val="0"/>
                      <w:sz w:val="21"/>
                      <w:szCs w:val="21"/>
                    </w:rPr>
                  </w:pPr>
                  <w:r>
                    <w:rPr>
                      <w:rFonts w:hint="eastAsia"/>
                      <w:snapToGrid w:val="0"/>
                      <w:sz w:val="21"/>
                      <w:szCs w:val="21"/>
                    </w:rPr>
                    <w:t>臭气</w:t>
                  </w:r>
                  <w:r>
                    <w:rPr>
                      <w:snapToGrid w:val="0"/>
                      <w:sz w:val="21"/>
                      <w:szCs w:val="21"/>
                    </w:rPr>
                    <w:t>浓度</w:t>
                  </w:r>
                </w:p>
              </w:tc>
              <w:tc>
                <w:tcPr>
                  <w:tcW w:w="699" w:type="pct"/>
                  <w:vAlign w:val="center"/>
                </w:tcPr>
                <w:p>
                  <w:pPr>
                    <w:wordWrap w:val="0"/>
                    <w:topLinePunct/>
                    <w:adjustRightInd w:val="0"/>
                    <w:snapToGrid w:val="0"/>
                    <w:spacing w:line="240" w:lineRule="auto"/>
                    <w:ind w:firstLine="0" w:firstLineChars="0"/>
                    <w:jc w:val="center"/>
                    <w:rPr>
                      <w:snapToGrid w:val="0"/>
                      <w:sz w:val="21"/>
                    </w:rPr>
                  </w:pPr>
                  <w:r>
                    <w:rPr>
                      <w:rFonts w:hint="eastAsia"/>
                      <w:snapToGrid w:val="0"/>
                      <w:sz w:val="21"/>
                    </w:rPr>
                    <w:t>20（无量纲）</w:t>
                  </w:r>
                </w:p>
              </w:tc>
              <w:tc>
                <w:tcPr>
                  <w:tcW w:w="1029" w:type="pct"/>
                  <w:tcBorders>
                    <w:top w:val="single" w:color="auto" w:sz="4" w:space="0"/>
                  </w:tcBorders>
                  <w:vAlign w:val="center"/>
                </w:tcPr>
                <w:p>
                  <w:pPr>
                    <w:wordWrap w:val="0"/>
                    <w:topLinePunct/>
                    <w:adjustRightInd w:val="0"/>
                    <w:snapToGrid w:val="0"/>
                    <w:spacing w:line="240" w:lineRule="auto"/>
                    <w:ind w:firstLine="0" w:firstLineChars="0"/>
                    <w:jc w:val="center"/>
                    <w:rPr>
                      <w:snapToGrid w:val="0"/>
                      <w:sz w:val="21"/>
                    </w:rPr>
                  </w:pPr>
                  <w:r>
                    <w:rPr>
                      <w:snapToGrid w:val="0"/>
                      <w:sz w:val="21"/>
                    </w:rPr>
                    <w:t>《恶臭污染物排放标准》（GB14554-93）</w:t>
                  </w:r>
                </w:p>
              </w:tc>
              <w:tc>
                <w:tcPr>
                  <w:tcW w:w="824" w:type="pct"/>
                  <w:vMerge w:val="continue"/>
                  <w:vAlign w:val="center"/>
                </w:tcPr>
                <w:p>
                  <w:pPr>
                    <w:wordWrap w:val="0"/>
                    <w:topLinePunct/>
                    <w:adjustRightInd w:val="0"/>
                    <w:snapToGrid w:val="0"/>
                    <w:spacing w:line="240" w:lineRule="auto"/>
                    <w:ind w:firstLine="0" w:firstLineChars="0"/>
                    <w:jc w:val="center"/>
                    <w:rPr>
                      <w:snapToGrid w:val="0"/>
                      <w:sz w:val="21"/>
                    </w:rPr>
                  </w:pPr>
                </w:p>
              </w:tc>
            </w:tr>
          </w:tbl>
          <w:p>
            <w:pPr>
              <w:spacing w:before="120" w:beforeLines="50"/>
              <w:ind w:firstLine="482"/>
              <w:rPr>
                <w:b/>
              </w:rPr>
            </w:pPr>
            <w:r>
              <w:rPr>
                <w:b/>
              </w:rPr>
              <w:t>2、废水</w:t>
            </w:r>
          </w:p>
          <w:p>
            <w:pPr>
              <w:ind w:firstLine="480"/>
              <w:rPr>
                <w:bCs/>
                <w:szCs w:val="21"/>
              </w:rPr>
            </w:pPr>
            <w:r>
              <w:rPr>
                <w:bCs/>
                <w:szCs w:val="21"/>
              </w:rPr>
              <w:t>项目运营期废水主要为生活污水</w:t>
            </w:r>
            <w:r>
              <w:rPr>
                <w:rFonts w:hint="eastAsia"/>
                <w:bCs/>
                <w:szCs w:val="21"/>
              </w:rPr>
              <w:t>和</w:t>
            </w:r>
            <w:r>
              <w:rPr>
                <w:bCs/>
                <w:szCs w:val="21"/>
              </w:rPr>
              <w:t>生产废水。</w:t>
            </w:r>
          </w:p>
          <w:p>
            <w:pPr>
              <w:ind w:firstLine="480"/>
              <w:rPr>
                <w:bCs/>
                <w:szCs w:val="21"/>
              </w:rPr>
            </w:pPr>
            <w:r>
              <w:rPr>
                <w:bCs/>
                <w:szCs w:val="21"/>
              </w:rPr>
              <w:t>（1）废水污染源强排放信息</w:t>
            </w:r>
          </w:p>
          <w:p>
            <w:pPr>
              <w:ind w:firstLine="480"/>
              <w:rPr>
                <w:kern w:val="0"/>
                <w:szCs w:val="21"/>
              </w:rPr>
            </w:pPr>
            <w:r>
              <w:t>锅具</w:t>
            </w:r>
            <w:r>
              <w:rPr>
                <w:rFonts w:hint="eastAsia"/>
              </w:rPr>
              <w:t>等</w:t>
            </w:r>
            <w:r>
              <w:t>清洗废水</w:t>
            </w:r>
            <w:r>
              <w:rPr>
                <w:rFonts w:hint="eastAsia"/>
              </w:rPr>
              <w:t>、</w:t>
            </w:r>
            <w:r>
              <w:t>地面清洁废水和卤制废水</w:t>
            </w:r>
            <w:r>
              <w:rPr>
                <w:rFonts w:hint="eastAsia"/>
              </w:rPr>
              <w:t>经新建的</w:t>
            </w:r>
            <w:r>
              <w:t>一体化处理设施处理达</w:t>
            </w:r>
            <w:r>
              <w:rPr>
                <w:rFonts w:hint="eastAsia"/>
              </w:rPr>
              <w:t>《淀粉工业水污染物排放标准》（GB25461-2010）表2中间接排放标准后排入</w:t>
            </w:r>
            <w:r>
              <w:t>厂区污水处理站</w:t>
            </w:r>
            <w:r>
              <w:rPr>
                <w:rFonts w:hint="eastAsia"/>
              </w:rPr>
              <w:t>。</w:t>
            </w:r>
            <w:r>
              <w:rPr>
                <w:bCs/>
                <w:szCs w:val="21"/>
              </w:rPr>
              <w:t>生活污水经</w:t>
            </w:r>
            <w:r>
              <w:rPr>
                <w:rFonts w:hint="eastAsia"/>
              </w:rPr>
              <w:t>重庆宜</w:t>
            </w:r>
            <w:r>
              <w:t>企</w:t>
            </w:r>
            <w:r>
              <w:rPr>
                <w:rFonts w:hint="eastAsia"/>
              </w:rPr>
              <w:t>健</w:t>
            </w:r>
            <w:r>
              <w:t>企业管理有限公司</w:t>
            </w:r>
            <w:r>
              <w:rPr>
                <w:rFonts w:hint="eastAsia"/>
                <w:bCs/>
                <w:szCs w:val="21"/>
              </w:rPr>
              <w:t>厂区</w:t>
            </w:r>
            <w:r>
              <w:rPr>
                <w:bCs/>
                <w:szCs w:val="21"/>
              </w:rPr>
              <w:t>现有</w:t>
            </w:r>
            <w:r>
              <w:rPr>
                <w:rFonts w:hint="eastAsia"/>
                <w:bCs/>
                <w:szCs w:val="21"/>
              </w:rPr>
              <w:t>污水处理</w:t>
            </w:r>
            <w:r>
              <w:rPr>
                <w:bCs/>
                <w:szCs w:val="21"/>
              </w:rPr>
              <w:t>站处理后排入市政管网。项目废水类别、污染物、产排情况及治理设施信息见表4-1。</w:t>
            </w:r>
          </w:p>
        </w:tc>
      </w:tr>
    </w:tbl>
    <w:p>
      <w:pPr>
        <w:adjustRightInd w:val="0"/>
        <w:snapToGrid w:val="0"/>
        <w:ind w:firstLine="562"/>
        <w:rPr>
          <w:b/>
          <w:kern w:val="0"/>
          <w:sz w:val="28"/>
          <w:szCs w:val="28"/>
        </w:rPr>
        <w:sectPr>
          <w:pgSz w:w="11907" w:h="16840"/>
          <w:pgMar w:top="1440" w:right="1080" w:bottom="1440" w:left="1080" w:header="851" w:footer="851" w:gutter="0"/>
          <w:cols w:space="720" w:num="1"/>
          <w:docGrid w:linePitch="312" w:charSpace="0"/>
        </w:sectPr>
      </w:pPr>
    </w:p>
    <w:tbl>
      <w:tblPr>
        <w:tblStyle w:val="19"/>
        <w:tblW w:w="1394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99"/>
        <w:gridCol w:w="1324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94" w:hRule="atLeast"/>
          <w:jc w:val="center"/>
        </w:trPr>
        <w:tc>
          <w:tcPr>
            <w:tcW w:w="699" w:type="dxa"/>
            <w:vAlign w:val="center"/>
          </w:tcPr>
          <w:p>
            <w:pPr>
              <w:ind w:firstLine="0" w:firstLineChars="0"/>
              <w:jc w:val="center"/>
              <w:rPr>
                <w:lang w:val="zh-CN"/>
              </w:rPr>
            </w:pPr>
            <w:r>
              <w:rPr>
                <w:bCs/>
                <w:szCs w:val="21"/>
              </w:rPr>
              <w:t>运营期环境影响和保护措施</w:t>
            </w:r>
          </w:p>
        </w:tc>
        <w:tc>
          <w:tcPr>
            <w:tcW w:w="13241" w:type="dxa"/>
          </w:tcPr>
          <w:p>
            <w:pPr>
              <w:pStyle w:val="33"/>
              <w:spacing w:before="120"/>
              <w:rPr>
                <w:lang w:val="zh-CN"/>
              </w:rPr>
            </w:pPr>
            <w:r>
              <w:rPr>
                <w:lang w:val="zh-CN"/>
              </w:rPr>
              <w:t>表4-2  项目废水产排污节点、污染物及污染治理设施信息表</w:t>
            </w:r>
          </w:p>
          <w:tbl>
            <w:tblPr>
              <w:tblStyle w:val="1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656"/>
              <w:gridCol w:w="818"/>
              <w:gridCol w:w="879"/>
              <w:gridCol w:w="897"/>
              <w:gridCol w:w="1031"/>
              <w:gridCol w:w="2619"/>
              <w:gridCol w:w="898"/>
              <w:gridCol w:w="1031"/>
              <w:gridCol w:w="636"/>
              <w:gridCol w:w="988"/>
              <w:gridCol w:w="1164"/>
              <w:gridCol w:w="9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atLeast"/>
              </w:trPr>
              <w:tc>
                <w:tcPr>
                  <w:tcW w:w="153" w:type="pct"/>
                  <w:vMerge w:val="restart"/>
                  <w:vAlign w:val="center"/>
                </w:tcPr>
                <w:p>
                  <w:pPr>
                    <w:adjustRightInd w:val="0"/>
                    <w:snapToGrid w:val="0"/>
                    <w:spacing w:line="240" w:lineRule="auto"/>
                    <w:ind w:firstLine="0" w:firstLineChars="0"/>
                    <w:jc w:val="center"/>
                    <w:rPr>
                      <w:sz w:val="21"/>
                      <w:lang w:val="zh-CN"/>
                    </w:rPr>
                  </w:pPr>
                  <w:r>
                    <w:rPr>
                      <w:sz w:val="21"/>
                      <w:lang w:val="zh-CN"/>
                    </w:rPr>
                    <w:t>序号</w:t>
                  </w:r>
                </w:p>
              </w:tc>
              <w:tc>
                <w:tcPr>
                  <w:tcW w:w="263" w:type="pct"/>
                  <w:vMerge w:val="restart"/>
                  <w:vAlign w:val="center"/>
                </w:tcPr>
                <w:p>
                  <w:pPr>
                    <w:adjustRightInd w:val="0"/>
                    <w:snapToGrid w:val="0"/>
                    <w:spacing w:line="240" w:lineRule="auto"/>
                    <w:ind w:firstLine="0" w:firstLineChars="0"/>
                    <w:jc w:val="center"/>
                    <w:rPr>
                      <w:sz w:val="21"/>
                      <w:lang w:val="zh-CN"/>
                    </w:rPr>
                  </w:pPr>
                  <w:r>
                    <w:rPr>
                      <w:sz w:val="21"/>
                      <w:lang w:val="zh-CN"/>
                    </w:rPr>
                    <w:t>产排污环节</w:t>
                  </w:r>
                </w:p>
              </w:tc>
              <w:tc>
                <w:tcPr>
                  <w:tcW w:w="247" w:type="pct"/>
                  <w:vMerge w:val="restart"/>
                  <w:vAlign w:val="center"/>
                </w:tcPr>
                <w:p>
                  <w:pPr>
                    <w:adjustRightInd w:val="0"/>
                    <w:snapToGrid w:val="0"/>
                    <w:spacing w:line="240" w:lineRule="auto"/>
                    <w:ind w:firstLine="0" w:firstLineChars="0"/>
                    <w:jc w:val="center"/>
                    <w:rPr>
                      <w:sz w:val="21"/>
                      <w:lang w:val="zh-CN"/>
                    </w:rPr>
                  </w:pPr>
                  <w:r>
                    <w:rPr>
                      <w:sz w:val="21"/>
                      <w:lang w:val="zh-CN"/>
                    </w:rPr>
                    <w:t>废水排放量m</w:t>
                  </w:r>
                  <w:r>
                    <w:rPr>
                      <w:sz w:val="21"/>
                      <w:vertAlign w:val="superscript"/>
                      <w:lang w:val="zh-CN"/>
                    </w:rPr>
                    <w:t>3</w:t>
                  </w:r>
                  <w:r>
                    <w:rPr>
                      <w:sz w:val="21"/>
                      <w:lang w:val="zh-CN"/>
                    </w:rPr>
                    <w:t>/a</w:t>
                  </w:r>
                </w:p>
              </w:tc>
              <w:tc>
                <w:tcPr>
                  <w:tcW w:w="349" w:type="pct"/>
                  <w:vMerge w:val="restart"/>
                  <w:vAlign w:val="center"/>
                </w:tcPr>
                <w:p>
                  <w:pPr>
                    <w:adjustRightInd w:val="0"/>
                    <w:snapToGrid w:val="0"/>
                    <w:spacing w:line="240" w:lineRule="auto"/>
                    <w:ind w:firstLine="0" w:firstLineChars="0"/>
                    <w:jc w:val="center"/>
                    <w:rPr>
                      <w:sz w:val="21"/>
                      <w:lang w:val="zh-CN"/>
                    </w:rPr>
                  </w:pPr>
                  <w:r>
                    <w:rPr>
                      <w:sz w:val="21"/>
                      <w:lang w:val="zh-CN"/>
                    </w:rPr>
                    <w:t>污染物种类</w:t>
                  </w:r>
                </w:p>
              </w:tc>
              <w:tc>
                <w:tcPr>
                  <w:tcW w:w="356" w:type="pct"/>
                  <w:vMerge w:val="restart"/>
                  <w:vAlign w:val="center"/>
                </w:tcPr>
                <w:p>
                  <w:pPr>
                    <w:adjustRightInd w:val="0"/>
                    <w:snapToGrid w:val="0"/>
                    <w:spacing w:line="240" w:lineRule="auto"/>
                    <w:ind w:firstLine="0" w:firstLineChars="0"/>
                    <w:jc w:val="center"/>
                    <w:rPr>
                      <w:sz w:val="21"/>
                      <w:lang w:val="zh-CN"/>
                    </w:rPr>
                  </w:pPr>
                  <w:r>
                    <w:rPr>
                      <w:sz w:val="21"/>
                      <w:lang w:val="zh-CN"/>
                    </w:rPr>
                    <w:t>产生浓度mg/L</w:t>
                  </w:r>
                </w:p>
              </w:tc>
              <w:tc>
                <w:tcPr>
                  <w:tcW w:w="407" w:type="pct"/>
                  <w:vMerge w:val="restart"/>
                  <w:vAlign w:val="center"/>
                </w:tcPr>
                <w:p>
                  <w:pPr>
                    <w:adjustRightInd w:val="0"/>
                    <w:snapToGrid w:val="0"/>
                    <w:spacing w:line="240" w:lineRule="auto"/>
                    <w:ind w:firstLine="0" w:firstLineChars="0"/>
                    <w:jc w:val="center"/>
                    <w:rPr>
                      <w:sz w:val="21"/>
                      <w:lang w:val="zh-CN"/>
                    </w:rPr>
                  </w:pPr>
                  <w:r>
                    <w:rPr>
                      <w:sz w:val="21"/>
                      <w:lang w:val="zh-CN"/>
                    </w:rPr>
                    <w:t>产生量t/a</w:t>
                  </w:r>
                </w:p>
              </w:tc>
              <w:tc>
                <w:tcPr>
                  <w:tcW w:w="1781" w:type="pct"/>
                  <w:gridSpan w:val="3"/>
                  <w:vAlign w:val="center"/>
                </w:tcPr>
                <w:p>
                  <w:pPr>
                    <w:adjustRightInd w:val="0"/>
                    <w:snapToGrid w:val="0"/>
                    <w:spacing w:line="240" w:lineRule="auto"/>
                    <w:ind w:firstLine="0" w:firstLineChars="0"/>
                    <w:jc w:val="center"/>
                    <w:rPr>
                      <w:sz w:val="21"/>
                      <w:lang w:val="zh-CN"/>
                    </w:rPr>
                  </w:pPr>
                  <w:r>
                    <w:rPr>
                      <w:sz w:val="21"/>
                      <w:lang w:val="zh-CN"/>
                    </w:rPr>
                    <w:t>污染治理设施</w:t>
                  </w:r>
                </w:p>
              </w:tc>
              <w:tc>
                <w:tcPr>
                  <w:tcW w:w="255" w:type="pct"/>
                  <w:vMerge w:val="restart"/>
                  <w:vAlign w:val="center"/>
                </w:tcPr>
                <w:p>
                  <w:pPr>
                    <w:adjustRightInd w:val="0"/>
                    <w:snapToGrid w:val="0"/>
                    <w:spacing w:line="240" w:lineRule="auto"/>
                    <w:ind w:firstLine="0" w:firstLineChars="0"/>
                    <w:jc w:val="center"/>
                    <w:rPr>
                      <w:sz w:val="21"/>
                      <w:lang w:val="zh-CN"/>
                    </w:rPr>
                  </w:pPr>
                  <w:r>
                    <w:rPr>
                      <w:sz w:val="21"/>
                      <w:lang w:val="zh-CN"/>
                    </w:rPr>
                    <w:t>排放方式</w:t>
                  </w:r>
                </w:p>
              </w:tc>
              <w:tc>
                <w:tcPr>
                  <w:tcW w:w="356" w:type="pct"/>
                  <w:vMerge w:val="restart"/>
                  <w:vAlign w:val="center"/>
                </w:tcPr>
                <w:p>
                  <w:pPr>
                    <w:adjustRightInd w:val="0"/>
                    <w:snapToGrid w:val="0"/>
                    <w:spacing w:line="240" w:lineRule="auto"/>
                    <w:ind w:firstLine="0" w:firstLineChars="0"/>
                    <w:jc w:val="center"/>
                    <w:rPr>
                      <w:sz w:val="21"/>
                      <w:lang w:val="zh-CN"/>
                    </w:rPr>
                  </w:pPr>
                  <w:r>
                    <w:rPr>
                      <w:sz w:val="21"/>
                      <w:lang w:val="zh-CN"/>
                    </w:rPr>
                    <w:t>排放口编号</w:t>
                  </w:r>
                </w:p>
              </w:tc>
              <w:tc>
                <w:tcPr>
                  <w:tcW w:w="458" w:type="pct"/>
                  <w:vMerge w:val="restart"/>
                  <w:vAlign w:val="center"/>
                </w:tcPr>
                <w:p>
                  <w:pPr>
                    <w:adjustRightInd w:val="0"/>
                    <w:snapToGrid w:val="0"/>
                    <w:spacing w:line="240" w:lineRule="auto"/>
                    <w:ind w:firstLine="0" w:firstLineChars="0"/>
                    <w:jc w:val="center"/>
                    <w:rPr>
                      <w:sz w:val="21"/>
                      <w:lang w:val="zh-CN"/>
                    </w:rPr>
                  </w:pPr>
                  <w:r>
                    <w:rPr>
                      <w:sz w:val="21"/>
                      <w:lang w:val="zh-CN"/>
                    </w:rPr>
                    <w:t>排放口排放浓度mg/L</w:t>
                  </w:r>
                </w:p>
              </w:tc>
              <w:tc>
                <w:tcPr>
                  <w:tcW w:w="374" w:type="pct"/>
                  <w:vMerge w:val="restart"/>
                  <w:vAlign w:val="center"/>
                </w:tcPr>
                <w:p>
                  <w:pPr>
                    <w:adjustRightInd w:val="0"/>
                    <w:snapToGrid w:val="0"/>
                    <w:spacing w:line="240" w:lineRule="auto"/>
                    <w:ind w:firstLine="0" w:firstLineChars="0"/>
                    <w:jc w:val="center"/>
                    <w:rPr>
                      <w:sz w:val="21"/>
                      <w:lang w:val="zh-CN"/>
                    </w:rPr>
                  </w:pPr>
                  <w:r>
                    <w:rPr>
                      <w:sz w:val="21"/>
                      <w:lang w:val="zh-CN"/>
                    </w:rPr>
                    <w:t>排放口排放量t/a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4" w:hRule="atLeast"/>
              </w:trPr>
              <w:tc>
                <w:tcPr>
                  <w:tcW w:w="153" w:type="pct"/>
                  <w:vMerge w:val="continue"/>
                  <w:vAlign w:val="center"/>
                </w:tcPr>
                <w:p>
                  <w:pPr>
                    <w:adjustRightInd w:val="0"/>
                    <w:snapToGrid w:val="0"/>
                    <w:spacing w:line="240" w:lineRule="auto"/>
                    <w:ind w:firstLine="0" w:firstLineChars="0"/>
                    <w:jc w:val="center"/>
                    <w:rPr>
                      <w:sz w:val="21"/>
                      <w:lang w:val="zh-CN"/>
                    </w:rPr>
                  </w:pPr>
                </w:p>
              </w:tc>
              <w:tc>
                <w:tcPr>
                  <w:tcW w:w="263" w:type="pct"/>
                  <w:vMerge w:val="continue"/>
                  <w:vAlign w:val="center"/>
                </w:tcPr>
                <w:p>
                  <w:pPr>
                    <w:adjustRightInd w:val="0"/>
                    <w:snapToGrid w:val="0"/>
                    <w:spacing w:line="240" w:lineRule="auto"/>
                    <w:ind w:firstLine="0" w:firstLineChars="0"/>
                    <w:jc w:val="center"/>
                    <w:rPr>
                      <w:sz w:val="21"/>
                      <w:lang w:val="zh-CN"/>
                    </w:rPr>
                  </w:pPr>
                </w:p>
              </w:tc>
              <w:tc>
                <w:tcPr>
                  <w:tcW w:w="247" w:type="pct"/>
                  <w:vMerge w:val="continue"/>
                  <w:vAlign w:val="center"/>
                </w:tcPr>
                <w:p>
                  <w:pPr>
                    <w:adjustRightInd w:val="0"/>
                    <w:snapToGrid w:val="0"/>
                    <w:spacing w:line="240" w:lineRule="auto"/>
                    <w:ind w:firstLine="0" w:firstLineChars="0"/>
                    <w:jc w:val="center"/>
                    <w:rPr>
                      <w:sz w:val="21"/>
                      <w:lang w:val="zh-CN"/>
                    </w:rPr>
                  </w:pPr>
                </w:p>
              </w:tc>
              <w:tc>
                <w:tcPr>
                  <w:tcW w:w="349"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1018" w:type="pct"/>
                  <w:vAlign w:val="center"/>
                </w:tcPr>
                <w:p>
                  <w:pPr>
                    <w:adjustRightInd w:val="0"/>
                    <w:snapToGrid w:val="0"/>
                    <w:spacing w:line="240" w:lineRule="auto"/>
                    <w:ind w:firstLine="0" w:firstLineChars="0"/>
                    <w:jc w:val="center"/>
                    <w:rPr>
                      <w:sz w:val="21"/>
                      <w:lang w:val="zh-CN"/>
                    </w:rPr>
                  </w:pPr>
                  <w:r>
                    <w:rPr>
                      <w:sz w:val="21"/>
                      <w:lang w:val="zh-CN"/>
                    </w:rPr>
                    <w:t>治理工艺</w:t>
                  </w:r>
                </w:p>
              </w:tc>
              <w:tc>
                <w:tcPr>
                  <w:tcW w:w="356" w:type="pct"/>
                  <w:vAlign w:val="center"/>
                </w:tcPr>
                <w:p>
                  <w:pPr>
                    <w:adjustRightInd w:val="0"/>
                    <w:snapToGrid w:val="0"/>
                    <w:spacing w:line="240" w:lineRule="auto"/>
                    <w:ind w:firstLine="0" w:firstLineChars="0"/>
                    <w:jc w:val="center"/>
                    <w:rPr>
                      <w:sz w:val="21"/>
                      <w:lang w:val="zh-CN"/>
                    </w:rPr>
                  </w:pPr>
                  <w:r>
                    <w:rPr>
                      <w:sz w:val="21"/>
                      <w:lang w:val="zh-CN"/>
                    </w:rPr>
                    <w:t>处理能力m</w:t>
                  </w:r>
                  <w:r>
                    <w:rPr>
                      <w:sz w:val="21"/>
                      <w:vertAlign w:val="superscript"/>
                      <w:lang w:val="zh-CN"/>
                    </w:rPr>
                    <w:t>3</w:t>
                  </w:r>
                  <w:r>
                    <w:rPr>
                      <w:sz w:val="21"/>
                      <w:lang w:val="zh-CN"/>
                    </w:rPr>
                    <w:t>/d</w:t>
                  </w:r>
                </w:p>
              </w:tc>
              <w:tc>
                <w:tcPr>
                  <w:tcW w:w="407" w:type="pct"/>
                  <w:vAlign w:val="center"/>
                </w:tcPr>
                <w:p>
                  <w:pPr>
                    <w:adjustRightInd w:val="0"/>
                    <w:snapToGrid w:val="0"/>
                    <w:spacing w:line="240" w:lineRule="auto"/>
                    <w:ind w:firstLine="0" w:firstLineChars="0"/>
                    <w:jc w:val="center"/>
                    <w:rPr>
                      <w:sz w:val="21"/>
                      <w:lang w:val="zh-CN"/>
                    </w:rPr>
                  </w:pPr>
                  <w:r>
                    <w:rPr>
                      <w:sz w:val="21"/>
                      <w:lang w:val="zh-CN"/>
                    </w:rPr>
                    <w:t>是否为技术可行</w:t>
                  </w: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Merge w:val="continue"/>
                  <w:vAlign w:val="center"/>
                </w:tcPr>
                <w:p>
                  <w:pPr>
                    <w:adjustRightInd w:val="0"/>
                    <w:snapToGrid w:val="0"/>
                    <w:spacing w:line="240" w:lineRule="auto"/>
                    <w:ind w:firstLine="0" w:firstLineChars="0"/>
                    <w:jc w:val="center"/>
                    <w:rPr>
                      <w:sz w:val="21"/>
                      <w:lang w:val="zh-CN"/>
                    </w:rPr>
                  </w:pPr>
                </w:p>
              </w:tc>
              <w:tc>
                <w:tcPr>
                  <w:tcW w:w="374" w:type="pct"/>
                  <w:vMerge w:val="continue"/>
                  <w:vAlign w:val="center"/>
                </w:tcPr>
                <w:p>
                  <w:pPr>
                    <w:adjustRightInd w:val="0"/>
                    <w:snapToGrid w:val="0"/>
                    <w:spacing w:line="240" w:lineRule="auto"/>
                    <w:ind w:firstLine="0" w:firstLineChars="0"/>
                    <w:jc w:val="center"/>
                    <w:rPr>
                      <w:sz w:val="21"/>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restart"/>
                  <w:vAlign w:val="center"/>
                </w:tcPr>
                <w:p>
                  <w:pPr>
                    <w:adjustRightInd w:val="0"/>
                    <w:snapToGrid w:val="0"/>
                    <w:spacing w:line="240" w:lineRule="auto"/>
                    <w:ind w:firstLine="0" w:firstLineChars="0"/>
                    <w:jc w:val="center"/>
                    <w:rPr>
                      <w:sz w:val="21"/>
                      <w:lang w:val="zh-CN"/>
                    </w:rPr>
                  </w:pPr>
                  <w:r>
                    <w:rPr>
                      <w:rFonts w:hint="eastAsia"/>
                      <w:sz w:val="21"/>
                      <w:lang w:val="zh-CN"/>
                    </w:rPr>
                    <w:t>1</w:t>
                  </w:r>
                </w:p>
              </w:tc>
              <w:tc>
                <w:tcPr>
                  <w:tcW w:w="263" w:type="pct"/>
                  <w:vMerge w:val="restart"/>
                  <w:vAlign w:val="center"/>
                </w:tcPr>
                <w:p>
                  <w:pPr>
                    <w:adjustRightInd w:val="0"/>
                    <w:snapToGrid w:val="0"/>
                    <w:spacing w:line="240" w:lineRule="auto"/>
                    <w:ind w:firstLine="0" w:firstLineChars="0"/>
                    <w:jc w:val="center"/>
                    <w:rPr>
                      <w:sz w:val="21"/>
                      <w:lang w:val="zh-CN"/>
                    </w:rPr>
                  </w:pPr>
                  <w:r>
                    <w:rPr>
                      <w:rFonts w:hint="eastAsia"/>
                      <w:sz w:val="21"/>
                    </w:rPr>
                    <w:t>卤制</w:t>
                  </w:r>
                  <w:r>
                    <w:rPr>
                      <w:sz w:val="21"/>
                    </w:rPr>
                    <w:t>废水</w:t>
                  </w:r>
                </w:p>
              </w:tc>
              <w:tc>
                <w:tcPr>
                  <w:tcW w:w="247" w:type="pct"/>
                  <w:vMerge w:val="restart"/>
                  <w:vAlign w:val="center"/>
                </w:tcPr>
                <w:p>
                  <w:pPr>
                    <w:adjustRightInd w:val="0"/>
                    <w:snapToGrid w:val="0"/>
                    <w:spacing w:line="240" w:lineRule="auto"/>
                    <w:ind w:firstLine="0" w:firstLineChars="0"/>
                    <w:jc w:val="center"/>
                    <w:rPr>
                      <w:sz w:val="21"/>
                      <w:lang w:val="zh-CN"/>
                    </w:rPr>
                  </w:pPr>
                  <w:r>
                    <w:rPr>
                      <w:sz w:val="21"/>
                      <w:lang w:val="zh-CN"/>
                    </w:rPr>
                    <w:t>2.7</w:t>
                  </w:r>
                </w:p>
              </w:tc>
              <w:tc>
                <w:tcPr>
                  <w:tcW w:w="349" w:type="pct"/>
                  <w:vAlign w:val="center"/>
                </w:tcPr>
                <w:p>
                  <w:pPr>
                    <w:adjustRightInd w:val="0"/>
                    <w:snapToGrid w:val="0"/>
                    <w:spacing w:line="240" w:lineRule="auto"/>
                    <w:ind w:firstLine="0" w:firstLineChars="0"/>
                    <w:jc w:val="center"/>
                    <w:rPr>
                      <w:sz w:val="21"/>
                      <w:lang w:val="zh-CN"/>
                    </w:rPr>
                  </w:pPr>
                  <w:r>
                    <w:rPr>
                      <w:sz w:val="21"/>
                      <w:lang w:val="zh-CN"/>
                    </w:rPr>
                    <w:t>COD</w:t>
                  </w:r>
                </w:p>
              </w:tc>
              <w:tc>
                <w:tcPr>
                  <w:tcW w:w="356" w:type="pct"/>
                  <w:vAlign w:val="center"/>
                </w:tcPr>
                <w:p>
                  <w:pPr>
                    <w:adjustRightInd w:val="0"/>
                    <w:snapToGrid w:val="0"/>
                    <w:spacing w:line="240" w:lineRule="auto"/>
                    <w:ind w:firstLine="0" w:firstLineChars="0"/>
                    <w:jc w:val="center"/>
                    <w:rPr>
                      <w:sz w:val="21"/>
                      <w:lang w:val="zh-CN"/>
                    </w:rPr>
                  </w:pPr>
                  <w:r>
                    <w:rPr>
                      <w:sz w:val="21"/>
                      <w:lang w:val="zh-CN"/>
                    </w:rPr>
                    <w:t>2000</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0.0054</w:t>
                  </w:r>
                </w:p>
              </w:tc>
              <w:tc>
                <w:tcPr>
                  <w:tcW w:w="1018" w:type="pct"/>
                  <w:vMerge w:val="restart"/>
                  <w:tcBorders>
                    <w:top w:val="single" w:color="auto" w:sz="4" w:space="0"/>
                  </w:tcBorders>
                  <w:vAlign w:val="center"/>
                </w:tcPr>
                <w:p>
                  <w:pPr>
                    <w:adjustRightInd w:val="0"/>
                    <w:snapToGrid w:val="0"/>
                    <w:spacing w:line="240" w:lineRule="auto"/>
                    <w:ind w:firstLine="0" w:firstLineChars="0"/>
                    <w:jc w:val="center"/>
                    <w:rPr>
                      <w:sz w:val="21"/>
                      <w:lang w:val="zh-CN"/>
                    </w:rPr>
                  </w:pPr>
                  <w:r>
                    <w:rPr>
                      <w:rFonts w:hint="eastAsia"/>
                      <w:sz w:val="21"/>
                      <w:lang w:val="zh-CN"/>
                    </w:rPr>
                    <w:t>/</w:t>
                  </w:r>
                </w:p>
              </w:tc>
              <w:tc>
                <w:tcPr>
                  <w:tcW w:w="356" w:type="pct"/>
                  <w:vMerge w:val="restart"/>
                  <w:tcBorders>
                    <w:top w:val="single" w:color="auto" w:sz="4" w:space="0"/>
                  </w:tcBorders>
                  <w:vAlign w:val="center"/>
                </w:tcPr>
                <w:p>
                  <w:pPr>
                    <w:adjustRightInd w:val="0"/>
                    <w:snapToGrid w:val="0"/>
                    <w:spacing w:line="240" w:lineRule="auto"/>
                    <w:ind w:firstLine="0" w:firstLineChars="0"/>
                    <w:jc w:val="center"/>
                    <w:rPr>
                      <w:sz w:val="21"/>
                      <w:lang w:val="zh-CN"/>
                    </w:rPr>
                  </w:pPr>
                  <w:r>
                    <w:rPr>
                      <w:rFonts w:hint="eastAsia"/>
                      <w:sz w:val="21"/>
                      <w:lang w:val="zh-CN"/>
                    </w:rPr>
                    <w:t>/</w:t>
                  </w:r>
                </w:p>
              </w:tc>
              <w:tc>
                <w:tcPr>
                  <w:tcW w:w="407" w:type="pct"/>
                  <w:vMerge w:val="restart"/>
                  <w:tcBorders>
                    <w:top w:val="single" w:color="auto" w:sz="4" w:space="0"/>
                  </w:tcBorders>
                  <w:vAlign w:val="center"/>
                </w:tcPr>
                <w:p>
                  <w:pPr>
                    <w:adjustRightInd w:val="0"/>
                    <w:snapToGrid w:val="0"/>
                    <w:spacing w:line="240" w:lineRule="auto"/>
                    <w:ind w:firstLine="0" w:firstLineChars="0"/>
                    <w:jc w:val="center"/>
                    <w:rPr>
                      <w:sz w:val="21"/>
                      <w:lang w:val="zh-CN"/>
                    </w:rPr>
                  </w:pPr>
                  <w:r>
                    <w:rPr>
                      <w:rFonts w:hint="eastAsia"/>
                      <w:sz w:val="21"/>
                      <w:lang w:val="zh-CN"/>
                    </w:rPr>
                    <w:t>/</w:t>
                  </w:r>
                </w:p>
              </w:tc>
              <w:tc>
                <w:tcPr>
                  <w:tcW w:w="255" w:type="pct"/>
                  <w:vMerge w:val="restart"/>
                  <w:tcBorders>
                    <w:top w:val="single" w:color="auto" w:sz="4" w:space="0"/>
                  </w:tcBorders>
                  <w:vAlign w:val="center"/>
                </w:tcPr>
                <w:p>
                  <w:pPr>
                    <w:adjustRightInd w:val="0"/>
                    <w:snapToGrid w:val="0"/>
                    <w:spacing w:line="240" w:lineRule="auto"/>
                    <w:ind w:firstLine="0" w:firstLineChars="0"/>
                    <w:jc w:val="center"/>
                    <w:rPr>
                      <w:sz w:val="21"/>
                      <w:lang w:val="zh-CN"/>
                    </w:rPr>
                  </w:pPr>
                  <w:r>
                    <w:rPr>
                      <w:rFonts w:hint="eastAsia"/>
                      <w:sz w:val="21"/>
                      <w:lang w:val="zh-CN"/>
                    </w:rPr>
                    <w:t>/</w:t>
                  </w:r>
                </w:p>
              </w:tc>
              <w:tc>
                <w:tcPr>
                  <w:tcW w:w="356" w:type="pct"/>
                  <w:vMerge w:val="restart"/>
                  <w:tcBorders>
                    <w:top w:val="single" w:color="auto" w:sz="4" w:space="0"/>
                  </w:tcBorders>
                  <w:vAlign w:val="center"/>
                </w:tcPr>
                <w:p>
                  <w:pPr>
                    <w:adjustRightInd w:val="0"/>
                    <w:snapToGrid w:val="0"/>
                    <w:spacing w:line="240" w:lineRule="auto"/>
                    <w:ind w:firstLine="0" w:firstLineChars="0"/>
                    <w:jc w:val="center"/>
                    <w:rPr>
                      <w:sz w:val="21"/>
                      <w:lang w:val="zh-CN"/>
                    </w:rPr>
                  </w:pPr>
                  <w:r>
                    <w:rPr>
                      <w:rFonts w:hint="eastAsia"/>
                      <w:sz w:val="21"/>
                      <w:lang w:val="zh-CN"/>
                    </w:rPr>
                    <w:t>/</w:t>
                  </w:r>
                </w:p>
              </w:tc>
              <w:tc>
                <w:tcPr>
                  <w:tcW w:w="458" w:type="pct"/>
                  <w:tcBorders>
                    <w:top w:val="single" w:color="auto" w:sz="4" w:space="0"/>
                  </w:tcBorders>
                  <w:vAlign w:val="center"/>
                </w:tcPr>
                <w:p>
                  <w:pPr>
                    <w:adjustRightInd w:val="0"/>
                    <w:snapToGrid w:val="0"/>
                    <w:spacing w:line="240" w:lineRule="auto"/>
                    <w:ind w:firstLine="0" w:firstLineChars="0"/>
                    <w:jc w:val="center"/>
                    <w:rPr>
                      <w:sz w:val="21"/>
                      <w:lang w:val="zh-CN"/>
                    </w:rPr>
                  </w:pPr>
                  <w:r>
                    <w:rPr>
                      <w:rFonts w:hint="eastAsia"/>
                      <w:sz w:val="21"/>
                      <w:lang w:val="zh-CN"/>
                    </w:rPr>
                    <w:t>/</w:t>
                  </w:r>
                </w:p>
              </w:tc>
              <w:tc>
                <w:tcPr>
                  <w:tcW w:w="374" w:type="pct"/>
                  <w:tcBorders>
                    <w:top w:val="single" w:color="auto" w:sz="4" w:space="0"/>
                  </w:tcBorders>
                  <w:vAlign w:val="center"/>
                </w:tcPr>
                <w:p>
                  <w:pPr>
                    <w:adjustRightInd w:val="0"/>
                    <w:snapToGrid w:val="0"/>
                    <w:spacing w:line="240" w:lineRule="auto"/>
                    <w:ind w:firstLine="0" w:firstLineChars="0"/>
                    <w:jc w:val="center"/>
                    <w:rPr>
                      <w:sz w:val="21"/>
                      <w:lang w:val="zh-CN"/>
                    </w:rPr>
                  </w:pPr>
                  <w:r>
                    <w:rPr>
                      <w:rFonts w:hint="eastAsia"/>
                      <w:sz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continue"/>
                  <w:vAlign w:val="center"/>
                </w:tcPr>
                <w:p>
                  <w:pPr>
                    <w:adjustRightInd w:val="0"/>
                    <w:snapToGrid w:val="0"/>
                    <w:spacing w:line="240" w:lineRule="auto"/>
                    <w:ind w:firstLine="0" w:firstLineChars="0"/>
                    <w:jc w:val="center"/>
                    <w:rPr>
                      <w:sz w:val="21"/>
                      <w:lang w:val="zh-CN"/>
                    </w:rPr>
                  </w:pPr>
                </w:p>
              </w:tc>
              <w:tc>
                <w:tcPr>
                  <w:tcW w:w="263" w:type="pct"/>
                  <w:vMerge w:val="continue"/>
                  <w:vAlign w:val="center"/>
                </w:tcPr>
                <w:p>
                  <w:pPr>
                    <w:adjustRightInd w:val="0"/>
                    <w:snapToGrid w:val="0"/>
                    <w:spacing w:line="240" w:lineRule="auto"/>
                    <w:ind w:firstLine="0" w:firstLineChars="0"/>
                    <w:jc w:val="center"/>
                    <w:rPr>
                      <w:sz w:val="21"/>
                      <w:lang w:val="zh-CN"/>
                    </w:rPr>
                  </w:pPr>
                </w:p>
              </w:tc>
              <w:tc>
                <w:tcPr>
                  <w:tcW w:w="247" w:type="pct"/>
                  <w:vMerge w:val="continue"/>
                  <w:vAlign w:val="center"/>
                </w:tcPr>
                <w:p>
                  <w:pPr>
                    <w:adjustRightInd w:val="0"/>
                    <w:snapToGrid w:val="0"/>
                    <w:spacing w:line="240" w:lineRule="auto"/>
                    <w:ind w:firstLine="0" w:firstLineChars="0"/>
                    <w:jc w:val="center"/>
                    <w:rPr>
                      <w:sz w:val="21"/>
                      <w:lang w:val="zh-CN"/>
                    </w:rPr>
                  </w:pPr>
                </w:p>
              </w:tc>
              <w:tc>
                <w:tcPr>
                  <w:tcW w:w="349" w:type="pct"/>
                  <w:vAlign w:val="center"/>
                </w:tcPr>
                <w:p>
                  <w:pPr>
                    <w:adjustRightInd w:val="0"/>
                    <w:snapToGrid w:val="0"/>
                    <w:spacing w:line="240" w:lineRule="auto"/>
                    <w:ind w:firstLine="0" w:firstLineChars="0"/>
                    <w:jc w:val="center"/>
                    <w:rPr>
                      <w:sz w:val="21"/>
                      <w:lang w:val="zh-CN"/>
                    </w:rPr>
                  </w:pPr>
                  <w:r>
                    <w:rPr>
                      <w:sz w:val="21"/>
                      <w:lang w:val="zh-CN"/>
                    </w:rPr>
                    <w:t>BOD</w:t>
                  </w:r>
                  <w:r>
                    <w:rPr>
                      <w:sz w:val="21"/>
                      <w:vertAlign w:val="subscript"/>
                      <w:lang w:val="zh-CN"/>
                    </w:rPr>
                    <w:t>5</w:t>
                  </w:r>
                </w:p>
              </w:tc>
              <w:tc>
                <w:tcPr>
                  <w:tcW w:w="356" w:type="pct"/>
                  <w:vAlign w:val="center"/>
                </w:tcPr>
                <w:p>
                  <w:pPr>
                    <w:adjustRightInd w:val="0"/>
                    <w:snapToGrid w:val="0"/>
                    <w:spacing w:line="240" w:lineRule="auto"/>
                    <w:ind w:firstLine="0" w:firstLineChars="0"/>
                    <w:jc w:val="center"/>
                    <w:rPr>
                      <w:sz w:val="21"/>
                      <w:lang w:val="zh-CN"/>
                    </w:rPr>
                  </w:pPr>
                  <w:r>
                    <w:rPr>
                      <w:sz w:val="21"/>
                      <w:lang w:val="zh-CN"/>
                    </w:rPr>
                    <w:t>1500</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0.0041</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c>
                <w:tcPr>
                  <w:tcW w:w="374"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continue"/>
                  <w:vAlign w:val="center"/>
                </w:tcPr>
                <w:p>
                  <w:pPr>
                    <w:adjustRightInd w:val="0"/>
                    <w:snapToGrid w:val="0"/>
                    <w:spacing w:line="240" w:lineRule="auto"/>
                    <w:ind w:firstLine="0" w:firstLineChars="0"/>
                    <w:jc w:val="center"/>
                    <w:rPr>
                      <w:sz w:val="21"/>
                      <w:lang w:val="zh-CN"/>
                    </w:rPr>
                  </w:pPr>
                </w:p>
              </w:tc>
              <w:tc>
                <w:tcPr>
                  <w:tcW w:w="263" w:type="pct"/>
                  <w:vMerge w:val="continue"/>
                  <w:vAlign w:val="center"/>
                </w:tcPr>
                <w:p>
                  <w:pPr>
                    <w:adjustRightInd w:val="0"/>
                    <w:snapToGrid w:val="0"/>
                    <w:spacing w:line="240" w:lineRule="auto"/>
                    <w:ind w:firstLine="0" w:firstLineChars="0"/>
                    <w:jc w:val="center"/>
                    <w:rPr>
                      <w:sz w:val="21"/>
                      <w:lang w:val="zh-CN"/>
                    </w:rPr>
                  </w:pPr>
                </w:p>
              </w:tc>
              <w:tc>
                <w:tcPr>
                  <w:tcW w:w="247" w:type="pct"/>
                  <w:vMerge w:val="continue"/>
                  <w:vAlign w:val="center"/>
                </w:tcPr>
                <w:p>
                  <w:pPr>
                    <w:adjustRightInd w:val="0"/>
                    <w:snapToGrid w:val="0"/>
                    <w:spacing w:line="240" w:lineRule="auto"/>
                    <w:ind w:firstLine="0" w:firstLineChars="0"/>
                    <w:jc w:val="center"/>
                    <w:rPr>
                      <w:sz w:val="21"/>
                      <w:lang w:val="zh-CN"/>
                    </w:rPr>
                  </w:pPr>
                </w:p>
              </w:tc>
              <w:tc>
                <w:tcPr>
                  <w:tcW w:w="349" w:type="pct"/>
                  <w:vAlign w:val="center"/>
                </w:tcPr>
                <w:p>
                  <w:pPr>
                    <w:adjustRightInd w:val="0"/>
                    <w:snapToGrid w:val="0"/>
                    <w:spacing w:line="240" w:lineRule="auto"/>
                    <w:ind w:firstLine="0" w:firstLineChars="0"/>
                    <w:jc w:val="center"/>
                    <w:rPr>
                      <w:sz w:val="21"/>
                      <w:lang w:val="zh-CN"/>
                    </w:rPr>
                  </w:pPr>
                  <w:r>
                    <w:rPr>
                      <w:sz w:val="21"/>
                      <w:lang w:val="zh-CN"/>
                    </w:rPr>
                    <w:t>SS</w:t>
                  </w:r>
                </w:p>
              </w:tc>
              <w:tc>
                <w:tcPr>
                  <w:tcW w:w="356" w:type="pct"/>
                  <w:vAlign w:val="center"/>
                </w:tcPr>
                <w:p>
                  <w:pPr>
                    <w:adjustRightInd w:val="0"/>
                    <w:snapToGrid w:val="0"/>
                    <w:spacing w:line="240" w:lineRule="auto"/>
                    <w:ind w:firstLine="0" w:firstLineChars="0"/>
                    <w:jc w:val="center"/>
                    <w:rPr>
                      <w:sz w:val="21"/>
                      <w:lang w:val="zh-CN"/>
                    </w:rPr>
                  </w:pPr>
                  <w:r>
                    <w:rPr>
                      <w:sz w:val="21"/>
                      <w:lang w:val="zh-CN"/>
                    </w:rPr>
                    <w:t>1000</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0.0027</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c>
                <w:tcPr>
                  <w:tcW w:w="374"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continue"/>
                  <w:vAlign w:val="center"/>
                </w:tcPr>
                <w:p>
                  <w:pPr>
                    <w:adjustRightInd w:val="0"/>
                    <w:snapToGrid w:val="0"/>
                    <w:spacing w:line="240" w:lineRule="auto"/>
                    <w:ind w:firstLine="0" w:firstLineChars="0"/>
                    <w:jc w:val="center"/>
                    <w:rPr>
                      <w:sz w:val="21"/>
                      <w:lang w:val="zh-CN"/>
                    </w:rPr>
                  </w:pPr>
                </w:p>
              </w:tc>
              <w:tc>
                <w:tcPr>
                  <w:tcW w:w="263" w:type="pct"/>
                  <w:vMerge w:val="continue"/>
                  <w:vAlign w:val="center"/>
                </w:tcPr>
                <w:p>
                  <w:pPr>
                    <w:adjustRightInd w:val="0"/>
                    <w:snapToGrid w:val="0"/>
                    <w:spacing w:line="240" w:lineRule="auto"/>
                    <w:ind w:firstLine="0" w:firstLineChars="0"/>
                    <w:jc w:val="center"/>
                    <w:rPr>
                      <w:sz w:val="21"/>
                      <w:lang w:val="zh-CN"/>
                    </w:rPr>
                  </w:pPr>
                </w:p>
              </w:tc>
              <w:tc>
                <w:tcPr>
                  <w:tcW w:w="247" w:type="pct"/>
                  <w:vMerge w:val="continue"/>
                  <w:vAlign w:val="center"/>
                </w:tcPr>
                <w:p>
                  <w:pPr>
                    <w:adjustRightInd w:val="0"/>
                    <w:snapToGrid w:val="0"/>
                    <w:spacing w:line="240" w:lineRule="auto"/>
                    <w:ind w:firstLine="0" w:firstLineChars="0"/>
                    <w:jc w:val="center"/>
                    <w:rPr>
                      <w:sz w:val="21"/>
                      <w:lang w:val="zh-CN"/>
                    </w:rPr>
                  </w:pPr>
                </w:p>
              </w:tc>
              <w:tc>
                <w:tcPr>
                  <w:tcW w:w="349" w:type="pct"/>
                  <w:vAlign w:val="center"/>
                </w:tcPr>
                <w:p>
                  <w:pPr>
                    <w:adjustRightInd w:val="0"/>
                    <w:snapToGrid w:val="0"/>
                    <w:spacing w:line="240" w:lineRule="auto"/>
                    <w:ind w:firstLine="0" w:firstLineChars="0"/>
                    <w:jc w:val="center"/>
                    <w:rPr>
                      <w:sz w:val="21"/>
                      <w:lang w:val="zh-CN"/>
                    </w:rPr>
                  </w:pPr>
                  <w:r>
                    <w:rPr>
                      <w:sz w:val="21"/>
                      <w:lang w:val="zh-CN"/>
                    </w:rPr>
                    <w:t>NH</w:t>
                  </w:r>
                  <w:r>
                    <w:rPr>
                      <w:sz w:val="21"/>
                      <w:vertAlign w:val="subscript"/>
                      <w:lang w:val="zh-CN"/>
                    </w:rPr>
                    <w:t>3</w:t>
                  </w:r>
                  <w:r>
                    <w:rPr>
                      <w:sz w:val="21"/>
                      <w:lang w:val="zh-CN"/>
                    </w:rPr>
                    <w:t>-N</w:t>
                  </w:r>
                </w:p>
              </w:tc>
              <w:tc>
                <w:tcPr>
                  <w:tcW w:w="356" w:type="pct"/>
                  <w:vAlign w:val="center"/>
                </w:tcPr>
                <w:p>
                  <w:pPr>
                    <w:adjustRightInd w:val="0"/>
                    <w:snapToGrid w:val="0"/>
                    <w:spacing w:line="240" w:lineRule="auto"/>
                    <w:ind w:firstLine="0" w:firstLineChars="0"/>
                    <w:jc w:val="center"/>
                    <w:rPr>
                      <w:sz w:val="21"/>
                      <w:lang w:val="zh-CN"/>
                    </w:rPr>
                  </w:pPr>
                  <w:r>
                    <w:rPr>
                      <w:sz w:val="21"/>
                      <w:lang w:val="zh-CN"/>
                    </w:rPr>
                    <w:t>60</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0.0002</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c>
                <w:tcPr>
                  <w:tcW w:w="374"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restart"/>
                  <w:tcBorders>
                    <w:top w:val="single" w:color="auto" w:sz="4" w:space="0"/>
                  </w:tcBorders>
                  <w:vAlign w:val="center"/>
                </w:tcPr>
                <w:p>
                  <w:pPr>
                    <w:adjustRightInd w:val="0"/>
                    <w:snapToGrid w:val="0"/>
                    <w:spacing w:line="240" w:lineRule="auto"/>
                    <w:ind w:firstLine="0" w:firstLineChars="0"/>
                    <w:jc w:val="center"/>
                    <w:rPr>
                      <w:sz w:val="21"/>
                      <w:lang w:val="zh-CN"/>
                    </w:rPr>
                  </w:pPr>
                  <w:r>
                    <w:rPr>
                      <w:rFonts w:hint="eastAsia"/>
                      <w:sz w:val="21"/>
                      <w:lang w:val="zh-CN"/>
                    </w:rPr>
                    <w:t>2</w:t>
                  </w:r>
                </w:p>
              </w:tc>
              <w:tc>
                <w:tcPr>
                  <w:tcW w:w="263" w:type="pct"/>
                  <w:vMerge w:val="restart"/>
                  <w:vAlign w:val="center"/>
                </w:tcPr>
                <w:p>
                  <w:pPr>
                    <w:adjustRightInd w:val="0"/>
                    <w:snapToGrid w:val="0"/>
                    <w:spacing w:line="240" w:lineRule="auto"/>
                    <w:ind w:firstLine="0" w:firstLineChars="0"/>
                    <w:jc w:val="center"/>
                    <w:rPr>
                      <w:sz w:val="21"/>
                      <w:lang w:val="zh-CN"/>
                    </w:rPr>
                  </w:pPr>
                  <w:r>
                    <w:rPr>
                      <w:rFonts w:hint="eastAsia"/>
                      <w:sz w:val="21"/>
                      <w:lang w:val="zh-CN"/>
                    </w:rPr>
                    <w:t>地面清洁</w:t>
                  </w:r>
                  <w:r>
                    <w:rPr>
                      <w:sz w:val="21"/>
                      <w:lang w:val="zh-CN"/>
                    </w:rPr>
                    <w:t>废水</w:t>
                  </w:r>
                </w:p>
              </w:tc>
              <w:tc>
                <w:tcPr>
                  <w:tcW w:w="247" w:type="pct"/>
                  <w:vMerge w:val="restart"/>
                  <w:vAlign w:val="center"/>
                </w:tcPr>
                <w:p>
                  <w:pPr>
                    <w:adjustRightInd w:val="0"/>
                    <w:snapToGrid w:val="0"/>
                    <w:spacing w:line="240" w:lineRule="auto"/>
                    <w:ind w:firstLine="0" w:firstLineChars="0"/>
                    <w:jc w:val="center"/>
                    <w:rPr>
                      <w:sz w:val="21"/>
                      <w:lang w:val="zh-CN"/>
                    </w:rPr>
                  </w:pPr>
                  <w:r>
                    <w:rPr>
                      <w:sz w:val="21"/>
                      <w:lang w:val="zh-CN"/>
                    </w:rPr>
                    <w:t>232.2</w:t>
                  </w:r>
                </w:p>
              </w:tc>
              <w:tc>
                <w:tcPr>
                  <w:tcW w:w="349" w:type="pct"/>
                  <w:vAlign w:val="center"/>
                </w:tcPr>
                <w:p>
                  <w:pPr>
                    <w:adjustRightInd w:val="0"/>
                    <w:snapToGrid w:val="0"/>
                    <w:spacing w:line="240" w:lineRule="auto"/>
                    <w:ind w:firstLine="0" w:firstLineChars="0"/>
                    <w:jc w:val="center"/>
                    <w:rPr>
                      <w:sz w:val="21"/>
                      <w:lang w:val="zh-CN"/>
                    </w:rPr>
                  </w:pPr>
                  <w:r>
                    <w:rPr>
                      <w:rFonts w:hint="eastAsia"/>
                      <w:sz w:val="21"/>
                      <w:lang w:val="zh-CN"/>
                    </w:rPr>
                    <w:t>COD</w:t>
                  </w:r>
                </w:p>
              </w:tc>
              <w:tc>
                <w:tcPr>
                  <w:tcW w:w="356" w:type="pct"/>
                  <w:vAlign w:val="center"/>
                </w:tcPr>
                <w:p>
                  <w:pPr>
                    <w:adjustRightInd w:val="0"/>
                    <w:snapToGrid w:val="0"/>
                    <w:spacing w:line="240" w:lineRule="auto"/>
                    <w:ind w:firstLine="0" w:firstLineChars="0"/>
                    <w:jc w:val="center"/>
                    <w:rPr>
                      <w:sz w:val="21"/>
                      <w:lang w:val="zh-CN"/>
                    </w:rPr>
                  </w:pPr>
                  <w:r>
                    <w:rPr>
                      <w:sz w:val="21"/>
                      <w:lang w:val="zh-CN"/>
                    </w:rPr>
                    <w:t>550</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0.1277</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c>
                <w:tcPr>
                  <w:tcW w:w="374"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continue"/>
                  <w:vAlign w:val="center"/>
                </w:tcPr>
                <w:p>
                  <w:pPr>
                    <w:adjustRightInd w:val="0"/>
                    <w:snapToGrid w:val="0"/>
                    <w:spacing w:line="240" w:lineRule="auto"/>
                    <w:ind w:firstLine="0" w:firstLineChars="0"/>
                    <w:jc w:val="center"/>
                    <w:rPr>
                      <w:sz w:val="21"/>
                      <w:lang w:val="zh-CN"/>
                    </w:rPr>
                  </w:pPr>
                </w:p>
              </w:tc>
              <w:tc>
                <w:tcPr>
                  <w:tcW w:w="263" w:type="pct"/>
                  <w:vMerge w:val="continue"/>
                  <w:vAlign w:val="center"/>
                </w:tcPr>
                <w:p>
                  <w:pPr>
                    <w:adjustRightInd w:val="0"/>
                    <w:snapToGrid w:val="0"/>
                    <w:spacing w:line="240" w:lineRule="auto"/>
                    <w:ind w:firstLine="0" w:firstLineChars="0"/>
                    <w:jc w:val="center"/>
                    <w:rPr>
                      <w:sz w:val="21"/>
                      <w:lang w:val="zh-CN"/>
                    </w:rPr>
                  </w:pPr>
                </w:p>
              </w:tc>
              <w:tc>
                <w:tcPr>
                  <w:tcW w:w="247" w:type="pct"/>
                  <w:vMerge w:val="continue"/>
                  <w:vAlign w:val="center"/>
                </w:tcPr>
                <w:p>
                  <w:pPr>
                    <w:adjustRightInd w:val="0"/>
                    <w:snapToGrid w:val="0"/>
                    <w:spacing w:line="240" w:lineRule="auto"/>
                    <w:ind w:firstLine="0" w:firstLineChars="0"/>
                    <w:jc w:val="center"/>
                    <w:rPr>
                      <w:sz w:val="21"/>
                      <w:lang w:val="zh-CN"/>
                    </w:rPr>
                  </w:pPr>
                </w:p>
              </w:tc>
              <w:tc>
                <w:tcPr>
                  <w:tcW w:w="349" w:type="pct"/>
                  <w:vAlign w:val="center"/>
                </w:tcPr>
                <w:p>
                  <w:pPr>
                    <w:adjustRightInd w:val="0"/>
                    <w:snapToGrid w:val="0"/>
                    <w:spacing w:line="240" w:lineRule="auto"/>
                    <w:ind w:firstLine="0" w:firstLineChars="0"/>
                    <w:jc w:val="center"/>
                    <w:rPr>
                      <w:sz w:val="21"/>
                      <w:lang w:val="zh-CN"/>
                    </w:rPr>
                  </w:pPr>
                  <w:r>
                    <w:rPr>
                      <w:sz w:val="21"/>
                      <w:lang w:val="zh-CN"/>
                    </w:rPr>
                    <w:t>BOD</w:t>
                  </w:r>
                  <w:r>
                    <w:rPr>
                      <w:sz w:val="21"/>
                      <w:vertAlign w:val="subscript"/>
                      <w:lang w:val="zh-CN"/>
                    </w:rPr>
                    <w:t>5</w:t>
                  </w:r>
                </w:p>
              </w:tc>
              <w:tc>
                <w:tcPr>
                  <w:tcW w:w="356" w:type="pct"/>
                  <w:vAlign w:val="center"/>
                </w:tcPr>
                <w:p>
                  <w:pPr>
                    <w:adjustRightInd w:val="0"/>
                    <w:snapToGrid w:val="0"/>
                    <w:spacing w:line="240" w:lineRule="auto"/>
                    <w:ind w:firstLine="0" w:firstLineChars="0"/>
                    <w:jc w:val="center"/>
                    <w:rPr>
                      <w:sz w:val="21"/>
                      <w:lang w:val="zh-CN"/>
                    </w:rPr>
                  </w:pPr>
                  <w:r>
                    <w:rPr>
                      <w:sz w:val="21"/>
                      <w:lang w:val="zh-CN"/>
                    </w:rPr>
                    <w:t>250</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0.0581</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c>
                <w:tcPr>
                  <w:tcW w:w="374"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continue"/>
                  <w:vAlign w:val="center"/>
                </w:tcPr>
                <w:p>
                  <w:pPr>
                    <w:adjustRightInd w:val="0"/>
                    <w:snapToGrid w:val="0"/>
                    <w:spacing w:line="240" w:lineRule="auto"/>
                    <w:ind w:firstLine="0" w:firstLineChars="0"/>
                    <w:jc w:val="center"/>
                    <w:rPr>
                      <w:sz w:val="21"/>
                      <w:lang w:val="zh-CN"/>
                    </w:rPr>
                  </w:pPr>
                </w:p>
              </w:tc>
              <w:tc>
                <w:tcPr>
                  <w:tcW w:w="263" w:type="pct"/>
                  <w:vMerge w:val="continue"/>
                  <w:vAlign w:val="center"/>
                </w:tcPr>
                <w:p>
                  <w:pPr>
                    <w:adjustRightInd w:val="0"/>
                    <w:snapToGrid w:val="0"/>
                    <w:spacing w:line="240" w:lineRule="auto"/>
                    <w:ind w:firstLine="0" w:firstLineChars="0"/>
                    <w:jc w:val="center"/>
                    <w:rPr>
                      <w:sz w:val="21"/>
                      <w:lang w:val="zh-CN"/>
                    </w:rPr>
                  </w:pPr>
                </w:p>
              </w:tc>
              <w:tc>
                <w:tcPr>
                  <w:tcW w:w="247" w:type="pct"/>
                  <w:vMerge w:val="continue"/>
                  <w:vAlign w:val="center"/>
                </w:tcPr>
                <w:p>
                  <w:pPr>
                    <w:adjustRightInd w:val="0"/>
                    <w:snapToGrid w:val="0"/>
                    <w:spacing w:line="240" w:lineRule="auto"/>
                    <w:ind w:firstLine="0" w:firstLineChars="0"/>
                    <w:jc w:val="center"/>
                    <w:rPr>
                      <w:sz w:val="21"/>
                      <w:lang w:val="zh-CN"/>
                    </w:rPr>
                  </w:pPr>
                </w:p>
              </w:tc>
              <w:tc>
                <w:tcPr>
                  <w:tcW w:w="349" w:type="pct"/>
                  <w:vAlign w:val="center"/>
                </w:tcPr>
                <w:p>
                  <w:pPr>
                    <w:adjustRightInd w:val="0"/>
                    <w:snapToGrid w:val="0"/>
                    <w:spacing w:line="240" w:lineRule="auto"/>
                    <w:ind w:firstLine="0" w:firstLineChars="0"/>
                    <w:jc w:val="center"/>
                    <w:rPr>
                      <w:sz w:val="21"/>
                      <w:lang w:val="zh-CN"/>
                    </w:rPr>
                  </w:pPr>
                  <w:r>
                    <w:rPr>
                      <w:sz w:val="21"/>
                      <w:lang w:val="zh-CN"/>
                    </w:rPr>
                    <w:t>SS</w:t>
                  </w:r>
                </w:p>
              </w:tc>
              <w:tc>
                <w:tcPr>
                  <w:tcW w:w="356" w:type="pct"/>
                  <w:vAlign w:val="center"/>
                </w:tcPr>
                <w:p>
                  <w:pPr>
                    <w:adjustRightInd w:val="0"/>
                    <w:snapToGrid w:val="0"/>
                    <w:spacing w:line="240" w:lineRule="auto"/>
                    <w:ind w:firstLine="0" w:firstLineChars="0"/>
                    <w:jc w:val="center"/>
                    <w:rPr>
                      <w:sz w:val="21"/>
                      <w:lang w:val="zh-CN"/>
                    </w:rPr>
                  </w:pPr>
                  <w:r>
                    <w:rPr>
                      <w:sz w:val="21"/>
                      <w:lang w:val="zh-CN"/>
                    </w:rPr>
                    <w:t>400</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0.0929</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c>
                <w:tcPr>
                  <w:tcW w:w="374"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continue"/>
                  <w:vAlign w:val="center"/>
                </w:tcPr>
                <w:p>
                  <w:pPr>
                    <w:adjustRightInd w:val="0"/>
                    <w:snapToGrid w:val="0"/>
                    <w:spacing w:line="240" w:lineRule="auto"/>
                    <w:ind w:firstLine="0" w:firstLineChars="0"/>
                    <w:jc w:val="center"/>
                    <w:rPr>
                      <w:sz w:val="21"/>
                      <w:lang w:val="zh-CN"/>
                    </w:rPr>
                  </w:pPr>
                </w:p>
              </w:tc>
              <w:tc>
                <w:tcPr>
                  <w:tcW w:w="263" w:type="pct"/>
                  <w:vMerge w:val="continue"/>
                  <w:vAlign w:val="center"/>
                </w:tcPr>
                <w:p>
                  <w:pPr>
                    <w:adjustRightInd w:val="0"/>
                    <w:snapToGrid w:val="0"/>
                    <w:spacing w:line="240" w:lineRule="auto"/>
                    <w:ind w:firstLine="0" w:firstLineChars="0"/>
                    <w:jc w:val="center"/>
                    <w:rPr>
                      <w:sz w:val="21"/>
                      <w:lang w:val="zh-CN"/>
                    </w:rPr>
                  </w:pPr>
                </w:p>
              </w:tc>
              <w:tc>
                <w:tcPr>
                  <w:tcW w:w="247" w:type="pct"/>
                  <w:vMerge w:val="continue"/>
                  <w:vAlign w:val="center"/>
                </w:tcPr>
                <w:p>
                  <w:pPr>
                    <w:adjustRightInd w:val="0"/>
                    <w:snapToGrid w:val="0"/>
                    <w:spacing w:line="240" w:lineRule="auto"/>
                    <w:ind w:firstLine="0" w:firstLineChars="0"/>
                    <w:jc w:val="center"/>
                    <w:rPr>
                      <w:sz w:val="21"/>
                      <w:lang w:val="zh-CN"/>
                    </w:rPr>
                  </w:pPr>
                </w:p>
              </w:tc>
              <w:tc>
                <w:tcPr>
                  <w:tcW w:w="349" w:type="pct"/>
                  <w:vAlign w:val="center"/>
                </w:tcPr>
                <w:p>
                  <w:pPr>
                    <w:adjustRightInd w:val="0"/>
                    <w:snapToGrid w:val="0"/>
                    <w:spacing w:line="240" w:lineRule="auto"/>
                    <w:ind w:firstLine="0" w:firstLineChars="0"/>
                    <w:jc w:val="center"/>
                    <w:rPr>
                      <w:sz w:val="21"/>
                      <w:lang w:val="zh-CN"/>
                    </w:rPr>
                  </w:pPr>
                  <w:r>
                    <w:rPr>
                      <w:sz w:val="21"/>
                      <w:lang w:val="zh-CN"/>
                    </w:rPr>
                    <w:t>NH</w:t>
                  </w:r>
                  <w:r>
                    <w:rPr>
                      <w:sz w:val="21"/>
                      <w:vertAlign w:val="subscript"/>
                      <w:lang w:val="zh-CN"/>
                    </w:rPr>
                    <w:t>3</w:t>
                  </w:r>
                  <w:r>
                    <w:rPr>
                      <w:sz w:val="21"/>
                      <w:lang w:val="zh-CN"/>
                    </w:rPr>
                    <w:t>-N</w:t>
                  </w:r>
                </w:p>
              </w:tc>
              <w:tc>
                <w:tcPr>
                  <w:tcW w:w="356" w:type="pct"/>
                  <w:vAlign w:val="center"/>
                </w:tcPr>
                <w:p>
                  <w:pPr>
                    <w:adjustRightInd w:val="0"/>
                    <w:snapToGrid w:val="0"/>
                    <w:spacing w:line="240" w:lineRule="auto"/>
                    <w:ind w:firstLine="0" w:firstLineChars="0"/>
                    <w:jc w:val="center"/>
                    <w:rPr>
                      <w:sz w:val="21"/>
                      <w:lang w:val="zh-CN"/>
                    </w:rPr>
                  </w:pPr>
                  <w:r>
                    <w:rPr>
                      <w:sz w:val="21"/>
                      <w:lang w:val="zh-CN"/>
                    </w:rPr>
                    <w:t>100</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0.0232</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c>
                <w:tcPr>
                  <w:tcW w:w="374"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continue"/>
                  <w:vAlign w:val="center"/>
                </w:tcPr>
                <w:p>
                  <w:pPr>
                    <w:adjustRightInd w:val="0"/>
                    <w:snapToGrid w:val="0"/>
                    <w:spacing w:line="240" w:lineRule="auto"/>
                    <w:ind w:firstLine="0" w:firstLineChars="0"/>
                    <w:jc w:val="center"/>
                    <w:rPr>
                      <w:sz w:val="21"/>
                      <w:lang w:val="zh-CN"/>
                    </w:rPr>
                  </w:pPr>
                </w:p>
              </w:tc>
              <w:tc>
                <w:tcPr>
                  <w:tcW w:w="263" w:type="pct"/>
                  <w:vMerge w:val="continue"/>
                  <w:vAlign w:val="center"/>
                </w:tcPr>
                <w:p>
                  <w:pPr>
                    <w:adjustRightInd w:val="0"/>
                    <w:snapToGrid w:val="0"/>
                    <w:spacing w:line="240" w:lineRule="auto"/>
                    <w:ind w:firstLine="0" w:firstLineChars="0"/>
                    <w:jc w:val="center"/>
                    <w:rPr>
                      <w:sz w:val="21"/>
                      <w:lang w:val="zh-CN"/>
                    </w:rPr>
                  </w:pPr>
                </w:p>
              </w:tc>
              <w:tc>
                <w:tcPr>
                  <w:tcW w:w="247" w:type="pct"/>
                  <w:vMerge w:val="continue"/>
                  <w:vAlign w:val="center"/>
                </w:tcPr>
                <w:p>
                  <w:pPr>
                    <w:adjustRightInd w:val="0"/>
                    <w:snapToGrid w:val="0"/>
                    <w:spacing w:line="240" w:lineRule="auto"/>
                    <w:ind w:firstLine="0" w:firstLineChars="0"/>
                    <w:jc w:val="center"/>
                    <w:rPr>
                      <w:sz w:val="21"/>
                      <w:lang w:val="zh-CN"/>
                    </w:rPr>
                  </w:pPr>
                </w:p>
              </w:tc>
              <w:tc>
                <w:tcPr>
                  <w:tcW w:w="349" w:type="pct"/>
                  <w:vAlign w:val="center"/>
                </w:tcPr>
                <w:p>
                  <w:pPr>
                    <w:adjustRightInd w:val="0"/>
                    <w:snapToGrid w:val="0"/>
                    <w:spacing w:line="240" w:lineRule="auto"/>
                    <w:ind w:firstLine="0" w:firstLineChars="0"/>
                    <w:jc w:val="center"/>
                    <w:rPr>
                      <w:sz w:val="21"/>
                      <w:lang w:val="zh-CN"/>
                    </w:rPr>
                  </w:pPr>
                  <w:r>
                    <w:rPr>
                      <w:rFonts w:hint="eastAsia"/>
                      <w:sz w:val="21"/>
                      <w:lang w:val="zh-CN"/>
                    </w:rPr>
                    <w:t>TN</w:t>
                  </w:r>
                </w:p>
              </w:tc>
              <w:tc>
                <w:tcPr>
                  <w:tcW w:w="356" w:type="pct"/>
                  <w:vAlign w:val="center"/>
                </w:tcPr>
                <w:p>
                  <w:pPr>
                    <w:adjustRightInd w:val="0"/>
                    <w:snapToGrid w:val="0"/>
                    <w:spacing w:line="240" w:lineRule="auto"/>
                    <w:ind w:firstLine="0" w:firstLineChars="0"/>
                    <w:jc w:val="center"/>
                    <w:rPr>
                      <w:sz w:val="21"/>
                      <w:lang w:val="zh-CN"/>
                    </w:rPr>
                  </w:pPr>
                  <w:r>
                    <w:rPr>
                      <w:sz w:val="21"/>
                      <w:lang w:val="zh-CN"/>
                    </w:rPr>
                    <w:t>100</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0.0232</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c>
                <w:tcPr>
                  <w:tcW w:w="374"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continue"/>
                  <w:vAlign w:val="center"/>
                </w:tcPr>
                <w:p>
                  <w:pPr>
                    <w:adjustRightInd w:val="0"/>
                    <w:snapToGrid w:val="0"/>
                    <w:spacing w:line="240" w:lineRule="auto"/>
                    <w:ind w:firstLine="0" w:firstLineChars="0"/>
                    <w:jc w:val="center"/>
                    <w:rPr>
                      <w:sz w:val="21"/>
                      <w:lang w:val="zh-CN"/>
                    </w:rPr>
                  </w:pPr>
                </w:p>
              </w:tc>
              <w:tc>
                <w:tcPr>
                  <w:tcW w:w="263" w:type="pct"/>
                  <w:vMerge w:val="continue"/>
                  <w:vAlign w:val="center"/>
                </w:tcPr>
                <w:p>
                  <w:pPr>
                    <w:adjustRightInd w:val="0"/>
                    <w:snapToGrid w:val="0"/>
                    <w:spacing w:line="240" w:lineRule="auto"/>
                    <w:ind w:firstLine="0" w:firstLineChars="0"/>
                    <w:jc w:val="center"/>
                    <w:rPr>
                      <w:sz w:val="21"/>
                      <w:lang w:val="zh-CN"/>
                    </w:rPr>
                  </w:pPr>
                </w:p>
              </w:tc>
              <w:tc>
                <w:tcPr>
                  <w:tcW w:w="247" w:type="pct"/>
                  <w:vMerge w:val="continue"/>
                  <w:vAlign w:val="center"/>
                </w:tcPr>
                <w:p>
                  <w:pPr>
                    <w:adjustRightInd w:val="0"/>
                    <w:snapToGrid w:val="0"/>
                    <w:spacing w:line="240" w:lineRule="auto"/>
                    <w:ind w:firstLine="0" w:firstLineChars="0"/>
                    <w:jc w:val="center"/>
                    <w:rPr>
                      <w:sz w:val="21"/>
                      <w:lang w:val="zh-CN"/>
                    </w:rPr>
                  </w:pPr>
                </w:p>
              </w:tc>
              <w:tc>
                <w:tcPr>
                  <w:tcW w:w="349" w:type="pct"/>
                  <w:vAlign w:val="center"/>
                </w:tcPr>
                <w:p>
                  <w:pPr>
                    <w:adjustRightInd w:val="0"/>
                    <w:snapToGrid w:val="0"/>
                    <w:spacing w:line="240" w:lineRule="auto"/>
                    <w:ind w:firstLine="0" w:firstLineChars="0"/>
                    <w:jc w:val="center"/>
                    <w:rPr>
                      <w:sz w:val="21"/>
                      <w:lang w:val="zh-CN"/>
                    </w:rPr>
                  </w:pPr>
                  <w:r>
                    <w:rPr>
                      <w:rFonts w:hint="eastAsia"/>
                      <w:sz w:val="21"/>
                      <w:lang w:val="zh-CN"/>
                    </w:rPr>
                    <w:t>TP</w:t>
                  </w:r>
                </w:p>
              </w:tc>
              <w:tc>
                <w:tcPr>
                  <w:tcW w:w="356" w:type="pct"/>
                  <w:vAlign w:val="center"/>
                </w:tcPr>
                <w:p>
                  <w:pPr>
                    <w:adjustRightInd w:val="0"/>
                    <w:snapToGrid w:val="0"/>
                    <w:spacing w:line="240" w:lineRule="auto"/>
                    <w:ind w:firstLine="0" w:firstLineChars="0"/>
                    <w:jc w:val="center"/>
                    <w:rPr>
                      <w:sz w:val="21"/>
                      <w:lang w:val="zh-CN"/>
                    </w:rPr>
                  </w:pPr>
                  <w:r>
                    <w:rPr>
                      <w:sz w:val="21"/>
                      <w:lang w:val="zh-CN"/>
                    </w:rPr>
                    <w:t>25</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0.0058</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c>
                <w:tcPr>
                  <w:tcW w:w="374"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restart"/>
                  <w:vAlign w:val="center"/>
                </w:tcPr>
                <w:p>
                  <w:pPr>
                    <w:adjustRightInd w:val="0"/>
                    <w:snapToGrid w:val="0"/>
                    <w:spacing w:line="240" w:lineRule="auto"/>
                    <w:ind w:firstLine="0" w:firstLineChars="0"/>
                    <w:jc w:val="center"/>
                    <w:rPr>
                      <w:sz w:val="21"/>
                      <w:lang w:val="zh-CN"/>
                    </w:rPr>
                  </w:pPr>
                  <w:r>
                    <w:rPr>
                      <w:rFonts w:hint="eastAsia"/>
                      <w:sz w:val="21"/>
                      <w:lang w:val="zh-CN"/>
                    </w:rPr>
                    <w:t>3</w:t>
                  </w:r>
                </w:p>
              </w:tc>
              <w:tc>
                <w:tcPr>
                  <w:tcW w:w="263" w:type="pct"/>
                  <w:vMerge w:val="restart"/>
                  <w:vAlign w:val="center"/>
                </w:tcPr>
                <w:p>
                  <w:pPr>
                    <w:adjustRightInd w:val="0"/>
                    <w:snapToGrid w:val="0"/>
                    <w:spacing w:line="240" w:lineRule="auto"/>
                    <w:ind w:firstLine="0" w:firstLineChars="0"/>
                    <w:jc w:val="center"/>
                    <w:rPr>
                      <w:sz w:val="21"/>
                      <w:lang w:val="zh-CN"/>
                    </w:rPr>
                  </w:pPr>
                  <w:r>
                    <w:rPr>
                      <w:rFonts w:hint="eastAsia"/>
                      <w:sz w:val="21"/>
                      <w:lang w:val="zh-CN"/>
                    </w:rPr>
                    <w:t>苕皮生产</w:t>
                  </w:r>
                  <w:r>
                    <w:rPr>
                      <w:sz w:val="21"/>
                      <w:lang w:val="zh-CN"/>
                    </w:rPr>
                    <w:t>锅具</w:t>
                  </w:r>
                  <w:r>
                    <w:rPr>
                      <w:rFonts w:hint="eastAsia"/>
                      <w:sz w:val="21"/>
                      <w:lang w:val="zh-CN"/>
                    </w:rPr>
                    <w:t>清洗</w:t>
                  </w:r>
                  <w:r>
                    <w:rPr>
                      <w:sz w:val="21"/>
                      <w:lang w:val="zh-CN"/>
                    </w:rPr>
                    <w:t>废水</w:t>
                  </w:r>
                </w:p>
              </w:tc>
              <w:tc>
                <w:tcPr>
                  <w:tcW w:w="247" w:type="pct"/>
                  <w:vMerge w:val="restart"/>
                  <w:vAlign w:val="center"/>
                </w:tcPr>
                <w:p>
                  <w:pPr>
                    <w:adjustRightInd w:val="0"/>
                    <w:snapToGrid w:val="0"/>
                    <w:spacing w:line="240" w:lineRule="auto"/>
                    <w:ind w:firstLine="0" w:firstLineChars="0"/>
                    <w:jc w:val="center"/>
                    <w:rPr>
                      <w:sz w:val="21"/>
                      <w:lang w:val="zh-CN"/>
                    </w:rPr>
                  </w:pPr>
                  <w:r>
                    <w:rPr>
                      <w:rFonts w:hint="eastAsia"/>
                      <w:sz w:val="21"/>
                      <w:lang w:val="zh-CN"/>
                    </w:rPr>
                    <w:t>135</w:t>
                  </w:r>
                </w:p>
              </w:tc>
              <w:tc>
                <w:tcPr>
                  <w:tcW w:w="349" w:type="pct"/>
                  <w:vAlign w:val="center"/>
                </w:tcPr>
                <w:p>
                  <w:pPr>
                    <w:adjustRightInd w:val="0"/>
                    <w:snapToGrid w:val="0"/>
                    <w:spacing w:line="240" w:lineRule="auto"/>
                    <w:ind w:firstLine="0" w:firstLineChars="0"/>
                    <w:jc w:val="center"/>
                    <w:rPr>
                      <w:sz w:val="21"/>
                      <w:lang w:val="zh-CN"/>
                    </w:rPr>
                  </w:pPr>
                  <w:r>
                    <w:rPr>
                      <w:sz w:val="21"/>
                      <w:lang w:val="zh-CN"/>
                    </w:rPr>
                    <w:t>COD</w:t>
                  </w:r>
                </w:p>
              </w:tc>
              <w:tc>
                <w:tcPr>
                  <w:tcW w:w="356" w:type="pct"/>
                  <w:vAlign w:val="center"/>
                </w:tcPr>
                <w:p>
                  <w:pPr>
                    <w:adjustRightInd w:val="0"/>
                    <w:snapToGrid w:val="0"/>
                    <w:spacing w:line="240" w:lineRule="auto"/>
                    <w:ind w:firstLine="0" w:firstLineChars="0"/>
                    <w:jc w:val="center"/>
                    <w:rPr>
                      <w:sz w:val="21"/>
                      <w:lang w:val="zh-CN"/>
                    </w:rPr>
                  </w:pPr>
                  <w:r>
                    <w:rPr>
                      <w:sz w:val="21"/>
                      <w:lang w:val="zh-CN"/>
                    </w:rPr>
                    <w:t>1600</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0.2160</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c>
                <w:tcPr>
                  <w:tcW w:w="374"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continue"/>
                  <w:vAlign w:val="center"/>
                </w:tcPr>
                <w:p>
                  <w:pPr>
                    <w:adjustRightInd w:val="0"/>
                    <w:snapToGrid w:val="0"/>
                    <w:spacing w:line="240" w:lineRule="auto"/>
                    <w:ind w:firstLine="0" w:firstLineChars="0"/>
                    <w:jc w:val="center"/>
                    <w:rPr>
                      <w:sz w:val="21"/>
                      <w:lang w:val="zh-CN"/>
                    </w:rPr>
                  </w:pPr>
                </w:p>
              </w:tc>
              <w:tc>
                <w:tcPr>
                  <w:tcW w:w="263" w:type="pct"/>
                  <w:vMerge w:val="continue"/>
                  <w:vAlign w:val="center"/>
                </w:tcPr>
                <w:p>
                  <w:pPr>
                    <w:adjustRightInd w:val="0"/>
                    <w:snapToGrid w:val="0"/>
                    <w:spacing w:line="240" w:lineRule="auto"/>
                    <w:ind w:firstLine="0" w:firstLineChars="0"/>
                    <w:jc w:val="center"/>
                    <w:rPr>
                      <w:sz w:val="21"/>
                      <w:lang w:val="zh-CN"/>
                    </w:rPr>
                  </w:pPr>
                </w:p>
              </w:tc>
              <w:tc>
                <w:tcPr>
                  <w:tcW w:w="247" w:type="pct"/>
                  <w:vMerge w:val="continue"/>
                  <w:vAlign w:val="center"/>
                </w:tcPr>
                <w:p>
                  <w:pPr>
                    <w:adjustRightInd w:val="0"/>
                    <w:snapToGrid w:val="0"/>
                    <w:spacing w:line="240" w:lineRule="auto"/>
                    <w:ind w:firstLine="0" w:firstLineChars="0"/>
                    <w:jc w:val="center"/>
                    <w:rPr>
                      <w:sz w:val="21"/>
                      <w:lang w:val="zh-CN"/>
                    </w:rPr>
                  </w:pPr>
                </w:p>
              </w:tc>
              <w:tc>
                <w:tcPr>
                  <w:tcW w:w="349" w:type="pct"/>
                  <w:vAlign w:val="center"/>
                </w:tcPr>
                <w:p>
                  <w:pPr>
                    <w:adjustRightInd w:val="0"/>
                    <w:snapToGrid w:val="0"/>
                    <w:spacing w:line="240" w:lineRule="auto"/>
                    <w:ind w:firstLine="0" w:firstLineChars="0"/>
                    <w:jc w:val="center"/>
                    <w:rPr>
                      <w:sz w:val="21"/>
                      <w:lang w:val="zh-CN"/>
                    </w:rPr>
                  </w:pPr>
                  <w:r>
                    <w:rPr>
                      <w:sz w:val="21"/>
                      <w:lang w:val="zh-CN"/>
                    </w:rPr>
                    <w:t>BOD</w:t>
                  </w:r>
                  <w:r>
                    <w:rPr>
                      <w:sz w:val="21"/>
                      <w:vertAlign w:val="subscript"/>
                      <w:lang w:val="zh-CN"/>
                    </w:rPr>
                    <w:t>5</w:t>
                  </w:r>
                </w:p>
              </w:tc>
              <w:tc>
                <w:tcPr>
                  <w:tcW w:w="356" w:type="pct"/>
                  <w:vAlign w:val="center"/>
                </w:tcPr>
                <w:p>
                  <w:pPr>
                    <w:adjustRightInd w:val="0"/>
                    <w:snapToGrid w:val="0"/>
                    <w:spacing w:line="240" w:lineRule="auto"/>
                    <w:ind w:firstLine="0" w:firstLineChars="0"/>
                    <w:jc w:val="center"/>
                    <w:rPr>
                      <w:sz w:val="21"/>
                      <w:lang w:val="zh-CN"/>
                    </w:rPr>
                  </w:pPr>
                  <w:r>
                    <w:rPr>
                      <w:sz w:val="21"/>
                      <w:lang w:val="zh-CN"/>
                    </w:rPr>
                    <w:t>350</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0.0473</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c>
                <w:tcPr>
                  <w:tcW w:w="374"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continue"/>
                  <w:vAlign w:val="center"/>
                </w:tcPr>
                <w:p>
                  <w:pPr>
                    <w:adjustRightInd w:val="0"/>
                    <w:snapToGrid w:val="0"/>
                    <w:spacing w:line="240" w:lineRule="auto"/>
                    <w:ind w:firstLine="0" w:firstLineChars="0"/>
                    <w:jc w:val="center"/>
                    <w:rPr>
                      <w:sz w:val="21"/>
                      <w:lang w:val="zh-CN"/>
                    </w:rPr>
                  </w:pPr>
                </w:p>
              </w:tc>
              <w:tc>
                <w:tcPr>
                  <w:tcW w:w="263" w:type="pct"/>
                  <w:vMerge w:val="continue"/>
                  <w:vAlign w:val="center"/>
                </w:tcPr>
                <w:p>
                  <w:pPr>
                    <w:adjustRightInd w:val="0"/>
                    <w:snapToGrid w:val="0"/>
                    <w:spacing w:line="240" w:lineRule="auto"/>
                    <w:ind w:firstLine="0" w:firstLineChars="0"/>
                    <w:jc w:val="center"/>
                    <w:rPr>
                      <w:sz w:val="21"/>
                      <w:lang w:val="zh-CN"/>
                    </w:rPr>
                  </w:pPr>
                </w:p>
              </w:tc>
              <w:tc>
                <w:tcPr>
                  <w:tcW w:w="247" w:type="pct"/>
                  <w:vMerge w:val="continue"/>
                  <w:vAlign w:val="center"/>
                </w:tcPr>
                <w:p>
                  <w:pPr>
                    <w:adjustRightInd w:val="0"/>
                    <w:snapToGrid w:val="0"/>
                    <w:spacing w:line="240" w:lineRule="auto"/>
                    <w:ind w:firstLine="0" w:firstLineChars="0"/>
                    <w:jc w:val="center"/>
                    <w:rPr>
                      <w:sz w:val="21"/>
                      <w:lang w:val="zh-CN"/>
                    </w:rPr>
                  </w:pPr>
                </w:p>
              </w:tc>
              <w:tc>
                <w:tcPr>
                  <w:tcW w:w="349" w:type="pct"/>
                  <w:vAlign w:val="center"/>
                </w:tcPr>
                <w:p>
                  <w:pPr>
                    <w:adjustRightInd w:val="0"/>
                    <w:snapToGrid w:val="0"/>
                    <w:spacing w:line="240" w:lineRule="auto"/>
                    <w:ind w:firstLine="0" w:firstLineChars="0"/>
                    <w:jc w:val="center"/>
                    <w:rPr>
                      <w:sz w:val="21"/>
                      <w:lang w:val="zh-CN"/>
                    </w:rPr>
                  </w:pPr>
                  <w:r>
                    <w:rPr>
                      <w:sz w:val="21"/>
                      <w:lang w:val="zh-CN"/>
                    </w:rPr>
                    <w:t>SS</w:t>
                  </w:r>
                </w:p>
              </w:tc>
              <w:tc>
                <w:tcPr>
                  <w:tcW w:w="356" w:type="pct"/>
                  <w:vAlign w:val="center"/>
                </w:tcPr>
                <w:p>
                  <w:pPr>
                    <w:adjustRightInd w:val="0"/>
                    <w:snapToGrid w:val="0"/>
                    <w:spacing w:line="240" w:lineRule="auto"/>
                    <w:ind w:firstLine="0" w:firstLineChars="0"/>
                    <w:jc w:val="center"/>
                    <w:rPr>
                      <w:sz w:val="21"/>
                      <w:lang w:val="zh-CN"/>
                    </w:rPr>
                  </w:pPr>
                  <w:r>
                    <w:rPr>
                      <w:sz w:val="21"/>
                      <w:lang w:val="zh-CN"/>
                    </w:rPr>
                    <w:t>500</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0.0675</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c>
                <w:tcPr>
                  <w:tcW w:w="374"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continue"/>
                  <w:vAlign w:val="center"/>
                </w:tcPr>
                <w:p>
                  <w:pPr>
                    <w:adjustRightInd w:val="0"/>
                    <w:snapToGrid w:val="0"/>
                    <w:spacing w:line="240" w:lineRule="auto"/>
                    <w:ind w:firstLine="0" w:firstLineChars="0"/>
                    <w:jc w:val="center"/>
                    <w:rPr>
                      <w:sz w:val="21"/>
                      <w:lang w:val="zh-CN"/>
                    </w:rPr>
                  </w:pPr>
                </w:p>
              </w:tc>
              <w:tc>
                <w:tcPr>
                  <w:tcW w:w="263" w:type="pct"/>
                  <w:vMerge w:val="continue"/>
                  <w:vAlign w:val="center"/>
                </w:tcPr>
                <w:p>
                  <w:pPr>
                    <w:adjustRightInd w:val="0"/>
                    <w:snapToGrid w:val="0"/>
                    <w:spacing w:line="240" w:lineRule="auto"/>
                    <w:ind w:firstLine="0" w:firstLineChars="0"/>
                    <w:jc w:val="center"/>
                    <w:rPr>
                      <w:sz w:val="21"/>
                      <w:lang w:val="zh-CN"/>
                    </w:rPr>
                  </w:pPr>
                </w:p>
              </w:tc>
              <w:tc>
                <w:tcPr>
                  <w:tcW w:w="247" w:type="pct"/>
                  <w:vMerge w:val="continue"/>
                  <w:vAlign w:val="center"/>
                </w:tcPr>
                <w:p>
                  <w:pPr>
                    <w:adjustRightInd w:val="0"/>
                    <w:snapToGrid w:val="0"/>
                    <w:spacing w:line="240" w:lineRule="auto"/>
                    <w:ind w:firstLine="0" w:firstLineChars="0"/>
                    <w:jc w:val="center"/>
                    <w:rPr>
                      <w:sz w:val="21"/>
                      <w:lang w:val="zh-CN"/>
                    </w:rPr>
                  </w:pPr>
                </w:p>
              </w:tc>
              <w:tc>
                <w:tcPr>
                  <w:tcW w:w="349" w:type="pct"/>
                  <w:vAlign w:val="center"/>
                </w:tcPr>
                <w:p>
                  <w:pPr>
                    <w:adjustRightInd w:val="0"/>
                    <w:snapToGrid w:val="0"/>
                    <w:spacing w:line="240" w:lineRule="auto"/>
                    <w:ind w:firstLine="0" w:firstLineChars="0"/>
                    <w:jc w:val="center"/>
                    <w:rPr>
                      <w:sz w:val="21"/>
                      <w:lang w:val="zh-CN"/>
                    </w:rPr>
                  </w:pPr>
                  <w:r>
                    <w:rPr>
                      <w:sz w:val="21"/>
                      <w:lang w:val="zh-CN"/>
                    </w:rPr>
                    <w:t>NH</w:t>
                  </w:r>
                  <w:r>
                    <w:rPr>
                      <w:sz w:val="21"/>
                      <w:vertAlign w:val="subscript"/>
                      <w:lang w:val="zh-CN"/>
                    </w:rPr>
                    <w:t>3</w:t>
                  </w:r>
                  <w:r>
                    <w:rPr>
                      <w:sz w:val="21"/>
                      <w:lang w:val="zh-CN"/>
                    </w:rPr>
                    <w:t>-N</w:t>
                  </w:r>
                </w:p>
              </w:tc>
              <w:tc>
                <w:tcPr>
                  <w:tcW w:w="356" w:type="pct"/>
                  <w:vAlign w:val="center"/>
                </w:tcPr>
                <w:p>
                  <w:pPr>
                    <w:adjustRightInd w:val="0"/>
                    <w:snapToGrid w:val="0"/>
                    <w:spacing w:line="240" w:lineRule="auto"/>
                    <w:ind w:firstLine="0" w:firstLineChars="0"/>
                    <w:jc w:val="center"/>
                    <w:rPr>
                      <w:sz w:val="21"/>
                      <w:lang w:val="zh-CN"/>
                    </w:rPr>
                  </w:pPr>
                  <w:r>
                    <w:rPr>
                      <w:sz w:val="21"/>
                      <w:lang w:val="zh-CN"/>
                    </w:rPr>
                    <w:t>150</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0.0203</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c>
                <w:tcPr>
                  <w:tcW w:w="374"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continue"/>
                  <w:vAlign w:val="center"/>
                </w:tcPr>
                <w:p>
                  <w:pPr>
                    <w:adjustRightInd w:val="0"/>
                    <w:snapToGrid w:val="0"/>
                    <w:spacing w:line="240" w:lineRule="auto"/>
                    <w:ind w:firstLine="0" w:firstLineChars="0"/>
                    <w:jc w:val="center"/>
                    <w:rPr>
                      <w:sz w:val="21"/>
                      <w:lang w:val="zh-CN"/>
                    </w:rPr>
                  </w:pPr>
                </w:p>
              </w:tc>
              <w:tc>
                <w:tcPr>
                  <w:tcW w:w="263" w:type="pct"/>
                  <w:vMerge w:val="continue"/>
                  <w:vAlign w:val="center"/>
                </w:tcPr>
                <w:p>
                  <w:pPr>
                    <w:adjustRightInd w:val="0"/>
                    <w:snapToGrid w:val="0"/>
                    <w:spacing w:line="240" w:lineRule="auto"/>
                    <w:ind w:firstLine="0" w:firstLineChars="0"/>
                    <w:jc w:val="center"/>
                    <w:rPr>
                      <w:sz w:val="21"/>
                      <w:lang w:val="zh-CN"/>
                    </w:rPr>
                  </w:pPr>
                </w:p>
              </w:tc>
              <w:tc>
                <w:tcPr>
                  <w:tcW w:w="247" w:type="pct"/>
                  <w:vMerge w:val="continue"/>
                  <w:vAlign w:val="center"/>
                </w:tcPr>
                <w:p>
                  <w:pPr>
                    <w:adjustRightInd w:val="0"/>
                    <w:snapToGrid w:val="0"/>
                    <w:spacing w:line="240" w:lineRule="auto"/>
                    <w:ind w:firstLine="0" w:firstLineChars="0"/>
                    <w:jc w:val="center"/>
                    <w:rPr>
                      <w:sz w:val="21"/>
                      <w:lang w:val="zh-CN"/>
                    </w:rPr>
                  </w:pPr>
                </w:p>
              </w:tc>
              <w:tc>
                <w:tcPr>
                  <w:tcW w:w="349" w:type="pct"/>
                  <w:vAlign w:val="center"/>
                </w:tcPr>
                <w:p>
                  <w:pPr>
                    <w:adjustRightInd w:val="0"/>
                    <w:snapToGrid w:val="0"/>
                    <w:spacing w:line="240" w:lineRule="auto"/>
                    <w:ind w:firstLine="0" w:firstLineChars="0"/>
                    <w:jc w:val="center"/>
                    <w:rPr>
                      <w:sz w:val="21"/>
                      <w:lang w:val="zh-CN"/>
                    </w:rPr>
                  </w:pPr>
                  <w:r>
                    <w:rPr>
                      <w:rFonts w:hint="eastAsia"/>
                      <w:sz w:val="21"/>
                      <w:lang w:val="zh-CN"/>
                    </w:rPr>
                    <w:t>TN</w:t>
                  </w:r>
                </w:p>
              </w:tc>
              <w:tc>
                <w:tcPr>
                  <w:tcW w:w="356" w:type="pct"/>
                  <w:vAlign w:val="center"/>
                </w:tcPr>
                <w:p>
                  <w:pPr>
                    <w:adjustRightInd w:val="0"/>
                    <w:snapToGrid w:val="0"/>
                    <w:spacing w:line="240" w:lineRule="auto"/>
                    <w:ind w:firstLine="0" w:firstLineChars="0"/>
                    <w:jc w:val="center"/>
                    <w:rPr>
                      <w:sz w:val="21"/>
                      <w:lang w:val="zh-CN"/>
                    </w:rPr>
                  </w:pPr>
                  <w:r>
                    <w:rPr>
                      <w:sz w:val="21"/>
                      <w:lang w:val="zh-CN"/>
                    </w:rPr>
                    <w:t>200</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0.0270</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c>
                <w:tcPr>
                  <w:tcW w:w="374"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continue"/>
                  <w:vAlign w:val="center"/>
                </w:tcPr>
                <w:p>
                  <w:pPr>
                    <w:adjustRightInd w:val="0"/>
                    <w:snapToGrid w:val="0"/>
                    <w:spacing w:line="240" w:lineRule="auto"/>
                    <w:ind w:firstLine="0" w:firstLineChars="0"/>
                    <w:jc w:val="center"/>
                    <w:rPr>
                      <w:sz w:val="21"/>
                      <w:lang w:val="zh-CN"/>
                    </w:rPr>
                  </w:pPr>
                </w:p>
              </w:tc>
              <w:tc>
                <w:tcPr>
                  <w:tcW w:w="263" w:type="pct"/>
                  <w:vMerge w:val="continue"/>
                  <w:vAlign w:val="center"/>
                </w:tcPr>
                <w:p>
                  <w:pPr>
                    <w:adjustRightInd w:val="0"/>
                    <w:snapToGrid w:val="0"/>
                    <w:spacing w:line="240" w:lineRule="auto"/>
                    <w:ind w:firstLine="0" w:firstLineChars="0"/>
                    <w:jc w:val="center"/>
                    <w:rPr>
                      <w:sz w:val="21"/>
                      <w:lang w:val="zh-CN"/>
                    </w:rPr>
                  </w:pPr>
                </w:p>
              </w:tc>
              <w:tc>
                <w:tcPr>
                  <w:tcW w:w="247" w:type="pct"/>
                  <w:vMerge w:val="continue"/>
                  <w:vAlign w:val="center"/>
                </w:tcPr>
                <w:p>
                  <w:pPr>
                    <w:adjustRightInd w:val="0"/>
                    <w:snapToGrid w:val="0"/>
                    <w:spacing w:line="240" w:lineRule="auto"/>
                    <w:ind w:firstLine="0" w:firstLineChars="0"/>
                    <w:jc w:val="center"/>
                    <w:rPr>
                      <w:sz w:val="21"/>
                      <w:lang w:val="zh-CN"/>
                    </w:rPr>
                  </w:pPr>
                </w:p>
              </w:tc>
              <w:tc>
                <w:tcPr>
                  <w:tcW w:w="349" w:type="pct"/>
                  <w:vAlign w:val="center"/>
                </w:tcPr>
                <w:p>
                  <w:pPr>
                    <w:adjustRightInd w:val="0"/>
                    <w:snapToGrid w:val="0"/>
                    <w:spacing w:line="240" w:lineRule="auto"/>
                    <w:ind w:firstLine="0" w:firstLineChars="0"/>
                    <w:jc w:val="center"/>
                    <w:rPr>
                      <w:sz w:val="21"/>
                      <w:lang w:val="zh-CN"/>
                    </w:rPr>
                  </w:pPr>
                  <w:r>
                    <w:rPr>
                      <w:rFonts w:hint="eastAsia"/>
                      <w:sz w:val="21"/>
                      <w:lang w:val="zh-CN"/>
                    </w:rPr>
                    <w:t>TP</w:t>
                  </w:r>
                </w:p>
              </w:tc>
              <w:tc>
                <w:tcPr>
                  <w:tcW w:w="356" w:type="pct"/>
                  <w:vAlign w:val="center"/>
                </w:tcPr>
                <w:p>
                  <w:pPr>
                    <w:adjustRightInd w:val="0"/>
                    <w:snapToGrid w:val="0"/>
                    <w:spacing w:line="240" w:lineRule="auto"/>
                    <w:ind w:firstLine="0" w:firstLineChars="0"/>
                    <w:jc w:val="center"/>
                    <w:rPr>
                      <w:sz w:val="21"/>
                      <w:lang w:val="zh-CN"/>
                    </w:rPr>
                  </w:pPr>
                  <w:r>
                    <w:rPr>
                      <w:sz w:val="21"/>
                      <w:lang w:val="zh-CN"/>
                    </w:rPr>
                    <w:t>40</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0.0054</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c>
                <w:tcPr>
                  <w:tcW w:w="374"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restart"/>
                  <w:vAlign w:val="center"/>
                </w:tcPr>
                <w:p>
                  <w:pPr>
                    <w:adjustRightInd w:val="0"/>
                    <w:snapToGrid w:val="0"/>
                    <w:spacing w:line="240" w:lineRule="auto"/>
                    <w:ind w:firstLine="0" w:firstLineChars="0"/>
                    <w:jc w:val="center"/>
                    <w:rPr>
                      <w:sz w:val="21"/>
                      <w:lang w:val="zh-CN"/>
                    </w:rPr>
                  </w:pPr>
                  <w:r>
                    <w:rPr>
                      <w:sz w:val="21"/>
                      <w:lang w:val="zh-CN"/>
                    </w:rPr>
                    <w:t>4</w:t>
                  </w:r>
                </w:p>
              </w:tc>
              <w:tc>
                <w:tcPr>
                  <w:tcW w:w="263" w:type="pct"/>
                  <w:vMerge w:val="restart"/>
                  <w:vAlign w:val="center"/>
                </w:tcPr>
                <w:p>
                  <w:pPr>
                    <w:adjustRightInd w:val="0"/>
                    <w:snapToGrid w:val="0"/>
                    <w:spacing w:line="240" w:lineRule="auto"/>
                    <w:ind w:firstLine="0" w:firstLineChars="0"/>
                    <w:jc w:val="center"/>
                    <w:rPr>
                      <w:sz w:val="21"/>
                      <w:lang w:val="zh-CN"/>
                    </w:rPr>
                  </w:pPr>
                  <w:r>
                    <w:rPr>
                      <w:rFonts w:hint="eastAsia"/>
                      <w:sz w:val="21"/>
                      <w:lang w:val="zh-CN"/>
                    </w:rPr>
                    <w:t>生产</w:t>
                  </w:r>
                  <w:r>
                    <w:rPr>
                      <w:sz w:val="21"/>
                      <w:lang w:val="zh-CN"/>
                    </w:rPr>
                    <w:t>废水</w:t>
                  </w:r>
                  <w:r>
                    <w:rPr>
                      <w:rFonts w:hint="eastAsia"/>
                      <w:sz w:val="21"/>
                      <w:lang w:val="zh-CN"/>
                    </w:rPr>
                    <w:t>合计</w:t>
                  </w:r>
                </w:p>
              </w:tc>
              <w:tc>
                <w:tcPr>
                  <w:tcW w:w="247" w:type="pct"/>
                  <w:vMerge w:val="restart"/>
                  <w:vAlign w:val="center"/>
                </w:tcPr>
                <w:p>
                  <w:pPr>
                    <w:adjustRightInd w:val="0"/>
                    <w:snapToGrid w:val="0"/>
                    <w:spacing w:line="240" w:lineRule="auto"/>
                    <w:ind w:firstLine="0" w:firstLineChars="0"/>
                    <w:jc w:val="center"/>
                    <w:rPr>
                      <w:sz w:val="21"/>
                      <w:lang w:val="zh-CN"/>
                    </w:rPr>
                  </w:pPr>
                  <w:r>
                    <w:rPr>
                      <w:rFonts w:hint="eastAsia"/>
                      <w:sz w:val="21"/>
                      <w:lang w:val="zh-CN"/>
                    </w:rPr>
                    <w:t>369.9</w:t>
                  </w:r>
                </w:p>
              </w:tc>
              <w:tc>
                <w:tcPr>
                  <w:tcW w:w="349" w:type="pct"/>
                  <w:vAlign w:val="center"/>
                </w:tcPr>
                <w:p>
                  <w:pPr>
                    <w:adjustRightInd w:val="0"/>
                    <w:snapToGrid w:val="0"/>
                    <w:spacing w:line="240" w:lineRule="auto"/>
                    <w:ind w:firstLine="0" w:firstLineChars="0"/>
                    <w:jc w:val="center"/>
                    <w:rPr>
                      <w:sz w:val="21"/>
                      <w:lang w:val="zh-CN"/>
                    </w:rPr>
                  </w:pPr>
                  <w:r>
                    <w:rPr>
                      <w:sz w:val="21"/>
                      <w:lang w:val="zh-CN"/>
                    </w:rPr>
                    <w:t>COD</w:t>
                  </w:r>
                </w:p>
              </w:tc>
              <w:tc>
                <w:tcPr>
                  <w:tcW w:w="356" w:type="pct"/>
                  <w:vAlign w:val="center"/>
                </w:tcPr>
                <w:p>
                  <w:pPr>
                    <w:adjustRightInd w:val="0"/>
                    <w:snapToGrid w:val="0"/>
                    <w:spacing w:line="240" w:lineRule="auto"/>
                    <w:ind w:firstLine="0" w:firstLineChars="0"/>
                    <w:jc w:val="center"/>
                    <w:rPr>
                      <w:sz w:val="21"/>
                      <w:lang w:val="zh-CN"/>
                    </w:rPr>
                  </w:pPr>
                  <w:r>
                    <w:rPr>
                      <w:sz w:val="21"/>
                      <w:lang w:val="zh-CN"/>
                    </w:rPr>
                    <w:t>943.8</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0.3491</w:t>
                  </w:r>
                </w:p>
              </w:tc>
              <w:tc>
                <w:tcPr>
                  <w:tcW w:w="1018" w:type="pct"/>
                  <w:vMerge w:val="restart"/>
                  <w:vAlign w:val="center"/>
                </w:tcPr>
                <w:p>
                  <w:pPr>
                    <w:adjustRightInd w:val="0"/>
                    <w:snapToGrid w:val="0"/>
                    <w:spacing w:line="240" w:lineRule="auto"/>
                    <w:ind w:firstLine="0" w:firstLineChars="0"/>
                    <w:jc w:val="center"/>
                    <w:rPr>
                      <w:sz w:val="21"/>
                      <w:lang w:val="zh-CN"/>
                    </w:rPr>
                  </w:pPr>
                  <w:r>
                    <w:rPr>
                      <w:rFonts w:hint="eastAsia"/>
                      <w:sz w:val="21"/>
                      <w:lang w:val="zh-CN"/>
                    </w:rPr>
                    <w:t>生产废水经自建一体化废水处理设施（采用“沉淀+好氧+除磷”工艺，处理能力</w:t>
                  </w:r>
                  <w:r>
                    <w:rPr>
                      <w:sz w:val="21"/>
                      <w:lang w:val="zh-CN"/>
                    </w:rPr>
                    <w:t>2</w:t>
                  </w:r>
                  <w:r>
                    <w:rPr>
                      <w:rFonts w:hint="eastAsia"/>
                      <w:sz w:val="21"/>
                      <w:lang w:val="zh-CN"/>
                    </w:rPr>
                    <w:t>m</w:t>
                  </w:r>
                  <w:r>
                    <w:rPr>
                      <w:rFonts w:hint="eastAsia"/>
                      <w:sz w:val="21"/>
                      <w:vertAlign w:val="superscript"/>
                      <w:lang w:val="zh-CN"/>
                    </w:rPr>
                    <w:t>3</w:t>
                  </w:r>
                  <w:r>
                    <w:rPr>
                      <w:rFonts w:hint="eastAsia"/>
                      <w:sz w:val="21"/>
                      <w:lang w:val="zh-CN"/>
                    </w:rPr>
                    <w:t>/d）处理达《淀粉工业水污染物排放标准》（GB25461-2010）表2间接排放标准后，排入</w:t>
                  </w:r>
                  <w:r>
                    <w:rPr>
                      <w:sz w:val="21"/>
                      <w:lang w:val="zh-CN"/>
                    </w:rPr>
                    <w:t>宜企健</w:t>
                  </w:r>
                  <w:r>
                    <w:rPr>
                      <w:rFonts w:hint="eastAsia"/>
                      <w:sz w:val="21"/>
                      <w:lang w:val="zh-CN"/>
                    </w:rPr>
                    <w:t>污水</w:t>
                  </w:r>
                  <w:r>
                    <w:rPr>
                      <w:sz w:val="21"/>
                      <w:lang w:val="zh-CN"/>
                    </w:rPr>
                    <w:t>处理</w:t>
                  </w:r>
                  <w:r>
                    <w:rPr>
                      <w:rFonts w:hint="eastAsia"/>
                      <w:sz w:val="21"/>
                      <w:lang w:val="zh-CN"/>
                    </w:rPr>
                    <w:t>站</w:t>
                  </w:r>
                </w:p>
              </w:tc>
              <w:tc>
                <w:tcPr>
                  <w:tcW w:w="356" w:type="pct"/>
                  <w:vMerge w:val="restart"/>
                  <w:vAlign w:val="center"/>
                </w:tcPr>
                <w:p>
                  <w:pPr>
                    <w:adjustRightInd w:val="0"/>
                    <w:snapToGrid w:val="0"/>
                    <w:spacing w:line="240" w:lineRule="auto"/>
                    <w:ind w:firstLine="0" w:firstLineChars="0"/>
                    <w:jc w:val="center"/>
                    <w:rPr>
                      <w:sz w:val="21"/>
                      <w:lang w:val="zh-CN"/>
                    </w:rPr>
                  </w:pPr>
                  <w:r>
                    <w:rPr>
                      <w:rFonts w:hint="eastAsia"/>
                      <w:sz w:val="21"/>
                      <w:lang w:val="zh-CN"/>
                    </w:rPr>
                    <w:t>2</w:t>
                  </w:r>
                </w:p>
              </w:tc>
              <w:tc>
                <w:tcPr>
                  <w:tcW w:w="407" w:type="pct"/>
                  <w:vMerge w:val="restart"/>
                  <w:vAlign w:val="center"/>
                </w:tcPr>
                <w:p>
                  <w:pPr>
                    <w:adjustRightInd w:val="0"/>
                    <w:snapToGrid w:val="0"/>
                    <w:spacing w:line="240" w:lineRule="auto"/>
                    <w:ind w:firstLine="0" w:firstLineChars="0"/>
                    <w:jc w:val="center"/>
                    <w:rPr>
                      <w:sz w:val="21"/>
                      <w:lang w:val="zh-CN"/>
                    </w:rPr>
                  </w:pPr>
                  <w:r>
                    <w:rPr>
                      <w:rFonts w:hint="eastAsia"/>
                      <w:sz w:val="21"/>
                      <w:lang w:val="zh-CN"/>
                    </w:rPr>
                    <w:t>是</w:t>
                  </w:r>
                </w:p>
              </w:tc>
              <w:tc>
                <w:tcPr>
                  <w:tcW w:w="255" w:type="pct"/>
                  <w:vMerge w:val="restart"/>
                  <w:vAlign w:val="center"/>
                </w:tcPr>
                <w:p>
                  <w:pPr>
                    <w:adjustRightInd w:val="0"/>
                    <w:snapToGrid w:val="0"/>
                    <w:spacing w:line="240" w:lineRule="auto"/>
                    <w:ind w:firstLine="0" w:firstLineChars="0"/>
                    <w:jc w:val="center"/>
                    <w:rPr>
                      <w:sz w:val="21"/>
                      <w:lang w:val="zh-CN"/>
                    </w:rPr>
                  </w:pPr>
                  <w:r>
                    <w:rPr>
                      <w:rFonts w:hint="eastAsia"/>
                      <w:sz w:val="21"/>
                      <w:lang w:val="zh-CN"/>
                    </w:rPr>
                    <w:t>间接</w:t>
                  </w:r>
                </w:p>
              </w:tc>
              <w:tc>
                <w:tcPr>
                  <w:tcW w:w="356" w:type="pct"/>
                  <w:vMerge w:val="restart"/>
                  <w:vAlign w:val="center"/>
                </w:tcPr>
                <w:p>
                  <w:pPr>
                    <w:adjustRightInd w:val="0"/>
                    <w:snapToGrid w:val="0"/>
                    <w:spacing w:line="240" w:lineRule="auto"/>
                    <w:ind w:firstLine="0" w:firstLineChars="0"/>
                    <w:jc w:val="center"/>
                    <w:rPr>
                      <w:sz w:val="21"/>
                      <w:lang w:val="zh-CN"/>
                    </w:rPr>
                  </w:pPr>
                  <w:r>
                    <w:rPr>
                      <w:rFonts w:hint="eastAsia"/>
                      <w:sz w:val="21"/>
                      <w:lang w:val="zh-CN"/>
                    </w:rPr>
                    <w:t>DW002</w:t>
                  </w:r>
                </w:p>
              </w:tc>
              <w:tc>
                <w:tcPr>
                  <w:tcW w:w="458" w:type="pct"/>
                  <w:vAlign w:val="center"/>
                </w:tcPr>
                <w:p>
                  <w:pPr>
                    <w:adjustRightInd w:val="0"/>
                    <w:snapToGrid w:val="0"/>
                    <w:spacing w:line="240" w:lineRule="auto"/>
                    <w:ind w:firstLine="0" w:firstLineChars="0"/>
                    <w:jc w:val="center"/>
                    <w:rPr>
                      <w:sz w:val="21"/>
                      <w:lang w:val="zh-CN"/>
                    </w:rPr>
                  </w:pPr>
                  <w:r>
                    <w:rPr>
                      <w:sz w:val="21"/>
                      <w:lang w:val="zh-CN"/>
                    </w:rPr>
                    <w:t>300</w:t>
                  </w:r>
                </w:p>
              </w:tc>
              <w:tc>
                <w:tcPr>
                  <w:tcW w:w="374" w:type="pct"/>
                  <w:vAlign w:val="center"/>
                </w:tcPr>
                <w:p>
                  <w:pPr>
                    <w:adjustRightInd w:val="0"/>
                    <w:snapToGrid w:val="0"/>
                    <w:spacing w:line="240" w:lineRule="auto"/>
                    <w:ind w:firstLine="0" w:firstLineChars="0"/>
                    <w:jc w:val="center"/>
                    <w:rPr>
                      <w:sz w:val="21"/>
                      <w:lang w:val="zh-CN"/>
                    </w:rPr>
                  </w:pPr>
                  <w:r>
                    <w:rPr>
                      <w:sz w:val="21"/>
                      <w:lang w:val="zh-CN"/>
                    </w:rPr>
                    <w:t>0.1110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continue"/>
                  <w:vAlign w:val="center"/>
                </w:tcPr>
                <w:p>
                  <w:pPr>
                    <w:adjustRightInd w:val="0"/>
                    <w:snapToGrid w:val="0"/>
                    <w:spacing w:line="240" w:lineRule="auto"/>
                    <w:ind w:firstLine="0" w:firstLineChars="0"/>
                    <w:jc w:val="center"/>
                    <w:rPr>
                      <w:sz w:val="21"/>
                      <w:lang w:val="zh-CN"/>
                    </w:rPr>
                  </w:pPr>
                </w:p>
              </w:tc>
              <w:tc>
                <w:tcPr>
                  <w:tcW w:w="263" w:type="pct"/>
                  <w:vMerge w:val="continue"/>
                  <w:vAlign w:val="center"/>
                </w:tcPr>
                <w:p>
                  <w:pPr>
                    <w:adjustRightInd w:val="0"/>
                    <w:snapToGrid w:val="0"/>
                    <w:spacing w:line="240" w:lineRule="auto"/>
                    <w:ind w:firstLine="0" w:firstLineChars="0"/>
                    <w:jc w:val="center"/>
                    <w:rPr>
                      <w:sz w:val="21"/>
                      <w:lang w:val="zh-CN"/>
                    </w:rPr>
                  </w:pPr>
                </w:p>
              </w:tc>
              <w:tc>
                <w:tcPr>
                  <w:tcW w:w="247" w:type="pct"/>
                  <w:vMerge w:val="continue"/>
                  <w:vAlign w:val="center"/>
                </w:tcPr>
                <w:p>
                  <w:pPr>
                    <w:adjustRightInd w:val="0"/>
                    <w:snapToGrid w:val="0"/>
                    <w:spacing w:line="240" w:lineRule="auto"/>
                    <w:ind w:firstLine="0" w:firstLineChars="0"/>
                    <w:jc w:val="center"/>
                    <w:rPr>
                      <w:sz w:val="21"/>
                      <w:lang w:val="zh-CN"/>
                    </w:rPr>
                  </w:pPr>
                </w:p>
              </w:tc>
              <w:tc>
                <w:tcPr>
                  <w:tcW w:w="349" w:type="pct"/>
                  <w:vAlign w:val="center"/>
                </w:tcPr>
                <w:p>
                  <w:pPr>
                    <w:adjustRightInd w:val="0"/>
                    <w:snapToGrid w:val="0"/>
                    <w:spacing w:line="240" w:lineRule="auto"/>
                    <w:ind w:firstLine="0" w:firstLineChars="0"/>
                    <w:jc w:val="center"/>
                    <w:rPr>
                      <w:sz w:val="21"/>
                      <w:lang w:val="zh-CN"/>
                    </w:rPr>
                  </w:pPr>
                  <w:r>
                    <w:rPr>
                      <w:sz w:val="21"/>
                      <w:lang w:val="zh-CN"/>
                    </w:rPr>
                    <w:t>BOD</w:t>
                  </w:r>
                  <w:r>
                    <w:rPr>
                      <w:sz w:val="21"/>
                      <w:vertAlign w:val="subscript"/>
                      <w:lang w:val="zh-CN"/>
                    </w:rPr>
                    <w:t>5</w:t>
                  </w:r>
                </w:p>
              </w:tc>
              <w:tc>
                <w:tcPr>
                  <w:tcW w:w="356" w:type="pct"/>
                  <w:vAlign w:val="center"/>
                </w:tcPr>
                <w:p>
                  <w:pPr>
                    <w:adjustRightInd w:val="0"/>
                    <w:snapToGrid w:val="0"/>
                    <w:spacing w:line="240" w:lineRule="auto"/>
                    <w:ind w:firstLine="0" w:firstLineChars="0"/>
                    <w:jc w:val="center"/>
                    <w:rPr>
                      <w:sz w:val="21"/>
                      <w:lang w:val="zh-CN"/>
                    </w:rPr>
                  </w:pPr>
                  <w:r>
                    <w:rPr>
                      <w:sz w:val="21"/>
                      <w:lang w:val="zh-CN"/>
                    </w:rPr>
                    <w:t>295.6</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0.1094</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adjustRightInd w:val="0"/>
                    <w:snapToGrid w:val="0"/>
                    <w:spacing w:line="240" w:lineRule="auto"/>
                    <w:ind w:firstLine="0" w:firstLineChars="0"/>
                    <w:jc w:val="center"/>
                    <w:rPr>
                      <w:sz w:val="21"/>
                      <w:lang w:val="zh-CN"/>
                    </w:rPr>
                  </w:pPr>
                  <w:r>
                    <w:rPr>
                      <w:sz w:val="21"/>
                      <w:lang w:val="zh-CN"/>
                    </w:rPr>
                    <w:t>70</w:t>
                  </w:r>
                </w:p>
              </w:tc>
              <w:tc>
                <w:tcPr>
                  <w:tcW w:w="374" w:type="pct"/>
                  <w:vAlign w:val="center"/>
                </w:tcPr>
                <w:p>
                  <w:pPr>
                    <w:adjustRightInd w:val="0"/>
                    <w:snapToGrid w:val="0"/>
                    <w:spacing w:line="240" w:lineRule="auto"/>
                    <w:ind w:firstLine="0" w:firstLineChars="0"/>
                    <w:jc w:val="center"/>
                    <w:rPr>
                      <w:sz w:val="21"/>
                      <w:lang w:val="zh-CN"/>
                    </w:rPr>
                  </w:pPr>
                  <w:r>
                    <w:rPr>
                      <w:sz w:val="21"/>
                      <w:lang w:val="zh-CN"/>
                    </w:rPr>
                    <w:t>0.0259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continue"/>
                  <w:vAlign w:val="center"/>
                </w:tcPr>
                <w:p>
                  <w:pPr>
                    <w:adjustRightInd w:val="0"/>
                    <w:snapToGrid w:val="0"/>
                    <w:spacing w:line="240" w:lineRule="auto"/>
                    <w:ind w:firstLine="0" w:firstLineChars="0"/>
                    <w:jc w:val="center"/>
                    <w:rPr>
                      <w:sz w:val="21"/>
                      <w:lang w:val="zh-CN"/>
                    </w:rPr>
                  </w:pPr>
                </w:p>
              </w:tc>
              <w:tc>
                <w:tcPr>
                  <w:tcW w:w="263" w:type="pct"/>
                  <w:vMerge w:val="continue"/>
                  <w:vAlign w:val="center"/>
                </w:tcPr>
                <w:p>
                  <w:pPr>
                    <w:adjustRightInd w:val="0"/>
                    <w:snapToGrid w:val="0"/>
                    <w:spacing w:line="240" w:lineRule="auto"/>
                    <w:ind w:firstLine="0" w:firstLineChars="0"/>
                    <w:jc w:val="center"/>
                    <w:rPr>
                      <w:sz w:val="21"/>
                      <w:lang w:val="zh-CN"/>
                    </w:rPr>
                  </w:pPr>
                </w:p>
              </w:tc>
              <w:tc>
                <w:tcPr>
                  <w:tcW w:w="247" w:type="pct"/>
                  <w:vMerge w:val="continue"/>
                  <w:vAlign w:val="center"/>
                </w:tcPr>
                <w:p>
                  <w:pPr>
                    <w:adjustRightInd w:val="0"/>
                    <w:snapToGrid w:val="0"/>
                    <w:spacing w:line="240" w:lineRule="auto"/>
                    <w:ind w:firstLine="0" w:firstLineChars="0"/>
                    <w:jc w:val="center"/>
                    <w:rPr>
                      <w:sz w:val="21"/>
                      <w:lang w:val="zh-CN"/>
                    </w:rPr>
                  </w:pPr>
                </w:p>
              </w:tc>
              <w:tc>
                <w:tcPr>
                  <w:tcW w:w="349" w:type="pct"/>
                  <w:vAlign w:val="center"/>
                </w:tcPr>
                <w:p>
                  <w:pPr>
                    <w:adjustRightInd w:val="0"/>
                    <w:snapToGrid w:val="0"/>
                    <w:spacing w:line="240" w:lineRule="auto"/>
                    <w:ind w:firstLine="0" w:firstLineChars="0"/>
                    <w:jc w:val="center"/>
                    <w:rPr>
                      <w:sz w:val="21"/>
                      <w:lang w:val="zh-CN"/>
                    </w:rPr>
                  </w:pPr>
                  <w:r>
                    <w:rPr>
                      <w:sz w:val="21"/>
                      <w:lang w:val="zh-CN"/>
                    </w:rPr>
                    <w:t>SS</w:t>
                  </w:r>
                </w:p>
              </w:tc>
              <w:tc>
                <w:tcPr>
                  <w:tcW w:w="356" w:type="pct"/>
                  <w:vAlign w:val="center"/>
                </w:tcPr>
                <w:p>
                  <w:pPr>
                    <w:adjustRightInd w:val="0"/>
                    <w:snapToGrid w:val="0"/>
                    <w:spacing w:line="240" w:lineRule="auto"/>
                    <w:ind w:firstLine="0" w:firstLineChars="0"/>
                    <w:jc w:val="center"/>
                    <w:rPr>
                      <w:sz w:val="21"/>
                      <w:lang w:val="zh-CN"/>
                    </w:rPr>
                  </w:pPr>
                  <w:r>
                    <w:rPr>
                      <w:sz w:val="21"/>
                      <w:lang w:val="zh-CN"/>
                    </w:rPr>
                    <w:t>440.9</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0.1631</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adjustRightInd w:val="0"/>
                    <w:snapToGrid w:val="0"/>
                    <w:spacing w:line="240" w:lineRule="auto"/>
                    <w:ind w:firstLine="0" w:firstLineChars="0"/>
                    <w:jc w:val="center"/>
                    <w:rPr>
                      <w:sz w:val="21"/>
                      <w:lang w:val="zh-CN"/>
                    </w:rPr>
                  </w:pPr>
                  <w:r>
                    <w:rPr>
                      <w:sz w:val="21"/>
                      <w:lang w:val="zh-CN"/>
                    </w:rPr>
                    <w:t>70</w:t>
                  </w:r>
                </w:p>
              </w:tc>
              <w:tc>
                <w:tcPr>
                  <w:tcW w:w="374" w:type="pct"/>
                  <w:vAlign w:val="center"/>
                </w:tcPr>
                <w:p>
                  <w:pPr>
                    <w:adjustRightInd w:val="0"/>
                    <w:snapToGrid w:val="0"/>
                    <w:spacing w:line="240" w:lineRule="auto"/>
                    <w:ind w:firstLine="0" w:firstLineChars="0"/>
                    <w:jc w:val="center"/>
                    <w:rPr>
                      <w:sz w:val="21"/>
                      <w:lang w:val="zh-CN"/>
                    </w:rPr>
                  </w:pPr>
                  <w:r>
                    <w:rPr>
                      <w:sz w:val="21"/>
                      <w:lang w:val="zh-CN"/>
                    </w:rPr>
                    <w:t>0.0259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continue"/>
                  <w:vAlign w:val="center"/>
                </w:tcPr>
                <w:p>
                  <w:pPr>
                    <w:adjustRightInd w:val="0"/>
                    <w:snapToGrid w:val="0"/>
                    <w:spacing w:line="240" w:lineRule="auto"/>
                    <w:ind w:firstLine="0" w:firstLineChars="0"/>
                    <w:jc w:val="center"/>
                    <w:rPr>
                      <w:sz w:val="21"/>
                      <w:lang w:val="zh-CN"/>
                    </w:rPr>
                  </w:pPr>
                </w:p>
              </w:tc>
              <w:tc>
                <w:tcPr>
                  <w:tcW w:w="263" w:type="pct"/>
                  <w:vMerge w:val="continue"/>
                  <w:vAlign w:val="center"/>
                </w:tcPr>
                <w:p>
                  <w:pPr>
                    <w:adjustRightInd w:val="0"/>
                    <w:snapToGrid w:val="0"/>
                    <w:spacing w:line="240" w:lineRule="auto"/>
                    <w:ind w:firstLine="0" w:firstLineChars="0"/>
                    <w:jc w:val="center"/>
                    <w:rPr>
                      <w:sz w:val="21"/>
                      <w:lang w:val="zh-CN"/>
                    </w:rPr>
                  </w:pPr>
                </w:p>
              </w:tc>
              <w:tc>
                <w:tcPr>
                  <w:tcW w:w="247" w:type="pct"/>
                  <w:vMerge w:val="continue"/>
                  <w:vAlign w:val="center"/>
                </w:tcPr>
                <w:p>
                  <w:pPr>
                    <w:adjustRightInd w:val="0"/>
                    <w:snapToGrid w:val="0"/>
                    <w:spacing w:line="240" w:lineRule="auto"/>
                    <w:ind w:firstLine="0" w:firstLineChars="0"/>
                    <w:jc w:val="center"/>
                    <w:rPr>
                      <w:sz w:val="21"/>
                      <w:lang w:val="zh-CN"/>
                    </w:rPr>
                  </w:pPr>
                </w:p>
              </w:tc>
              <w:tc>
                <w:tcPr>
                  <w:tcW w:w="349" w:type="pct"/>
                  <w:vAlign w:val="center"/>
                </w:tcPr>
                <w:p>
                  <w:pPr>
                    <w:adjustRightInd w:val="0"/>
                    <w:snapToGrid w:val="0"/>
                    <w:spacing w:line="240" w:lineRule="auto"/>
                    <w:ind w:firstLine="0" w:firstLineChars="0"/>
                    <w:jc w:val="center"/>
                    <w:rPr>
                      <w:sz w:val="21"/>
                      <w:lang w:val="zh-CN"/>
                    </w:rPr>
                  </w:pPr>
                  <w:r>
                    <w:rPr>
                      <w:sz w:val="21"/>
                      <w:lang w:val="zh-CN"/>
                    </w:rPr>
                    <w:t>NH</w:t>
                  </w:r>
                  <w:r>
                    <w:rPr>
                      <w:sz w:val="21"/>
                      <w:vertAlign w:val="subscript"/>
                      <w:lang w:val="zh-CN"/>
                    </w:rPr>
                    <w:t>3</w:t>
                  </w:r>
                  <w:r>
                    <w:rPr>
                      <w:sz w:val="21"/>
                      <w:lang w:val="zh-CN"/>
                    </w:rPr>
                    <w:t>-N</w:t>
                  </w:r>
                </w:p>
              </w:tc>
              <w:tc>
                <w:tcPr>
                  <w:tcW w:w="356" w:type="pct"/>
                  <w:vAlign w:val="center"/>
                </w:tcPr>
                <w:p>
                  <w:pPr>
                    <w:adjustRightInd w:val="0"/>
                    <w:snapToGrid w:val="0"/>
                    <w:spacing w:line="240" w:lineRule="auto"/>
                    <w:ind w:firstLine="0" w:firstLineChars="0"/>
                    <w:jc w:val="center"/>
                    <w:rPr>
                      <w:sz w:val="21"/>
                      <w:lang w:val="zh-CN"/>
                    </w:rPr>
                  </w:pPr>
                  <w:r>
                    <w:rPr>
                      <w:sz w:val="21"/>
                      <w:lang w:val="zh-CN"/>
                    </w:rPr>
                    <w:t>118.0</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0.0436</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adjustRightInd w:val="0"/>
                    <w:snapToGrid w:val="0"/>
                    <w:spacing w:line="240" w:lineRule="auto"/>
                    <w:ind w:firstLine="0" w:firstLineChars="0"/>
                    <w:jc w:val="center"/>
                    <w:rPr>
                      <w:sz w:val="21"/>
                      <w:lang w:val="zh-CN"/>
                    </w:rPr>
                  </w:pPr>
                  <w:r>
                    <w:rPr>
                      <w:sz w:val="21"/>
                      <w:lang w:val="zh-CN"/>
                    </w:rPr>
                    <w:t>35</w:t>
                  </w:r>
                </w:p>
              </w:tc>
              <w:tc>
                <w:tcPr>
                  <w:tcW w:w="374" w:type="pct"/>
                  <w:vAlign w:val="center"/>
                </w:tcPr>
                <w:p>
                  <w:pPr>
                    <w:adjustRightInd w:val="0"/>
                    <w:snapToGrid w:val="0"/>
                    <w:spacing w:line="240" w:lineRule="auto"/>
                    <w:ind w:firstLine="0" w:firstLineChars="0"/>
                    <w:jc w:val="center"/>
                    <w:rPr>
                      <w:sz w:val="21"/>
                      <w:lang w:val="zh-CN"/>
                    </w:rPr>
                  </w:pPr>
                  <w:r>
                    <w:rPr>
                      <w:sz w:val="21"/>
                      <w:lang w:val="zh-CN"/>
                    </w:rPr>
                    <w:t>0.0129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continue"/>
                  <w:vAlign w:val="center"/>
                </w:tcPr>
                <w:p>
                  <w:pPr>
                    <w:adjustRightInd w:val="0"/>
                    <w:snapToGrid w:val="0"/>
                    <w:spacing w:line="240" w:lineRule="auto"/>
                    <w:ind w:firstLine="0" w:firstLineChars="0"/>
                    <w:jc w:val="center"/>
                    <w:rPr>
                      <w:sz w:val="21"/>
                      <w:lang w:val="zh-CN"/>
                    </w:rPr>
                  </w:pPr>
                </w:p>
              </w:tc>
              <w:tc>
                <w:tcPr>
                  <w:tcW w:w="263" w:type="pct"/>
                  <w:vMerge w:val="continue"/>
                  <w:vAlign w:val="center"/>
                </w:tcPr>
                <w:p>
                  <w:pPr>
                    <w:adjustRightInd w:val="0"/>
                    <w:snapToGrid w:val="0"/>
                    <w:spacing w:line="240" w:lineRule="auto"/>
                    <w:ind w:firstLine="0" w:firstLineChars="0"/>
                    <w:jc w:val="center"/>
                    <w:rPr>
                      <w:sz w:val="21"/>
                      <w:lang w:val="zh-CN"/>
                    </w:rPr>
                  </w:pPr>
                </w:p>
              </w:tc>
              <w:tc>
                <w:tcPr>
                  <w:tcW w:w="247" w:type="pct"/>
                  <w:vMerge w:val="continue"/>
                  <w:vAlign w:val="center"/>
                </w:tcPr>
                <w:p>
                  <w:pPr>
                    <w:adjustRightInd w:val="0"/>
                    <w:snapToGrid w:val="0"/>
                    <w:spacing w:line="240" w:lineRule="auto"/>
                    <w:ind w:firstLine="0" w:firstLineChars="0"/>
                    <w:jc w:val="center"/>
                    <w:rPr>
                      <w:sz w:val="21"/>
                      <w:lang w:val="zh-CN"/>
                    </w:rPr>
                  </w:pPr>
                </w:p>
              </w:tc>
              <w:tc>
                <w:tcPr>
                  <w:tcW w:w="349" w:type="pct"/>
                  <w:vAlign w:val="center"/>
                </w:tcPr>
                <w:p>
                  <w:pPr>
                    <w:adjustRightInd w:val="0"/>
                    <w:snapToGrid w:val="0"/>
                    <w:spacing w:line="240" w:lineRule="auto"/>
                    <w:ind w:firstLine="0" w:firstLineChars="0"/>
                    <w:jc w:val="center"/>
                    <w:rPr>
                      <w:sz w:val="21"/>
                      <w:lang w:val="zh-CN"/>
                    </w:rPr>
                  </w:pPr>
                  <w:r>
                    <w:rPr>
                      <w:rFonts w:hint="eastAsia"/>
                      <w:sz w:val="21"/>
                      <w:lang w:val="zh-CN"/>
                    </w:rPr>
                    <w:t>TN</w:t>
                  </w:r>
                </w:p>
              </w:tc>
              <w:tc>
                <w:tcPr>
                  <w:tcW w:w="356" w:type="pct"/>
                  <w:vAlign w:val="center"/>
                </w:tcPr>
                <w:p>
                  <w:pPr>
                    <w:adjustRightInd w:val="0"/>
                    <w:snapToGrid w:val="0"/>
                    <w:spacing w:line="240" w:lineRule="auto"/>
                    <w:ind w:firstLine="0" w:firstLineChars="0"/>
                    <w:jc w:val="center"/>
                    <w:rPr>
                      <w:sz w:val="21"/>
                      <w:lang w:val="zh-CN"/>
                    </w:rPr>
                  </w:pPr>
                  <w:r>
                    <w:rPr>
                      <w:sz w:val="21"/>
                      <w:lang w:val="zh-CN"/>
                    </w:rPr>
                    <w:t>135.8</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0.0502</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adjustRightInd w:val="0"/>
                    <w:snapToGrid w:val="0"/>
                    <w:spacing w:line="240" w:lineRule="auto"/>
                    <w:ind w:firstLine="0" w:firstLineChars="0"/>
                    <w:jc w:val="center"/>
                    <w:rPr>
                      <w:sz w:val="21"/>
                      <w:lang w:val="zh-CN"/>
                    </w:rPr>
                  </w:pPr>
                  <w:r>
                    <w:rPr>
                      <w:sz w:val="21"/>
                      <w:lang w:val="zh-CN"/>
                    </w:rPr>
                    <w:t>55</w:t>
                  </w:r>
                </w:p>
              </w:tc>
              <w:tc>
                <w:tcPr>
                  <w:tcW w:w="374" w:type="pct"/>
                  <w:vAlign w:val="center"/>
                </w:tcPr>
                <w:p>
                  <w:pPr>
                    <w:adjustRightInd w:val="0"/>
                    <w:snapToGrid w:val="0"/>
                    <w:spacing w:line="240" w:lineRule="auto"/>
                    <w:ind w:firstLine="0" w:firstLineChars="0"/>
                    <w:jc w:val="center"/>
                    <w:rPr>
                      <w:sz w:val="21"/>
                      <w:lang w:val="zh-CN"/>
                    </w:rPr>
                  </w:pPr>
                  <w:r>
                    <w:rPr>
                      <w:sz w:val="21"/>
                      <w:lang w:val="zh-CN"/>
                    </w:rPr>
                    <w:t>0.0203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continue"/>
                  <w:vAlign w:val="center"/>
                </w:tcPr>
                <w:p>
                  <w:pPr>
                    <w:adjustRightInd w:val="0"/>
                    <w:snapToGrid w:val="0"/>
                    <w:spacing w:line="240" w:lineRule="auto"/>
                    <w:ind w:firstLine="0" w:firstLineChars="0"/>
                    <w:jc w:val="center"/>
                    <w:rPr>
                      <w:sz w:val="21"/>
                      <w:lang w:val="zh-CN"/>
                    </w:rPr>
                  </w:pPr>
                </w:p>
              </w:tc>
              <w:tc>
                <w:tcPr>
                  <w:tcW w:w="263" w:type="pct"/>
                  <w:vMerge w:val="continue"/>
                  <w:vAlign w:val="center"/>
                </w:tcPr>
                <w:p>
                  <w:pPr>
                    <w:adjustRightInd w:val="0"/>
                    <w:snapToGrid w:val="0"/>
                    <w:spacing w:line="240" w:lineRule="auto"/>
                    <w:ind w:firstLine="0" w:firstLineChars="0"/>
                    <w:jc w:val="center"/>
                    <w:rPr>
                      <w:sz w:val="21"/>
                      <w:lang w:val="zh-CN"/>
                    </w:rPr>
                  </w:pPr>
                </w:p>
              </w:tc>
              <w:tc>
                <w:tcPr>
                  <w:tcW w:w="247" w:type="pct"/>
                  <w:vMerge w:val="continue"/>
                  <w:vAlign w:val="center"/>
                </w:tcPr>
                <w:p>
                  <w:pPr>
                    <w:adjustRightInd w:val="0"/>
                    <w:snapToGrid w:val="0"/>
                    <w:spacing w:line="240" w:lineRule="auto"/>
                    <w:ind w:firstLine="0" w:firstLineChars="0"/>
                    <w:jc w:val="center"/>
                    <w:rPr>
                      <w:sz w:val="21"/>
                      <w:lang w:val="zh-CN"/>
                    </w:rPr>
                  </w:pPr>
                </w:p>
              </w:tc>
              <w:tc>
                <w:tcPr>
                  <w:tcW w:w="349" w:type="pct"/>
                  <w:vAlign w:val="center"/>
                </w:tcPr>
                <w:p>
                  <w:pPr>
                    <w:adjustRightInd w:val="0"/>
                    <w:snapToGrid w:val="0"/>
                    <w:spacing w:line="240" w:lineRule="auto"/>
                    <w:ind w:firstLine="0" w:firstLineChars="0"/>
                    <w:jc w:val="center"/>
                    <w:rPr>
                      <w:sz w:val="21"/>
                      <w:lang w:val="zh-CN"/>
                    </w:rPr>
                  </w:pPr>
                  <w:r>
                    <w:rPr>
                      <w:rFonts w:hint="eastAsia"/>
                      <w:sz w:val="21"/>
                      <w:lang w:val="zh-CN"/>
                    </w:rPr>
                    <w:t>TP</w:t>
                  </w:r>
                </w:p>
              </w:tc>
              <w:tc>
                <w:tcPr>
                  <w:tcW w:w="356" w:type="pct"/>
                  <w:vAlign w:val="center"/>
                </w:tcPr>
                <w:p>
                  <w:pPr>
                    <w:adjustRightInd w:val="0"/>
                    <w:snapToGrid w:val="0"/>
                    <w:spacing w:line="240" w:lineRule="auto"/>
                    <w:ind w:firstLine="0" w:firstLineChars="0"/>
                    <w:jc w:val="center"/>
                    <w:rPr>
                      <w:sz w:val="21"/>
                      <w:lang w:val="zh-CN"/>
                    </w:rPr>
                  </w:pPr>
                  <w:r>
                    <w:rPr>
                      <w:sz w:val="21"/>
                      <w:lang w:val="zh-CN"/>
                    </w:rPr>
                    <w:t>30.3</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0.0112</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adjustRightInd w:val="0"/>
                    <w:snapToGrid w:val="0"/>
                    <w:spacing w:line="240" w:lineRule="auto"/>
                    <w:ind w:firstLine="0" w:firstLineChars="0"/>
                    <w:jc w:val="center"/>
                    <w:rPr>
                      <w:sz w:val="21"/>
                      <w:lang w:val="zh-CN"/>
                    </w:rPr>
                  </w:pPr>
                  <w:r>
                    <w:rPr>
                      <w:sz w:val="21"/>
                      <w:lang w:val="zh-CN"/>
                    </w:rPr>
                    <w:t>5</w:t>
                  </w:r>
                </w:p>
              </w:tc>
              <w:tc>
                <w:tcPr>
                  <w:tcW w:w="374" w:type="pct"/>
                  <w:vAlign w:val="center"/>
                </w:tcPr>
                <w:p>
                  <w:pPr>
                    <w:adjustRightInd w:val="0"/>
                    <w:snapToGrid w:val="0"/>
                    <w:spacing w:line="240" w:lineRule="auto"/>
                    <w:ind w:firstLine="0" w:firstLineChars="0"/>
                    <w:jc w:val="center"/>
                    <w:rPr>
                      <w:sz w:val="21"/>
                      <w:lang w:val="zh-CN"/>
                    </w:rPr>
                  </w:pPr>
                  <w:r>
                    <w:rPr>
                      <w:sz w:val="21"/>
                      <w:lang w:val="zh-CN"/>
                    </w:rPr>
                    <w:t>0.0018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restart"/>
                  <w:vAlign w:val="center"/>
                </w:tcPr>
                <w:p>
                  <w:pPr>
                    <w:adjustRightInd w:val="0"/>
                    <w:snapToGrid w:val="0"/>
                    <w:spacing w:line="240" w:lineRule="auto"/>
                    <w:ind w:firstLine="0" w:firstLineChars="0"/>
                    <w:jc w:val="center"/>
                    <w:rPr>
                      <w:sz w:val="21"/>
                      <w:lang w:val="zh-CN"/>
                    </w:rPr>
                  </w:pPr>
                  <w:r>
                    <w:rPr>
                      <w:sz w:val="21"/>
                      <w:lang w:val="zh-CN"/>
                    </w:rPr>
                    <w:t>5</w:t>
                  </w:r>
                </w:p>
              </w:tc>
              <w:tc>
                <w:tcPr>
                  <w:tcW w:w="263" w:type="pct"/>
                  <w:vMerge w:val="restart"/>
                  <w:vAlign w:val="center"/>
                </w:tcPr>
                <w:p>
                  <w:pPr>
                    <w:adjustRightInd w:val="0"/>
                    <w:snapToGrid w:val="0"/>
                    <w:spacing w:line="240" w:lineRule="auto"/>
                    <w:ind w:firstLine="0" w:firstLineChars="0"/>
                    <w:jc w:val="center"/>
                    <w:rPr>
                      <w:sz w:val="21"/>
                      <w:lang w:val="zh-CN"/>
                    </w:rPr>
                  </w:pPr>
                  <w:r>
                    <w:rPr>
                      <w:sz w:val="21"/>
                      <w:lang w:val="zh-CN"/>
                    </w:rPr>
                    <w:t>生活污水</w:t>
                  </w:r>
                </w:p>
              </w:tc>
              <w:tc>
                <w:tcPr>
                  <w:tcW w:w="247" w:type="pct"/>
                  <w:vMerge w:val="restart"/>
                  <w:vAlign w:val="center"/>
                </w:tcPr>
                <w:p>
                  <w:pPr>
                    <w:adjustRightInd w:val="0"/>
                    <w:snapToGrid w:val="0"/>
                    <w:spacing w:line="240" w:lineRule="auto"/>
                    <w:ind w:firstLine="0" w:firstLineChars="0"/>
                    <w:jc w:val="center"/>
                    <w:rPr>
                      <w:sz w:val="21"/>
                      <w:lang w:val="zh-CN"/>
                    </w:rPr>
                  </w:pPr>
                  <w:r>
                    <w:rPr>
                      <w:sz w:val="21"/>
                      <w:lang w:val="zh-CN"/>
                    </w:rPr>
                    <w:t>162</w:t>
                  </w:r>
                </w:p>
              </w:tc>
              <w:tc>
                <w:tcPr>
                  <w:tcW w:w="349" w:type="pct"/>
                  <w:vAlign w:val="center"/>
                </w:tcPr>
                <w:p>
                  <w:pPr>
                    <w:adjustRightInd w:val="0"/>
                    <w:snapToGrid w:val="0"/>
                    <w:spacing w:line="240" w:lineRule="auto"/>
                    <w:ind w:firstLine="0" w:firstLineChars="0"/>
                    <w:jc w:val="center"/>
                    <w:rPr>
                      <w:sz w:val="21"/>
                      <w:lang w:val="zh-CN"/>
                    </w:rPr>
                  </w:pPr>
                  <w:r>
                    <w:rPr>
                      <w:sz w:val="21"/>
                      <w:lang w:val="zh-CN"/>
                    </w:rPr>
                    <w:t>COD</w:t>
                  </w:r>
                </w:p>
              </w:tc>
              <w:tc>
                <w:tcPr>
                  <w:tcW w:w="356" w:type="pct"/>
                  <w:vAlign w:val="center"/>
                </w:tcPr>
                <w:p>
                  <w:pPr>
                    <w:adjustRightInd w:val="0"/>
                    <w:snapToGrid w:val="0"/>
                    <w:spacing w:line="240" w:lineRule="auto"/>
                    <w:ind w:firstLine="0" w:firstLineChars="0"/>
                    <w:jc w:val="center"/>
                    <w:rPr>
                      <w:sz w:val="21"/>
                      <w:lang w:val="zh-CN"/>
                    </w:rPr>
                  </w:pPr>
                  <w:r>
                    <w:rPr>
                      <w:sz w:val="21"/>
                      <w:lang w:val="zh-CN"/>
                    </w:rPr>
                    <w:t>450</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0.0729</w:t>
                  </w:r>
                </w:p>
              </w:tc>
              <w:tc>
                <w:tcPr>
                  <w:tcW w:w="1018" w:type="pct"/>
                  <w:vMerge w:val="restart"/>
                  <w:vAlign w:val="center"/>
                </w:tcPr>
                <w:p>
                  <w:pPr>
                    <w:adjustRightInd w:val="0"/>
                    <w:snapToGrid w:val="0"/>
                    <w:spacing w:line="240" w:lineRule="auto"/>
                    <w:ind w:firstLine="0" w:firstLineChars="0"/>
                    <w:jc w:val="center"/>
                    <w:rPr>
                      <w:sz w:val="21"/>
                      <w:lang w:val="zh-CN"/>
                    </w:rPr>
                  </w:pPr>
                  <w:r>
                    <w:rPr>
                      <w:rFonts w:hint="eastAsia"/>
                      <w:sz w:val="21"/>
                      <w:lang w:val="zh-CN"/>
                    </w:rPr>
                    <w:t>排入</w:t>
                  </w:r>
                  <w:r>
                    <w:rPr>
                      <w:sz w:val="21"/>
                      <w:lang w:val="zh-CN"/>
                    </w:rPr>
                    <w:t>宜企健</w:t>
                  </w:r>
                  <w:r>
                    <w:rPr>
                      <w:rFonts w:hint="eastAsia"/>
                      <w:sz w:val="21"/>
                      <w:lang w:val="zh-CN"/>
                    </w:rPr>
                    <w:t>污水</w:t>
                  </w:r>
                  <w:r>
                    <w:rPr>
                      <w:sz w:val="21"/>
                      <w:lang w:val="zh-CN"/>
                    </w:rPr>
                    <w:t>处理</w:t>
                  </w:r>
                  <w:r>
                    <w:rPr>
                      <w:rFonts w:hint="eastAsia"/>
                      <w:sz w:val="21"/>
                      <w:lang w:val="zh-CN"/>
                    </w:rPr>
                    <w:t>站，</w:t>
                  </w:r>
                  <w:r>
                    <w:rPr>
                      <w:sz w:val="21"/>
                      <w:lang w:val="zh-CN"/>
                    </w:rPr>
                    <w:t>处理工艺为：</w:t>
                  </w:r>
                  <w:r>
                    <w:rPr>
                      <w:rFonts w:hint="eastAsia"/>
                      <w:snapToGrid w:val="0"/>
                      <w:kern w:val="0"/>
                      <w:sz w:val="21"/>
                      <w:szCs w:val="21"/>
                    </w:rPr>
                    <w:t>格栅+隔油+调节+絮凝沉淀+厌氧+曝气沉淀+缺氧+多级接触氧化+沉淀</w:t>
                  </w:r>
                </w:p>
              </w:tc>
              <w:tc>
                <w:tcPr>
                  <w:tcW w:w="356" w:type="pct"/>
                  <w:vMerge w:val="restart"/>
                  <w:vAlign w:val="center"/>
                </w:tcPr>
                <w:p>
                  <w:pPr>
                    <w:adjustRightInd w:val="0"/>
                    <w:snapToGrid w:val="0"/>
                    <w:spacing w:line="240" w:lineRule="auto"/>
                    <w:ind w:firstLine="0" w:firstLineChars="0"/>
                    <w:jc w:val="center"/>
                    <w:rPr>
                      <w:sz w:val="21"/>
                      <w:lang w:val="zh-CN"/>
                    </w:rPr>
                  </w:pPr>
                  <w:r>
                    <w:rPr>
                      <w:rFonts w:hint="eastAsia"/>
                      <w:sz w:val="21"/>
                      <w:lang w:val="zh-CN"/>
                    </w:rPr>
                    <w:t>300</w:t>
                  </w:r>
                </w:p>
              </w:tc>
              <w:tc>
                <w:tcPr>
                  <w:tcW w:w="407" w:type="pct"/>
                  <w:vMerge w:val="restart"/>
                  <w:vAlign w:val="center"/>
                </w:tcPr>
                <w:p>
                  <w:pPr>
                    <w:adjustRightInd w:val="0"/>
                    <w:snapToGrid w:val="0"/>
                    <w:spacing w:line="240" w:lineRule="auto"/>
                    <w:ind w:firstLine="0" w:firstLineChars="0"/>
                    <w:jc w:val="center"/>
                    <w:rPr>
                      <w:sz w:val="21"/>
                      <w:lang w:val="zh-CN"/>
                    </w:rPr>
                  </w:pPr>
                  <w:r>
                    <w:rPr>
                      <w:rFonts w:hint="eastAsia"/>
                      <w:sz w:val="21"/>
                      <w:lang w:val="zh-CN"/>
                    </w:rPr>
                    <w:t>是</w:t>
                  </w:r>
                </w:p>
              </w:tc>
              <w:tc>
                <w:tcPr>
                  <w:tcW w:w="255" w:type="pct"/>
                  <w:vMerge w:val="restart"/>
                  <w:vAlign w:val="center"/>
                </w:tcPr>
                <w:p>
                  <w:pPr>
                    <w:adjustRightInd w:val="0"/>
                    <w:snapToGrid w:val="0"/>
                    <w:spacing w:line="240" w:lineRule="auto"/>
                    <w:ind w:firstLine="0" w:firstLineChars="0"/>
                    <w:jc w:val="center"/>
                    <w:rPr>
                      <w:sz w:val="21"/>
                      <w:lang w:val="zh-CN"/>
                    </w:rPr>
                  </w:pPr>
                  <w:r>
                    <w:rPr>
                      <w:rFonts w:hint="eastAsia"/>
                      <w:sz w:val="21"/>
                      <w:lang w:val="zh-CN"/>
                    </w:rPr>
                    <w:t>间接</w:t>
                  </w:r>
                </w:p>
              </w:tc>
              <w:tc>
                <w:tcPr>
                  <w:tcW w:w="356" w:type="pct"/>
                  <w:vMerge w:val="restart"/>
                  <w:vAlign w:val="center"/>
                </w:tcPr>
                <w:p>
                  <w:pPr>
                    <w:adjustRightInd w:val="0"/>
                    <w:snapToGrid w:val="0"/>
                    <w:spacing w:line="240" w:lineRule="auto"/>
                    <w:ind w:firstLine="0" w:firstLineChars="0"/>
                    <w:jc w:val="center"/>
                    <w:rPr>
                      <w:sz w:val="21"/>
                      <w:lang w:val="zh-CN"/>
                    </w:rPr>
                  </w:pPr>
                  <w:r>
                    <w:rPr>
                      <w:rFonts w:hint="eastAsia"/>
                      <w:sz w:val="21"/>
                      <w:lang w:val="zh-CN"/>
                    </w:rPr>
                    <w:t>DW00</w:t>
                  </w:r>
                  <w:r>
                    <w:rPr>
                      <w:sz w:val="21"/>
                      <w:lang w:val="zh-CN"/>
                    </w:rPr>
                    <w:t>1</w:t>
                  </w:r>
                </w:p>
              </w:tc>
              <w:tc>
                <w:tcPr>
                  <w:tcW w:w="458"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c>
                <w:tcPr>
                  <w:tcW w:w="374"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continue"/>
                  <w:vAlign w:val="center"/>
                </w:tcPr>
                <w:p>
                  <w:pPr>
                    <w:adjustRightInd w:val="0"/>
                    <w:snapToGrid w:val="0"/>
                    <w:spacing w:line="240" w:lineRule="auto"/>
                    <w:ind w:firstLine="0" w:firstLineChars="0"/>
                    <w:jc w:val="center"/>
                    <w:rPr>
                      <w:sz w:val="21"/>
                      <w:lang w:val="zh-CN"/>
                    </w:rPr>
                  </w:pPr>
                </w:p>
              </w:tc>
              <w:tc>
                <w:tcPr>
                  <w:tcW w:w="263" w:type="pct"/>
                  <w:vMerge w:val="continue"/>
                  <w:vAlign w:val="center"/>
                </w:tcPr>
                <w:p>
                  <w:pPr>
                    <w:adjustRightInd w:val="0"/>
                    <w:snapToGrid w:val="0"/>
                    <w:spacing w:line="240" w:lineRule="auto"/>
                    <w:ind w:firstLine="0" w:firstLineChars="0"/>
                    <w:jc w:val="center"/>
                    <w:rPr>
                      <w:sz w:val="21"/>
                      <w:lang w:val="zh-CN"/>
                    </w:rPr>
                  </w:pPr>
                </w:p>
              </w:tc>
              <w:tc>
                <w:tcPr>
                  <w:tcW w:w="247" w:type="pct"/>
                  <w:vMerge w:val="continue"/>
                  <w:vAlign w:val="center"/>
                </w:tcPr>
                <w:p>
                  <w:pPr>
                    <w:adjustRightInd w:val="0"/>
                    <w:snapToGrid w:val="0"/>
                    <w:spacing w:line="240" w:lineRule="auto"/>
                    <w:ind w:firstLine="0" w:firstLineChars="0"/>
                    <w:jc w:val="center"/>
                    <w:rPr>
                      <w:sz w:val="21"/>
                      <w:lang w:val="zh-CN"/>
                    </w:rPr>
                  </w:pPr>
                </w:p>
              </w:tc>
              <w:tc>
                <w:tcPr>
                  <w:tcW w:w="349" w:type="pct"/>
                  <w:vAlign w:val="center"/>
                </w:tcPr>
                <w:p>
                  <w:pPr>
                    <w:adjustRightInd w:val="0"/>
                    <w:snapToGrid w:val="0"/>
                    <w:spacing w:line="240" w:lineRule="auto"/>
                    <w:ind w:firstLine="0" w:firstLineChars="0"/>
                    <w:jc w:val="center"/>
                    <w:rPr>
                      <w:sz w:val="21"/>
                      <w:lang w:val="zh-CN"/>
                    </w:rPr>
                  </w:pPr>
                  <w:r>
                    <w:rPr>
                      <w:sz w:val="21"/>
                      <w:lang w:val="zh-CN"/>
                    </w:rPr>
                    <w:t>BOD</w:t>
                  </w:r>
                  <w:r>
                    <w:rPr>
                      <w:sz w:val="21"/>
                      <w:vertAlign w:val="subscript"/>
                      <w:lang w:val="zh-CN"/>
                    </w:rPr>
                    <w:t>5</w:t>
                  </w:r>
                </w:p>
              </w:tc>
              <w:tc>
                <w:tcPr>
                  <w:tcW w:w="356" w:type="pct"/>
                  <w:vAlign w:val="center"/>
                </w:tcPr>
                <w:p>
                  <w:pPr>
                    <w:adjustRightInd w:val="0"/>
                    <w:snapToGrid w:val="0"/>
                    <w:spacing w:line="240" w:lineRule="auto"/>
                    <w:ind w:firstLine="0" w:firstLineChars="0"/>
                    <w:jc w:val="center"/>
                    <w:rPr>
                      <w:sz w:val="21"/>
                      <w:lang w:val="zh-CN"/>
                    </w:rPr>
                  </w:pPr>
                  <w:r>
                    <w:rPr>
                      <w:sz w:val="21"/>
                      <w:lang w:val="zh-CN"/>
                    </w:rPr>
                    <w:t>200</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0.0324</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c>
                <w:tcPr>
                  <w:tcW w:w="374"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continue"/>
                  <w:vAlign w:val="center"/>
                </w:tcPr>
                <w:p>
                  <w:pPr>
                    <w:adjustRightInd w:val="0"/>
                    <w:snapToGrid w:val="0"/>
                    <w:spacing w:line="240" w:lineRule="auto"/>
                    <w:ind w:firstLine="0" w:firstLineChars="0"/>
                    <w:jc w:val="center"/>
                    <w:rPr>
                      <w:sz w:val="21"/>
                      <w:lang w:val="zh-CN"/>
                    </w:rPr>
                  </w:pPr>
                </w:p>
              </w:tc>
              <w:tc>
                <w:tcPr>
                  <w:tcW w:w="263" w:type="pct"/>
                  <w:vMerge w:val="continue"/>
                  <w:vAlign w:val="center"/>
                </w:tcPr>
                <w:p>
                  <w:pPr>
                    <w:adjustRightInd w:val="0"/>
                    <w:snapToGrid w:val="0"/>
                    <w:spacing w:line="240" w:lineRule="auto"/>
                    <w:ind w:firstLine="0" w:firstLineChars="0"/>
                    <w:jc w:val="center"/>
                    <w:rPr>
                      <w:sz w:val="21"/>
                      <w:lang w:val="zh-CN"/>
                    </w:rPr>
                  </w:pPr>
                </w:p>
              </w:tc>
              <w:tc>
                <w:tcPr>
                  <w:tcW w:w="247" w:type="pct"/>
                  <w:vMerge w:val="continue"/>
                  <w:vAlign w:val="center"/>
                </w:tcPr>
                <w:p>
                  <w:pPr>
                    <w:adjustRightInd w:val="0"/>
                    <w:snapToGrid w:val="0"/>
                    <w:spacing w:line="240" w:lineRule="auto"/>
                    <w:ind w:firstLine="0" w:firstLineChars="0"/>
                    <w:jc w:val="center"/>
                    <w:rPr>
                      <w:sz w:val="21"/>
                      <w:lang w:val="zh-CN"/>
                    </w:rPr>
                  </w:pPr>
                </w:p>
              </w:tc>
              <w:tc>
                <w:tcPr>
                  <w:tcW w:w="349" w:type="pct"/>
                  <w:vAlign w:val="center"/>
                </w:tcPr>
                <w:p>
                  <w:pPr>
                    <w:adjustRightInd w:val="0"/>
                    <w:snapToGrid w:val="0"/>
                    <w:spacing w:line="240" w:lineRule="auto"/>
                    <w:ind w:firstLine="0" w:firstLineChars="0"/>
                    <w:jc w:val="center"/>
                    <w:rPr>
                      <w:sz w:val="21"/>
                      <w:lang w:val="zh-CN"/>
                    </w:rPr>
                  </w:pPr>
                  <w:r>
                    <w:rPr>
                      <w:sz w:val="21"/>
                      <w:lang w:val="zh-CN"/>
                    </w:rPr>
                    <w:t>SS</w:t>
                  </w:r>
                </w:p>
              </w:tc>
              <w:tc>
                <w:tcPr>
                  <w:tcW w:w="356" w:type="pct"/>
                  <w:vAlign w:val="center"/>
                </w:tcPr>
                <w:p>
                  <w:pPr>
                    <w:adjustRightInd w:val="0"/>
                    <w:snapToGrid w:val="0"/>
                    <w:spacing w:line="240" w:lineRule="auto"/>
                    <w:ind w:firstLine="0" w:firstLineChars="0"/>
                    <w:jc w:val="center"/>
                    <w:rPr>
                      <w:sz w:val="21"/>
                      <w:lang w:val="zh-CN"/>
                    </w:rPr>
                  </w:pPr>
                  <w:r>
                    <w:rPr>
                      <w:sz w:val="21"/>
                      <w:lang w:val="zh-CN"/>
                    </w:rPr>
                    <w:t>250</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0.0405</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c>
                <w:tcPr>
                  <w:tcW w:w="374"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continue"/>
                  <w:vAlign w:val="center"/>
                </w:tcPr>
                <w:p>
                  <w:pPr>
                    <w:adjustRightInd w:val="0"/>
                    <w:snapToGrid w:val="0"/>
                    <w:spacing w:line="240" w:lineRule="auto"/>
                    <w:ind w:firstLine="0" w:firstLineChars="0"/>
                    <w:jc w:val="center"/>
                    <w:rPr>
                      <w:sz w:val="21"/>
                      <w:lang w:val="zh-CN"/>
                    </w:rPr>
                  </w:pPr>
                </w:p>
              </w:tc>
              <w:tc>
                <w:tcPr>
                  <w:tcW w:w="263" w:type="pct"/>
                  <w:vMerge w:val="continue"/>
                  <w:vAlign w:val="center"/>
                </w:tcPr>
                <w:p>
                  <w:pPr>
                    <w:adjustRightInd w:val="0"/>
                    <w:snapToGrid w:val="0"/>
                    <w:spacing w:line="240" w:lineRule="auto"/>
                    <w:ind w:firstLine="0" w:firstLineChars="0"/>
                    <w:jc w:val="center"/>
                    <w:rPr>
                      <w:sz w:val="21"/>
                      <w:lang w:val="zh-CN"/>
                    </w:rPr>
                  </w:pPr>
                </w:p>
              </w:tc>
              <w:tc>
                <w:tcPr>
                  <w:tcW w:w="247" w:type="pct"/>
                  <w:vMerge w:val="continue"/>
                  <w:vAlign w:val="center"/>
                </w:tcPr>
                <w:p>
                  <w:pPr>
                    <w:adjustRightInd w:val="0"/>
                    <w:snapToGrid w:val="0"/>
                    <w:spacing w:line="240" w:lineRule="auto"/>
                    <w:ind w:firstLine="0" w:firstLineChars="0"/>
                    <w:jc w:val="center"/>
                    <w:rPr>
                      <w:sz w:val="21"/>
                      <w:lang w:val="zh-CN"/>
                    </w:rPr>
                  </w:pPr>
                </w:p>
              </w:tc>
              <w:tc>
                <w:tcPr>
                  <w:tcW w:w="349" w:type="pct"/>
                  <w:vAlign w:val="center"/>
                </w:tcPr>
                <w:p>
                  <w:pPr>
                    <w:adjustRightInd w:val="0"/>
                    <w:snapToGrid w:val="0"/>
                    <w:spacing w:line="240" w:lineRule="auto"/>
                    <w:ind w:firstLine="0" w:firstLineChars="0"/>
                    <w:jc w:val="center"/>
                    <w:rPr>
                      <w:sz w:val="21"/>
                      <w:lang w:val="zh-CN"/>
                    </w:rPr>
                  </w:pPr>
                  <w:r>
                    <w:rPr>
                      <w:sz w:val="21"/>
                      <w:lang w:val="zh-CN"/>
                    </w:rPr>
                    <w:t>NH</w:t>
                  </w:r>
                  <w:r>
                    <w:rPr>
                      <w:sz w:val="21"/>
                      <w:vertAlign w:val="subscript"/>
                      <w:lang w:val="zh-CN"/>
                    </w:rPr>
                    <w:t>3</w:t>
                  </w:r>
                  <w:r>
                    <w:rPr>
                      <w:sz w:val="21"/>
                      <w:lang w:val="zh-CN"/>
                    </w:rPr>
                    <w:t>-N</w:t>
                  </w:r>
                </w:p>
              </w:tc>
              <w:tc>
                <w:tcPr>
                  <w:tcW w:w="356" w:type="pct"/>
                  <w:vAlign w:val="center"/>
                </w:tcPr>
                <w:p>
                  <w:pPr>
                    <w:adjustRightInd w:val="0"/>
                    <w:snapToGrid w:val="0"/>
                    <w:spacing w:line="240" w:lineRule="auto"/>
                    <w:ind w:firstLine="0" w:firstLineChars="0"/>
                    <w:jc w:val="center"/>
                    <w:rPr>
                      <w:sz w:val="21"/>
                      <w:lang w:val="zh-CN"/>
                    </w:rPr>
                  </w:pPr>
                  <w:r>
                    <w:rPr>
                      <w:sz w:val="21"/>
                      <w:lang w:val="zh-CN"/>
                    </w:rPr>
                    <w:t>50</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0.0081</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c>
                <w:tcPr>
                  <w:tcW w:w="374" w:type="pct"/>
                  <w:vAlign w:val="center"/>
                </w:tcPr>
                <w:p>
                  <w:pPr>
                    <w:adjustRightInd w:val="0"/>
                    <w:snapToGrid w:val="0"/>
                    <w:spacing w:line="240" w:lineRule="auto"/>
                    <w:ind w:firstLine="0" w:firstLineChars="0"/>
                    <w:jc w:val="center"/>
                    <w:rPr>
                      <w:sz w:val="21"/>
                      <w:lang w:val="zh-CN"/>
                    </w:rPr>
                  </w:pPr>
                  <w:r>
                    <w:rPr>
                      <w:rFonts w:hint="eastAsia"/>
                      <w:sz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restart"/>
                  <w:vAlign w:val="center"/>
                </w:tcPr>
                <w:p>
                  <w:pPr>
                    <w:adjustRightInd w:val="0"/>
                    <w:snapToGrid w:val="0"/>
                    <w:spacing w:line="240" w:lineRule="auto"/>
                    <w:ind w:firstLine="0" w:firstLineChars="0"/>
                    <w:jc w:val="center"/>
                    <w:rPr>
                      <w:sz w:val="21"/>
                      <w:lang w:val="zh-CN"/>
                    </w:rPr>
                  </w:pPr>
                  <w:r>
                    <w:rPr>
                      <w:rFonts w:hint="eastAsia"/>
                      <w:sz w:val="21"/>
                      <w:lang w:val="zh-CN"/>
                    </w:rPr>
                    <w:t>6</w:t>
                  </w:r>
                </w:p>
              </w:tc>
              <w:tc>
                <w:tcPr>
                  <w:tcW w:w="263" w:type="pct"/>
                  <w:vMerge w:val="restart"/>
                  <w:vAlign w:val="center"/>
                </w:tcPr>
                <w:p>
                  <w:pPr>
                    <w:adjustRightInd w:val="0"/>
                    <w:snapToGrid w:val="0"/>
                    <w:spacing w:line="240" w:lineRule="auto"/>
                    <w:ind w:firstLine="0" w:firstLineChars="0"/>
                    <w:jc w:val="center"/>
                    <w:rPr>
                      <w:sz w:val="21"/>
                      <w:lang w:val="zh-CN"/>
                    </w:rPr>
                  </w:pPr>
                  <w:r>
                    <w:rPr>
                      <w:rFonts w:hint="eastAsia"/>
                      <w:sz w:val="21"/>
                      <w:lang w:val="zh-CN"/>
                    </w:rPr>
                    <w:t>项目</w:t>
                  </w:r>
                  <w:r>
                    <w:rPr>
                      <w:sz w:val="21"/>
                      <w:lang w:val="zh-CN"/>
                    </w:rPr>
                    <w:t>废水合计</w:t>
                  </w:r>
                </w:p>
              </w:tc>
              <w:tc>
                <w:tcPr>
                  <w:tcW w:w="247" w:type="pct"/>
                  <w:vMerge w:val="restart"/>
                  <w:vAlign w:val="center"/>
                </w:tcPr>
                <w:p>
                  <w:pPr>
                    <w:adjustRightInd w:val="0"/>
                    <w:snapToGrid w:val="0"/>
                    <w:spacing w:line="240" w:lineRule="auto"/>
                    <w:ind w:firstLine="0" w:firstLineChars="0"/>
                    <w:jc w:val="center"/>
                    <w:rPr>
                      <w:sz w:val="21"/>
                      <w:lang w:val="zh-CN"/>
                    </w:rPr>
                  </w:pPr>
                  <w:r>
                    <w:rPr>
                      <w:rFonts w:hint="eastAsia"/>
                      <w:sz w:val="21"/>
                      <w:lang w:val="zh-CN"/>
                    </w:rPr>
                    <w:t>531.9</w:t>
                  </w:r>
                </w:p>
              </w:tc>
              <w:tc>
                <w:tcPr>
                  <w:tcW w:w="349" w:type="pct"/>
                  <w:vAlign w:val="center"/>
                </w:tcPr>
                <w:p>
                  <w:pPr>
                    <w:adjustRightInd w:val="0"/>
                    <w:snapToGrid w:val="0"/>
                    <w:spacing w:line="240" w:lineRule="auto"/>
                    <w:ind w:firstLine="0" w:firstLineChars="0"/>
                    <w:jc w:val="center"/>
                    <w:rPr>
                      <w:sz w:val="21"/>
                      <w:lang w:val="zh-CN"/>
                    </w:rPr>
                  </w:pPr>
                  <w:r>
                    <w:rPr>
                      <w:sz w:val="21"/>
                      <w:lang w:val="zh-CN"/>
                    </w:rPr>
                    <w:t>COD</w:t>
                  </w:r>
                </w:p>
              </w:tc>
              <w:tc>
                <w:tcPr>
                  <w:tcW w:w="356" w:type="pct"/>
                  <w:vAlign w:val="center"/>
                </w:tcPr>
                <w:p>
                  <w:pPr>
                    <w:adjustRightInd w:val="0"/>
                    <w:snapToGrid w:val="0"/>
                    <w:spacing w:line="240" w:lineRule="auto"/>
                    <w:ind w:firstLine="0" w:firstLineChars="0"/>
                    <w:jc w:val="center"/>
                    <w:rPr>
                      <w:sz w:val="21"/>
                      <w:lang w:val="zh-CN"/>
                    </w:rPr>
                  </w:pPr>
                  <w:r>
                    <w:rPr>
                      <w:sz w:val="21"/>
                      <w:lang w:val="zh-CN"/>
                    </w:rPr>
                    <w:t>793.4</w:t>
                  </w:r>
                </w:p>
              </w:tc>
              <w:tc>
                <w:tcPr>
                  <w:tcW w:w="407" w:type="pct"/>
                  <w:vAlign w:val="center"/>
                </w:tcPr>
                <w:p>
                  <w:pPr>
                    <w:adjustRightInd w:val="0"/>
                    <w:snapToGrid w:val="0"/>
                    <w:spacing w:line="240" w:lineRule="auto"/>
                    <w:ind w:firstLine="0" w:firstLineChars="0"/>
                    <w:jc w:val="center"/>
                    <w:rPr>
                      <w:sz w:val="21"/>
                      <w:lang w:val="zh-CN"/>
                    </w:rPr>
                  </w:pPr>
                  <w:r>
                    <w:rPr>
                      <w:rFonts w:hint="eastAsia"/>
                      <w:sz w:val="21"/>
                      <w:lang w:val="zh-CN"/>
                    </w:rPr>
                    <w:t>0.422</w:t>
                  </w:r>
                  <w:r>
                    <w:rPr>
                      <w:sz w:val="21"/>
                      <w:lang w:val="zh-CN"/>
                    </w:rPr>
                    <w:t>0</w:t>
                  </w:r>
                </w:p>
              </w:tc>
              <w:tc>
                <w:tcPr>
                  <w:tcW w:w="1018" w:type="pct"/>
                  <w:vMerge w:val="restart"/>
                  <w:vAlign w:val="center"/>
                </w:tcPr>
                <w:p>
                  <w:pPr>
                    <w:adjustRightInd w:val="0"/>
                    <w:snapToGrid w:val="0"/>
                    <w:spacing w:line="240" w:lineRule="auto"/>
                    <w:ind w:firstLine="0" w:firstLineChars="0"/>
                    <w:jc w:val="center"/>
                    <w:rPr>
                      <w:sz w:val="21"/>
                      <w:lang w:val="zh-CN"/>
                    </w:rPr>
                  </w:pPr>
                  <w:r>
                    <w:rPr>
                      <w:rFonts w:hint="eastAsia"/>
                      <w:sz w:val="21"/>
                      <w:lang w:val="zh-CN"/>
                    </w:rPr>
                    <w:t>生产</w:t>
                  </w:r>
                  <w:r>
                    <w:rPr>
                      <w:sz w:val="21"/>
                      <w:lang w:val="zh-CN"/>
                    </w:rPr>
                    <w:t>废水预处理后</w:t>
                  </w:r>
                  <w:r>
                    <w:rPr>
                      <w:rFonts w:hint="eastAsia"/>
                      <w:sz w:val="21"/>
                      <w:lang w:val="zh-CN"/>
                    </w:rPr>
                    <w:t>排入</w:t>
                  </w:r>
                  <w:r>
                    <w:rPr>
                      <w:sz w:val="21"/>
                      <w:lang w:val="zh-CN"/>
                    </w:rPr>
                    <w:t>宜企健</w:t>
                  </w:r>
                  <w:r>
                    <w:rPr>
                      <w:rFonts w:hint="eastAsia"/>
                      <w:sz w:val="21"/>
                      <w:lang w:val="zh-CN"/>
                    </w:rPr>
                    <w:t>污水</w:t>
                  </w:r>
                  <w:r>
                    <w:rPr>
                      <w:sz w:val="21"/>
                      <w:lang w:val="zh-CN"/>
                    </w:rPr>
                    <w:t>处理</w:t>
                  </w:r>
                  <w:r>
                    <w:rPr>
                      <w:rFonts w:hint="eastAsia"/>
                      <w:sz w:val="21"/>
                      <w:lang w:val="zh-CN"/>
                    </w:rPr>
                    <w:t>站，</w:t>
                  </w:r>
                  <w:r>
                    <w:rPr>
                      <w:sz w:val="21"/>
                      <w:lang w:val="zh-CN"/>
                    </w:rPr>
                    <w:t>处理工艺为：</w:t>
                  </w:r>
                  <w:r>
                    <w:rPr>
                      <w:rFonts w:hint="eastAsia"/>
                      <w:snapToGrid w:val="0"/>
                      <w:kern w:val="0"/>
                      <w:sz w:val="21"/>
                      <w:szCs w:val="21"/>
                    </w:rPr>
                    <w:t>格栅+隔油+调节+絮凝沉淀+厌氧+曝气沉淀+缺氧+多级接触氧化+沉淀</w:t>
                  </w:r>
                </w:p>
              </w:tc>
              <w:tc>
                <w:tcPr>
                  <w:tcW w:w="356" w:type="pct"/>
                  <w:vMerge w:val="restart"/>
                  <w:vAlign w:val="center"/>
                </w:tcPr>
                <w:p>
                  <w:pPr>
                    <w:adjustRightInd w:val="0"/>
                    <w:snapToGrid w:val="0"/>
                    <w:spacing w:line="240" w:lineRule="auto"/>
                    <w:ind w:firstLine="0" w:firstLineChars="0"/>
                    <w:jc w:val="center"/>
                    <w:rPr>
                      <w:sz w:val="21"/>
                    </w:rPr>
                  </w:pPr>
                  <w:r>
                    <w:rPr>
                      <w:rFonts w:hint="eastAsia"/>
                      <w:sz w:val="21"/>
                    </w:rPr>
                    <w:t>300</w:t>
                  </w:r>
                </w:p>
              </w:tc>
              <w:tc>
                <w:tcPr>
                  <w:tcW w:w="407" w:type="pct"/>
                  <w:vMerge w:val="restart"/>
                  <w:vAlign w:val="center"/>
                </w:tcPr>
                <w:p>
                  <w:pPr>
                    <w:adjustRightInd w:val="0"/>
                    <w:snapToGrid w:val="0"/>
                    <w:spacing w:line="240" w:lineRule="auto"/>
                    <w:ind w:firstLine="0" w:firstLineChars="0"/>
                    <w:jc w:val="center"/>
                    <w:rPr>
                      <w:sz w:val="21"/>
                      <w:lang w:val="zh-CN"/>
                    </w:rPr>
                  </w:pPr>
                  <w:r>
                    <w:rPr>
                      <w:rFonts w:hint="eastAsia"/>
                      <w:sz w:val="21"/>
                      <w:lang w:val="zh-CN"/>
                    </w:rPr>
                    <w:t>是</w:t>
                  </w:r>
                </w:p>
              </w:tc>
              <w:tc>
                <w:tcPr>
                  <w:tcW w:w="255" w:type="pct"/>
                  <w:vMerge w:val="restart"/>
                  <w:vAlign w:val="center"/>
                </w:tcPr>
                <w:p>
                  <w:pPr>
                    <w:adjustRightInd w:val="0"/>
                    <w:snapToGrid w:val="0"/>
                    <w:spacing w:line="240" w:lineRule="auto"/>
                    <w:ind w:firstLine="0" w:firstLineChars="0"/>
                    <w:jc w:val="center"/>
                    <w:rPr>
                      <w:sz w:val="21"/>
                      <w:lang w:val="zh-CN"/>
                    </w:rPr>
                  </w:pPr>
                  <w:r>
                    <w:rPr>
                      <w:rFonts w:hint="eastAsia"/>
                      <w:sz w:val="21"/>
                      <w:lang w:val="zh-CN"/>
                    </w:rPr>
                    <w:t>间接</w:t>
                  </w:r>
                </w:p>
              </w:tc>
              <w:tc>
                <w:tcPr>
                  <w:tcW w:w="356" w:type="pct"/>
                  <w:vMerge w:val="restart"/>
                  <w:vAlign w:val="center"/>
                </w:tcPr>
                <w:p>
                  <w:pPr>
                    <w:adjustRightInd w:val="0"/>
                    <w:snapToGrid w:val="0"/>
                    <w:spacing w:line="240" w:lineRule="auto"/>
                    <w:ind w:firstLine="0" w:firstLineChars="0"/>
                    <w:jc w:val="center"/>
                    <w:rPr>
                      <w:sz w:val="21"/>
                      <w:lang w:val="zh-CN"/>
                    </w:rPr>
                  </w:pPr>
                  <w:r>
                    <w:rPr>
                      <w:rFonts w:hint="eastAsia"/>
                      <w:sz w:val="21"/>
                      <w:lang w:val="zh-CN"/>
                    </w:rPr>
                    <w:t>DW001</w:t>
                  </w:r>
                </w:p>
              </w:tc>
              <w:tc>
                <w:tcPr>
                  <w:tcW w:w="458" w:type="pct"/>
                  <w:vAlign w:val="center"/>
                </w:tcPr>
                <w:p>
                  <w:pPr>
                    <w:widowControl/>
                    <w:spacing w:line="240" w:lineRule="auto"/>
                    <w:ind w:firstLine="0" w:firstLineChars="0"/>
                    <w:jc w:val="center"/>
                    <w:rPr>
                      <w:color w:val="000000"/>
                      <w:kern w:val="0"/>
                      <w:sz w:val="21"/>
                      <w:szCs w:val="21"/>
                    </w:rPr>
                  </w:pPr>
                  <w:r>
                    <w:rPr>
                      <w:color w:val="000000"/>
                      <w:sz w:val="21"/>
                      <w:szCs w:val="21"/>
                    </w:rPr>
                    <w:t>500</w:t>
                  </w:r>
                </w:p>
              </w:tc>
              <w:tc>
                <w:tcPr>
                  <w:tcW w:w="374" w:type="pct"/>
                  <w:vAlign w:val="center"/>
                </w:tcPr>
                <w:p>
                  <w:pPr>
                    <w:spacing w:line="240" w:lineRule="auto"/>
                    <w:ind w:firstLine="0" w:firstLineChars="0"/>
                    <w:jc w:val="center"/>
                    <w:rPr>
                      <w:color w:val="000000"/>
                      <w:sz w:val="21"/>
                      <w:szCs w:val="21"/>
                    </w:rPr>
                  </w:pPr>
                  <w:r>
                    <w:rPr>
                      <w:color w:val="000000"/>
                      <w:sz w:val="21"/>
                      <w:szCs w:val="21"/>
                    </w:rPr>
                    <w:t>0.2660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continue"/>
                  <w:vAlign w:val="center"/>
                </w:tcPr>
                <w:p>
                  <w:pPr>
                    <w:adjustRightInd w:val="0"/>
                    <w:snapToGrid w:val="0"/>
                    <w:spacing w:line="240" w:lineRule="auto"/>
                    <w:ind w:firstLine="0" w:firstLineChars="0"/>
                    <w:jc w:val="center"/>
                    <w:rPr>
                      <w:sz w:val="21"/>
                      <w:lang w:val="zh-CN"/>
                    </w:rPr>
                  </w:pPr>
                </w:p>
              </w:tc>
              <w:tc>
                <w:tcPr>
                  <w:tcW w:w="263" w:type="pct"/>
                  <w:vMerge w:val="continue"/>
                  <w:vAlign w:val="center"/>
                </w:tcPr>
                <w:p>
                  <w:pPr>
                    <w:adjustRightInd w:val="0"/>
                    <w:snapToGrid w:val="0"/>
                    <w:spacing w:line="240" w:lineRule="auto"/>
                    <w:ind w:firstLine="0" w:firstLineChars="0"/>
                    <w:jc w:val="center"/>
                    <w:rPr>
                      <w:sz w:val="21"/>
                      <w:lang w:val="zh-CN"/>
                    </w:rPr>
                  </w:pPr>
                </w:p>
              </w:tc>
              <w:tc>
                <w:tcPr>
                  <w:tcW w:w="247" w:type="pct"/>
                  <w:vMerge w:val="continue"/>
                  <w:vAlign w:val="center"/>
                </w:tcPr>
                <w:p>
                  <w:pPr>
                    <w:adjustRightInd w:val="0"/>
                    <w:snapToGrid w:val="0"/>
                    <w:spacing w:line="240" w:lineRule="auto"/>
                    <w:ind w:firstLine="0" w:firstLineChars="0"/>
                    <w:jc w:val="center"/>
                    <w:rPr>
                      <w:sz w:val="21"/>
                      <w:lang w:val="zh-CN"/>
                    </w:rPr>
                  </w:pPr>
                </w:p>
              </w:tc>
              <w:tc>
                <w:tcPr>
                  <w:tcW w:w="349" w:type="pct"/>
                  <w:vAlign w:val="center"/>
                </w:tcPr>
                <w:p>
                  <w:pPr>
                    <w:adjustRightInd w:val="0"/>
                    <w:snapToGrid w:val="0"/>
                    <w:spacing w:line="240" w:lineRule="auto"/>
                    <w:ind w:firstLine="0" w:firstLineChars="0"/>
                    <w:jc w:val="center"/>
                    <w:rPr>
                      <w:sz w:val="21"/>
                      <w:lang w:val="zh-CN"/>
                    </w:rPr>
                  </w:pPr>
                  <w:r>
                    <w:rPr>
                      <w:sz w:val="21"/>
                      <w:lang w:val="zh-CN"/>
                    </w:rPr>
                    <w:t>BOD</w:t>
                  </w:r>
                  <w:r>
                    <w:rPr>
                      <w:sz w:val="21"/>
                      <w:vertAlign w:val="subscript"/>
                      <w:lang w:val="zh-CN"/>
                    </w:rPr>
                    <w:t>5</w:t>
                  </w:r>
                </w:p>
              </w:tc>
              <w:tc>
                <w:tcPr>
                  <w:tcW w:w="356" w:type="pct"/>
                  <w:vAlign w:val="center"/>
                </w:tcPr>
                <w:p>
                  <w:pPr>
                    <w:adjustRightInd w:val="0"/>
                    <w:snapToGrid w:val="0"/>
                    <w:spacing w:line="240" w:lineRule="auto"/>
                    <w:ind w:firstLine="0" w:firstLineChars="0"/>
                    <w:jc w:val="center"/>
                    <w:rPr>
                      <w:sz w:val="21"/>
                      <w:lang w:val="zh-CN"/>
                    </w:rPr>
                  </w:pPr>
                  <w:r>
                    <w:rPr>
                      <w:sz w:val="21"/>
                      <w:lang w:val="zh-CN"/>
                    </w:rPr>
                    <w:t>266.6</w:t>
                  </w:r>
                </w:p>
              </w:tc>
              <w:tc>
                <w:tcPr>
                  <w:tcW w:w="407" w:type="pct"/>
                  <w:vAlign w:val="center"/>
                </w:tcPr>
                <w:p>
                  <w:pPr>
                    <w:adjustRightInd w:val="0"/>
                    <w:snapToGrid w:val="0"/>
                    <w:spacing w:line="240" w:lineRule="auto"/>
                    <w:ind w:firstLine="0" w:firstLineChars="0"/>
                    <w:jc w:val="center"/>
                    <w:rPr>
                      <w:sz w:val="21"/>
                      <w:lang w:val="zh-CN"/>
                    </w:rPr>
                  </w:pPr>
                  <w:r>
                    <w:rPr>
                      <w:rFonts w:hint="eastAsia"/>
                      <w:sz w:val="21"/>
                      <w:lang w:val="zh-CN"/>
                    </w:rPr>
                    <w:t>0.1418</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spacing w:line="240" w:lineRule="auto"/>
                    <w:ind w:firstLine="0" w:firstLineChars="0"/>
                    <w:jc w:val="center"/>
                    <w:rPr>
                      <w:color w:val="000000"/>
                      <w:sz w:val="21"/>
                      <w:szCs w:val="21"/>
                    </w:rPr>
                  </w:pPr>
                  <w:r>
                    <w:rPr>
                      <w:color w:val="000000"/>
                      <w:sz w:val="21"/>
                      <w:szCs w:val="21"/>
                    </w:rPr>
                    <w:t>300</w:t>
                  </w:r>
                </w:p>
              </w:tc>
              <w:tc>
                <w:tcPr>
                  <w:tcW w:w="374" w:type="pct"/>
                  <w:vAlign w:val="center"/>
                </w:tcPr>
                <w:p>
                  <w:pPr>
                    <w:spacing w:line="240" w:lineRule="auto"/>
                    <w:ind w:firstLine="0" w:firstLineChars="0"/>
                    <w:jc w:val="center"/>
                    <w:rPr>
                      <w:color w:val="000000"/>
                      <w:sz w:val="21"/>
                      <w:szCs w:val="21"/>
                    </w:rPr>
                  </w:pPr>
                  <w:r>
                    <w:rPr>
                      <w:color w:val="000000"/>
                      <w:sz w:val="21"/>
                      <w:szCs w:val="21"/>
                    </w:rPr>
                    <w:t>0.1418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continue"/>
                  <w:vAlign w:val="center"/>
                </w:tcPr>
                <w:p>
                  <w:pPr>
                    <w:adjustRightInd w:val="0"/>
                    <w:snapToGrid w:val="0"/>
                    <w:spacing w:line="240" w:lineRule="auto"/>
                    <w:ind w:firstLine="0" w:firstLineChars="0"/>
                    <w:jc w:val="center"/>
                    <w:rPr>
                      <w:sz w:val="21"/>
                      <w:lang w:val="zh-CN"/>
                    </w:rPr>
                  </w:pPr>
                </w:p>
              </w:tc>
              <w:tc>
                <w:tcPr>
                  <w:tcW w:w="263" w:type="pct"/>
                  <w:vMerge w:val="continue"/>
                  <w:vAlign w:val="center"/>
                </w:tcPr>
                <w:p>
                  <w:pPr>
                    <w:adjustRightInd w:val="0"/>
                    <w:snapToGrid w:val="0"/>
                    <w:spacing w:line="240" w:lineRule="auto"/>
                    <w:ind w:firstLine="0" w:firstLineChars="0"/>
                    <w:jc w:val="center"/>
                    <w:rPr>
                      <w:sz w:val="21"/>
                      <w:lang w:val="zh-CN"/>
                    </w:rPr>
                  </w:pPr>
                </w:p>
              </w:tc>
              <w:tc>
                <w:tcPr>
                  <w:tcW w:w="247" w:type="pct"/>
                  <w:vMerge w:val="continue"/>
                  <w:vAlign w:val="center"/>
                </w:tcPr>
                <w:p>
                  <w:pPr>
                    <w:adjustRightInd w:val="0"/>
                    <w:snapToGrid w:val="0"/>
                    <w:spacing w:line="240" w:lineRule="auto"/>
                    <w:ind w:firstLine="0" w:firstLineChars="0"/>
                    <w:jc w:val="center"/>
                    <w:rPr>
                      <w:sz w:val="21"/>
                      <w:lang w:val="zh-CN"/>
                    </w:rPr>
                  </w:pPr>
                </w:p>
              </w:tc>
              <w:tc>
                <w:tcPr>
                  <w:tcW w:w="349" w:type="pct"/>
                  <w:vAlign w:val="center"/>
                </w:tcPr>
                <w:p>
                  <w:pPr>
                    <w:adjustRightInd w:val="0"/>
                    <w:snapToGrid w:val="0"/>
                    <w:spacing w:line="240" w:lineRule="auto"/>
                    <w:ind w:firstLine="0" w:firstLineChars="0"/>
                    <w:jc w:val="center"/>
                    <w:rPr>
                      <w:sz w:val="21"/>
                      <w:lang w:val="zh-CN"/>
                    </w:rPr>
                  </w:pPr>
                  <w:r>
                    <w:rPr>
                      <w:sz w:val="21"/>
                      <w:lang w:val="zh-CN"/>
                    </w:rPr>
                    <w:t>SS</w:t>
                  </w:r>
                </w:p>
              </w:tc>
              <w:tc>
                <w:tcPr>
                  <w:tcW w:w="356" w:type="pct"/>
                  <w:vAlign w:val="center"/>
                </w:tcPr>
                <w:p>
                  <w:pPr>
                    <w:adjustRightInd w:val="0"/>
                    <w:snapToGrid w:val="0"/>
                    <w:spacing w:line="240" w:lineRule="auto"/>
                    <w:ind w:firstLine="0" w:firstLineChars="0"/>
                    <w:jc w:val="center"/>
                    <w:rPr>
                      <w:sz w:val="21"/>
                      <w:lang w:val="zh-CN"/>
                    </w:rPr>
                  </w:pPr>
                  <w:r>
                    <w:rPr>
                      <w:sz w:val="21"/>
                      <w:lang w:val="zh-CN"/>
                    </w:rPr>
                    <w:t>382.8</w:t>
                  </w:r>
                </w:p>
              </w:tc>
              <w:tc>
                <w:tcPr>
                  <w:tcW w:w="407" w:type="pct"/>
                  <w:vAlign w:val="center"/>
                </w:tcPr>
                <w:p>
                  <w:pPr>
                    <w:adjustRightInd w:val="0"/>
                    <w:snapToGrid w:val="0"/>
                    <w:spacing w:line="240" w:lineRule="auto"/>
                    <w:ind w:firstLine="0" w:firstLineChars="0"/>
                    <w:jc w:val="center"/>
                    <w:rPr>
                      <w:sz w:val="21"/>
                      <w:lang w:val="zh-CN"/>
                    </w:rPr>
                  </w:pPr>
                  <w:r>
                    <w:rPr>
                      <w:rFonts w:hint="eastAsia"/>
                      <w:sz w:val="21"/>
                      <w:lang w:val="zh-CN"/>
                    </w:rPr>
                    <w:t>0.2036</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spacing w:line="240" w:lineRule="auto"/>
                    <w:ind w:firstLine="0" w:firstLineChars="0"/>
                    <w:jc w:val="center"/>
                    <w:rPr>
                      <w:color w:val="000000"/>
                      <w:sz w:val="21"/>
                      <w:szCs w:val="21"/>
                    </w:rPr>
                  </w:pPr>
                  <w:r>
                    <w:rPr>
                      <w:color w:val="000000"/>
                      <w:sz w:val="21"/>
                      <w:szCs w:val="21"/>
                    </w:rPr>
                    <w:t>350</w:t>
                  </w:r>
                </w:p>
              </w:tc>
              <w:tc>
                <w:tcPr>
                  <w:tcW w:w="374" w:type="pct"/>
                  <w:vAlign w:val="center"/>
                </w:tcPr>
                <w:p>
                  <w:pPr>
                    <w:spacing w:line="240" w:lineRule="auto"/>
                    <w:ind w:firstLine="0" w:firstLineChars="0"/>
                    <w:jc w:val="center"/>
                    <w:rPr>
                      <w:color w:val="000000"/>
                      <w:sz w:val="21"/>
                      <w:szCs w:val="21"/>
                    </w:rPr>
                  </w:pPr>
                  <w:r>
                    <w:rPr>
                      <w:color w:val="000000"/>
                      <w:sz w:val="21"/>
                      <w:szCs w:val="21"/>
                    </w:rPr>
                    <w:t>0.1862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continue"/>
                  <w:vAlign w:val="center"/>
                </w:tcPr>
                <w:p>
                  <w:pPr>
                    <w:adjustRightInd w:val="0"/>
                    <w:snapToGrid w:val="0"/>
                    <w:spacing w:line="240" w:lineRule="auto"/>
                    <w:ind w:firstLine="0" w:firstLineChars="0"/>
                    <w:jc w:val="center"/>
                    <w:rPr>
                      <w:sz w:val="21"/>
                      <w:lang w:val="zh-CN"/>
                    </w:rPr>
                  </w:pPr>
                </w:p>
              </w:tc>
              <w:tc>
                <w:tcPr>
                  <w:tcW w:w="263" w:type="pct"/>
                  <w:vMerge w:val="continue"/>
                  <w:vAlign w:val="center"/>
                </w:tcPr>
                <w:p>
                  <w:pPr>
                    <w:adjustRightInd w:val="0"/>
                    <w:snapToGrid w:val="0"/>
                    <w:spacing w:line="240" w:lineRule="auto"/>
                    <w:ind w:firstLine="0" w:firstLineChars="0"/>
                    <w:jc w:val="center"/>
                    <w:rPr>
                      <w:sz w:val="21"/>
                      <w:lang w:val="zh-CN"/>
                    </w:rPr>
                  </w:pPr>
                </w:p>
              </w:tc>
              <w:tc>
                <w:tcPr>
                  <w:tcW w:w="247" w:type="pct"/>
                  <w:vMerge w:val="continue"/>
                  <w:vAlign w:val="center"/>
                </w:tcPr>
                <w:p>
                  <w:pPr>
                    <w:adjustRightInd w:val="0"/>
                    <w:snapToGrid w:val="0"/>
                    <w:spacing w:line="240" w:lineRule="auto"/>
                    <w:ind w:firstLine="0" w:firstLineChars="0"/>
                    <w:jc w:val="center"/>
                    <w:rPr>
                      <w:sz w:val="21"/>
                      <w:lang w:val="zh-CN"/>
                    </w:rPr>
                  </w:pPr>
                </w:p>
              </w:tc>
              <w:tc>
                <w:tcPr>
                  <w:tcW w:w="349" w:type="pct"/>
                  <w:vAlign w:val="center"/>
                </w:tcPr>
                <w:p>
                  <w:pPr>
                    <w:adjustRightInd w:val="0"/>
                    <w:snapToGrid w:val="0"/>
                    <w:spacing w:line="240" w:lineRule="auto"/>
                    <w:ind w:firstLine="0" w:firstLineChars="0"/>
                    <w:jc w:val="center"/>
                    <w:rPr>
                      <w:sz w:val="21"/>
                      <w:lang w:val="zh-CN"/>
                    </w:rPr>
                  </w:pPr>
                  <w:r>
                    <w:rPr>
                      <w:sz w:val="21"/>
                      <w:lang w:val="zh-CN"/>
                    </w:rPr>
                    <w:t>NH</w:t>
                  </w:r>
                  <w:r>
                    <w:rPr>
                      <w:sz w:val="21"/>
                      <w:vertAlign w:val="subscript"/>
                      <w:lang w:val="zh-CN"/>
                    </w:rPr>
                    <w:t>3</w:t>
                  </w:r>
                  <w:r>
                    <w:rPr>
                      <w:sz w:val="21"/>
                      <w:lang w:val="zh-CN"/>
                    </w:rPr>
                    <w:t>-N</w:t>
                  </w:r>
                </w:p>
              </w:tc>
              <w:tc>
                <w:tcPr>
                  <w:tcW w:w="356" w:type="pct"/>
                  <w:vAlign w:val="center"/>
                </w:tcPr>
                <w:p>
                  <w:pPr>
                    <w:adjustRightInd w:val="0"/>
                    <w:snapToGrid w:val="0"/>
                    <w:spacing w:line="240" w:lineRule="auto"/>
                    <w:ind w:firstLine="0" w:firstLineChars="0"/>
                    <w:jc w:val="center"/>
                    <w:rPr>
                      <w:sz w:val="21"/>
                      <w:lang w:val="zh-CN"/>
                    </w:rPr>
                  </w:pPr>
                  <w:r>
                    <w:rPr>
                      <w:sz w:val="21"/>
                      <w:lang w:val="zh-CN"/>
                    </w:rPr>
                    <w:t>158.1</w:t>
                  </w:r>
                </w:p>
              </w:tc>
              <w:tc>
                <w:tcPr>
                  <w:tcW w:w="407" w:type="pct"/>
                  <w:vAlign w:val="center"/>
                </w:tcPr>
                <w:p>
                  <w:pPr>
                    <w:adjustRightInd w:val="0"/>
                    <w:snapToGrid w:val="0"/>
                    <w:spacing w:line="240" w:lineRule="auto"/>
                    <w:ind w:firstLine="0" w:firstLineChars="0"/>
                    <w:jc w:val="center"/>
                    <w:rPr>
                      <w:sz w:val="21"/>
                      <w:lang w:val="zh-CN"/>
                    </w:rPr>
                  </w:pPr>
                  <w:r>
                    <w:rPr>
                      <w:rFonts w:hint="eastAsia"/>
                      <w:sz w:val="21"/>
                      <w:lang w:val="zh-CN"/>
                    </w:rPr>
                    <w:t>0.0841</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spacing w:line="240" w:lineRule="auto"/>
                    <w:ind w:firstLine="0" w:firstLineChars="0"/>
                    <w:jc w:val="center"/>
                    <w:rPr>
                      <w:color w:val="000000"/>
                      <w:sz w:val="21"/>
                      <w:szCs w:val="21"/>
                    </w:rPr>
                  </w:pPr>
                  <w:r>
                    <w:rPr>
                      <w:color w:val="000000"/>
                      <w:sz w:val="21"/>
                      <w:szCs w:val="21"/>
                    </w:rPr>
                    <w:t>45</w:t>
                  </w:r>
                </w:p>
              </w:tc>
              <w:tc>
                <w:tcPr>
                  <w:tcW w:w="374" w:type="pct"/>
                  <w:vAlign w:val="center"/>
                </w:tcPr>
                <w:p>
                  <w:pPr>
                    <w:spacing w:line="240" w:lineRule="auto"/>
                    <w:ind w:firstLine="0" w:firstLineChars="0"/>
                    <w:jc w:val="center"/>
                    <w:rPr>
                      <w:color w:val="000000"/>
                      <w:sz w:val="21"/>
                      <w:szCs w:val="21"/>
                    </w:rPr>
                  </w:pPr>
                  <w:r>
                    <w:rPr>
                      <w:color w:val="000000"/>
                      <w:sz w:val="21"/>
                      <w:szCs w:val="21"/>
                    </w:rPr>
                    <w:t>0.0239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continue"/>
                  <w:vAlign w:val="center"/>
                </w:tcPr>
                <w:p>
                  <w:pPr>
                    <w:adjustRightInd w:val="0"/>
                    <w:snapToGrid w:val="0"/>
                    <w:spacing w:line="240" w:lineRule="auto"/>
                    <w:ind w:firstLine="0" w:firstLineChars="0"/>
                    <w:jc w:val="center"/>
                    <w:rPr>
                      <w:sz w:val="21"/>
                      <w:lang w:val="zh-CN"/>
                    </w:rPr>
                  </w:pPr>
                </w:p>
              </w:tc>
              <w:tc>
                <w:tcPr>
                  <w:tcW w:w="263" w:type="pct"/>
                  <w:vMerge w:val="continue"/>
                  <w:vAlign w:val="center"/>
                </w:tcPr>
                <w:p>
                  <w:pPr>
                    <w:adjustRightInd w:val="0"/>
                    <w:snapToGrid w:val="0"/>
                    <w:spacing w:line="240" w:lineRule="auto"/>
                    <w:ind w:firstLine="0" w:firstLineChars="0"/>
                    <w:jc w:val="center"/>
                    <w:rPr>
                      <w:sz w:val="21"/>
                      <w:lang w:val="zh-CN"/>
                    </w:rPr>
                  </w:pPr>
                </w:p>
              </w:tc>
              <w:tc>
                <w:tcPr>
                  <w:tcW w:w="247" w:type="pct"/>
                  <w:vMerge w:val="continue"/>
                  <w:vAlign w:val="center"/>
                </w:tcPr>
                <w:p>
                  <w:pPr>
                    <w:adjustRightInd w:val="0"/>
                    <w:snapToGrid w:val="0"/>
                    <w:spacing w:line="240" w:lineRule="auto"/>
                    <w:ind w:firstLine="0" w:firstLineChars="0"/>
                    <w:jc w:val="center"/>
                    <w:rPr>
                      <w:sz w:val="21"/>
                      <w:lang w:val="zh-CN"/>
                    </w:rPr>
                  </w:pPr>
                </w:p>
              </w:tc>
              <w:tc>
                <w:tcPr>
                  <w:tcW w:w="349" w:type="pct"/>
                  <w:vAlign w:val="center"/>
                </w:tcPr>
                <w:p>
                  <w:pPr>
                    <w:adjustRightInd w:val="0"/>
                    <w:snapToGrid w:val="0"/>
                    <w:spacing w:line="240" w:lineRule="auto"/>
                    <w:ind w:firstLine="0" w:firstLineChars="0"/>
                    <w:jc w:val="center"/>
                    <w:rPr>
                      <w:sz w:val="21"/>
                      <w:lang w:val="zh-CN"/>
                    </w:rPr>
                  </w:pPr>
                  <w:r>
                    <w:rPr>
                      <w:rFonts w:hint="eastAsia"/>
                      <w:sz w:val="21"/>
                      <w:lang w:val="zh-CN"/>
                    </w:rPr>
                    <w:t>TN</w:t>
                  </w:r>
                </w:p>
              </w:tc>
              <w:tc>
                <w:tcPr>
                  <w:tcW w:w="356" w:type="pct"/>
                  <w:vAlign w:val="center"/>
                </w:tcPr>
                <w:p>
                  <w:pPr>
                    <w:adjustRightInd w:val="0"/>
                    <w:snapToGrid w:val="0"/>
                    <w:spacing w:line="240" w:lineRule="auto"/>
                    <w:ind w:firstLine="0" w:firstLineChars="0"/>
                    <w:jc w:val="center"/>
                    <w:rPr>
                      <w:sz w:val="21"/>
                      <w:lang w:val="zh-CN"/>
                    </w:rPr>
                  </w:pPr>
                  <w:r>
                    <w:rPr>
                      <w:sz w:val="21"/>
                      <w:lang w:val="zh-CN"/>
                    </w:rPr>
                    <w:t>94.4</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0.0502</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spacing w:line="240" w:lineRule="auto"/>
                    <w:ind w:firstLine="0" w:firstLineChars="0"/>
                    <w:jc w:val="center"/>
                    <w:rPr>
                      <w:color w:val="000000"/>
                      <w:sz w:val="21"/>
                      <w:szCs w:val="21"/>
                    </w:rPr>
                  </w:pPr>
                  <w:r>
                    <w:rPr>
                      <w:color w:val="000000"/>
                      <w:sz w:val="21"/>
                      <w:szCs w:val="21"/>
                    </w:rPr>
                    <w:t>70</w:t>
                  </w:r>
                </w:p>
              </w:tc>
              <w:tc>
                <w:tcPr>
                  <w:tcW w:w="374" w:type="pct"/>
                  <w:vAlign w:val="center"/>
                </w:tcPr>
                <w:p>
                  <w:pPr>
                    <w:spacing w:line="240" w:lineRule="auto"/>
                    <w:ind w:firstLine="0" w:firstLineChars="0"/>
                    <w:jc w:val="center"/>
                    <w:rPr>
                      <w:color w:val="000000"/>
                      <w:sz w:val="21"/>
                      <w:szCs w:val="21"/>
                    </w:rPr>
                  </w:pPr>
                  <w:r>
                    <w:rPr>
                      <w:color w:val="000000"/>
                      <w:sz w:val="21"/>
                      <w:szCs w:val="21"/>
                    </w:rPr>
                    <w:t>0.0372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53" w:type="pct"/>
                  <w:vMerge w:val="continue"/>
                  <w:vAlign w:val="center"/>
                </w:tcPr>
                <w:p>
                  <w:pPr>
                    <w:adjustRightInd w:val="0"/>
                    <w:snapToGrid w:val="0"/>
                    <w:spacing w:line="240" w:lineRule="auto"/>
                    <w:ind w:firstLine="0" w:firstLineChars="0"/>
                    <w:jc w:val="center"/>
                    <w:rPr>
                      <w:sz w:val="21"/>
                      <w:lang w:val="zh-CN"/>
                    </w:rPr>
                  </w:pPr>
                </w:p>
              </w:tc>
              <w:tc>
                <w:tcPr>
                  <w:tcW w:w="263" w:type="pct"/>
                  <w:vMerge w:val="continue"/>
                  <w:vAlign w:val="center"/>
                </w:tcPr>
                <w:p>
                  <w:pPr>
                    <w:adjustRightInd w:val="0"/>
                    <w:snapToGrid w:val="0"/>
                    <w:spacing w:line="240" w:lineRule="auto"/>
                    <w:ind w:firstLine="0" w:firstLineChars="0"/>
                    <w:jc w:val="center"/>
                    <w:rPr>
                      <w:sz w:val="21"/>
                      <w:lang w:val="zh-CN"/>
                    </w:rPr>
                  </w:pPr>
                </w:p>
              </w:tc>
              <w:tc>
                <w:tcPr>
                  <w:tcW w:w="247" w:type="pct"/>
                  <w:vMerge w:val="continue"/>
                  <w:vAlign w:val="center"/>
                </w:tcPr>
                <w:p>
                  <w:pPr>
                    <w:adjustRightInd w:val="0"/>
                    <w:snapToGrid w:val="0"/>
                    <w:spacing w:line="240" w:lineRule="auto"/>
                    <w:ind w:firstLine="0" w:firstLineChars="0"/>
                    <w:jc w:val="center"/>
                    <w:rPr>
                      <w:sz w:val="21"/>
                      <w:lang w:val="zh-CN"/>
                    </w:rPr>
                  </w:pPr>
                </w:p>
              </w:tc>
              <w:tc>
                <w:tcPr>
                  <w:tcW w:w="349" w:type="pct"/>
                  <w:vAlign w:val="center"/>
                </w:tcPr>
                <w:p>
                  <w:pPr>
                    <w:adjustRightInd w:val="0"/>
                    <w:snapToGrid w:val="0"/>
                    <w:spacing w:line="240" w:lineRule="auto"/>
                    <w:ind w:firstLine="0" w:firstLineChars="0"/>
                    <w:jc w:val="center"/>
                    <w:rPr>
                      <w:sz w:val="21"/>
                      <w:lang w:val="zh-CN"/>
                    </w:rPr>
                  </w:pPr>
                  <w:r>
                    <w:rPr>
                      <w:rFonts w:hint="eastAsia"/>
                      <w:sz w:val="21"/>
                      <w:lang w:val="zh-CN"/>
                    </w:rPr>
                    <w:t>TP</w:t>
                  </w:r>
                </w:p>
              </w:tc>
              <w:tc>
                <w:tcPr>
                  <w:tcW w:w="356" w:type="pct"/>
                  <w:vAlign w:val="center"/>
                </w:tcPr>
                <w:p>
                  <w:pPr>
                    <w:adjustRightInd w:val="0"/>
                    <w:snapToGrid w:val="0"/>
                    <w:spacing w:line="240" w:lineRule="auto"/>
                    <w:ind w:firstLine="0" w:firstLineChars="0"/>
                    <w:jc w:val="center"/>
                    <w:rPr>
                      <w:sz w:val="21"/>
                      <w:lang w:val="zh-CN"/>
                    </w:rPr>
                  </w:pPr>
                  <w:r>
                    <w:rPr>
                      <w:sz w:val="21"/>
                      <w:lang w:val="zh-CN"/>
                    </w:rPr>
                    <w:t>21.1</w:t>
                  </w:r>
                </w:p>
              </w:tc>
              <w:tc>
                <w:tcPr>
                  <w:tcW w:w="407" w:type="pct"/>
                  <w:vAlign w:val="center"/>
                </w:tcPr>
                <w:p>
                  <w:pPr>
                    <w:adjustRightInd w:val="0"/>
                    <w:snapToGrid w:val="0"/>
                    <w:spacing w:line="240" w:lineRule="auto"/>
                    <w:ind w:firstLine="0" w:firstLineChars="0"/>
                    <w:jc w:val="center"/>
                    <w:rPr>
                      <w:sz w:val="21"/>
                      <w:lang w:val="zh-CN"/>
                    </w:rPr>
                  </w:pPr>
                  <w:r>
                    <w:rPr>
                      <w:sz w:val="21"/>
                      <w:lang w:val="zh-CN"/>
                    </w:rPr>
                    <w:t>0.0112</w:t>
                  </w:r>
                </w:p>
              </w:tc>
              <w:tc>
                <w:tcPr>
                  <w:tcW w:w="1018"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rPr>
                  </w:pPr>
                </w:p>
              </w:tc>
              <w:tc>
                <w:tcPr>
                  <w:tcW w:w="407" w:type="pct"/>
                  <w:vMerge w:val="continue"/>
                  <w:vAlign w:val="center"/>
                </w:tcPr>
                <w:p>
                  <w:pPr>
                    <w:adjustRightInd w:val="0"/>
                    <w:snapToGrid w:val="0"/>
                    <w:spacing w:line="240" w:lineRule="auto"/>
                    <w:ind w:firstLine="0" w:firstLineChars="0"/>
                    <w:jc w:val="center"/>
                    <w:rPr>
                      <w:sz w:val="21"/>
                      <w:lang w:val="zh-CN"/>
                    </w:rPr>
                  </w:pPr>
                </w:p>
              </w:tc>
              <w:tc>
                <w:tcPr>
                  <w:tcW w:w="255" w:type="pct"/>
                  <w:vMerge w:val="continue"/>
                  <w:vAlign w:val="center"/>
                </w:tcPr>
                <w:p>
                  <w:pPr>
                    <w:adjustRightInd w:val="0"/>
                    <w:snapToGrid w:val="0"/>
                    <w:spacing w:line="240" w:lineRule="auto"/>
                    <w:ind w:firstLine="0" w:firstLineChars="0"/>
                    <w:jc w:val="center"/>
                    <w:rPr>
                      <w:sz w:val="21"/>
                      <w:lang w:val="zh-CN"/>
                    </w:rPr>
                  </w:pPr>
                </w:p>
              </w:tc>
              <w:tc>
                <w:tcPr>
                  <w:tcW w:w="356" w:type="pct"/>
                  <w:vMerge w:val="continue"/>
                  <w:vAlign w:val="center"/>
                </w:tcPr>
                <w:p>
                  <w:pPr>
                    <w:adjustRightInd w:val="0"/>
                    <w:snapToGrid w:val="0"/>
                    <w:spacing w:line="240" w:lineRule="auto"/>
                    <w:ind w:firstLine="0" w:firstLineChars="0"/>
                    <w:jc w:val="center"/>
                    <w:rPr>
                      <w:sz w:val="21"/>
                      <w:lang w:val="zh-CN"/>
                    </w:rPr>
                  </w:pPr>
                </w:p>
              </w:tc>
              <w:tc>
                <w:tcPr>
                  <w:tcW w:w="458" w:type="pct"/>
                  <w:vAlign w:val="center"/>
                </w:tcPr>
                <w:p>
                  <w:pPr>
                    <w:spacing w:line="240" w:lineRule="auto"/>
                    <w:ind w:firstLine="0" w:firstLineChars="0"/>
                    <w:jc w:val="center"/>
                    <w:rPr>
                      <w:color w:val="000000"/>
                      <w:sz w:val="21"/>
                      <w:szCs w:val="21"/>
                    </w:rPr>
                  </w:pPr>
                  <w:r>
                    <w:rPr>
                      <w:color w:val="000000"/>
                      <w:sz w:val="21"/>
                      <w:szCs w:val="21"/>
                    </w:rPr>
                    <w:t>8</w:t>
                  </w:r>
                </w:p>
              </w:tc>
              <w:tc>
                <w:tcPr>
                  <w:tcW w:w="374" w:type="pct"/>
                  <w:vAlign w:val="center"/>
                </w:tcPr>
                <w:p>
                  <w:pPr>
                    <w:spacing w:line="240" w:lineRule="auto"/>
                    <w:ind w:firstLine="0" w:firstLineChars="0"/>
                    <w:jc w:val="center"/>
                    <w:rPr>
                      <w:color w:val="000000"/>
                      <w:sz w:val="21"/>
                      <w:szCs w:val="21"/>
                    </w:rPr>
                  </w:pPr>
                  <w:r>
                    <w:rPr>
                      <w:color w:val="000000"/>
                      <w:sz w:val="21"/>
                      <w:szCs w:val="21"/>
                    </w:rPr>
                    <w:t>0.0043</w:t>
                  </w:r>
                </w:p>
              </w:tc>
            </w:tr>
          </w:tbl>
          <w:p>
            <w:pPr>
              <w:pStyle w:val="33"/>
              <w:spacing w:before="120"/>
              <w:rPr>
                <w:lang w:val="zh-CN"/>
              </w:rPr>
            </w:pPr>
            <w:r>
              <w:rPr>
                <w:lang w:val="zh-CN"/>
              </w:rPr>
              <w:t>表4-3  废水排放口基本情况及监测要求表</w:t>
            </w:r>
          </w:p>
          <w:tbl>
            <w:tblPr>
              <w:tblStyle w:val="1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03"/>
              <w:gridCol w:w="1006"/>
              <w:gridCol w:w="1006"/>
              <w:gridCol w:w="1007"/>
              <w:gridCol w:w="1007"/>
              <w:gridCol w:w="1007"/>
              <w:gridCol w:w="1486"/>
              <w:gridCol w:w="1352"/>
              <w:gridCol w:w="1007"/>
              <w:gridCol w:w="1004"/>
              <w:gridCol w:w="994"/>
              <w:gridCol w:w="11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406" w:type="pct"/>
                  <w:vMerge w:val="restart"/>
                  <w:vAlign w:val="center"/>
                </w:tcPr>
                <w:p>
                  <w:pPr>
                    <w:pStyle w:val="34"/>
                    <w:jc w:val="center"/>
                    <w:rPr>
                      <w:lang w:val="zh-CN"/>
                    </w:rPr>
                  </w:pPr>
                  <w:r>
                    <w:rPr>
                      <w:lang w:val="zh-CN"/>
                    </w:rPr>
                    <w:t>排放口名称</w:t>
                  </w:r>
                </w:p>
              </w:tc>
              <w:tc>
                <w:tcPr>
                  <w:tcW w:w="407" w:type="pct"/>
                  <w:vMerge w:val="restart"/>
                  <w:vAlign w:val="center"/>
                </w:tcPr>
                <w:p>
                  <w:pPr>
                    <w:pStyle w:val="34"/>
                    <w:jc w:val="center"/>
                    <w:rPr>
                      <w:lang w:val="zh-CN"/>
                    </w:rPr>
                  </w:pPr>
                  <w:r>
                    <w:rPr>
                      <w:lang w:val="zh-CN"/>
                    </w:rPr>
                    <w:t>排放量m</w:t>
                  </w:r>
                  <w:r>
                    <w:rPr>
                      <w:vertAlign w:val="superscript"/>
                      <w:lang w:val="zh-CN"/>
                    </w:rPr>
                    <w:t>3</w:t>
                  </w:r>
                  <w:r>
                    <w:rPr>
                      <w:lang w:val="zh-CN"/>
                    </w:rPr>
                    <w:t>/a</w:t>
                  </w:r>
                </w:p>
              </w:tc>
              <w:tc>
                <w:tcPr>
                  <w:tcW w:w="407" w:type="pct"/>
                  <w:vMerge w:val="restart"/>
                  <w:vAlign w:val="center"/>
                </w:tcPr>
                <w:p>
                  <w:pPr>
                    <w:pStyle w:val="34"/>
                    <w:jc w:val="center"/>
                    <w:rPr>
                      <w:lang w:val="zh-CN"/>
                    </w:rPr>
                  </w:pPr>
                  <w:r>
                    <w:rPr>
                      <w:lang w:val="zh-CN"/>
                    </w:rPr>
                    <w:t>排放口编号/监测点位</w:t>
                  </w:r>
                </w:p>
              </w:tc>
              <w:tc>
                <w:tcPr>
                  <w:tcW w:w="407" w:type="pct"/>
                  <w:vMerge w:val="restart"/>
                  <w:vAlign w:val="center"/>
                </w:tcPr>
                <w:p>
                  <w:pPr>
                    <w:pStyle w:val="34"/>
                    <w:jc w:val="center"/>
                    <w:rPr>
                      <w:lang w:val="zh-CN"/>
                    </w:rPr>
                  </w:pPr>
                  <w:r>
                    <w:rPr>
                      <w:lang w:val="zh-CN"/>
                    </w:rPr>
                    <w:t>类型</w:t>
                  </w:r>
                </w:p>
              </w:tc>
              <w:tc>
                <w:tcPr>
                  <w:tcW w:w="407" w:type="pct"/>
                  <w:vMerge w:val="restart"/>
                  <w:vAlign w:val="center"/>
                </w:tcPr>
                <w:p>
                  <w:pPr>
                    <w:pStyle w:val="34"/>
                    <w:jc w:val="center"/>
                    <w:rPr>
                      <w:lang w:val="zh-CN"/>
                    </w:rPr>
                  </w:pPr>
                  <w:r>
                    <w:rPr>
                      <w:lang w:val="zh-CN"/>
                    </w:rPr>
                    <w:t>监测因子</w:t>
                  </w:r>
                </w:p>
              </w:tc>
              <w:tc>
                <w:tcPr>
                  <w:tcW w:w="407" w:type="pct"/>
                  <w:vMerge w:val="restart"/>
                  <w:vAlign w:val="center"/>
                </w:tcPr>
                <w:p>
                  <w:pPr>
                    <w:pStyle w:val="34"/>
                    <w:jc w:val="center"/>
                    <w:rPr>
                      <w:lang w:val="zh-CN"/>
                    </w:rPr>
                  </w:pPr>
                  <w:r>
                    <w:rPr>
                      <w:lang w:val="zh-CN"/>
                    </w:rPr>
                    <w:t>监测频次</w:t>
                  </w:r>
                </w:p>
              </w:tc>
              <w:tc>
                <w:tcPr>
                  <w:tcW w:w="894" w:type="pct"/>
                  <w:gridSpan w:val="2"/>
                  <w:vAlign w:val="center"/>
                </w:tcPr>
                <w:p>
                  <w:pPr>
                    <w:pStyle w:val="34"/>
                    <w:jc w:val="center"/>
                    <w:rPr>
                      <w:lang w:val="zh-CN"/>
                    </w:rPr>
                  </w:pPr>
                  <w:r>
                    <w:rPr>
                      <w:lang w:val="zh-CN"/>
                    </w:rPr>
                    <w:t>排放口地理坐标</w:t>
                  </w:r>
                </w:p>
              </w:tc>
              <w:tc>
                <w:tcPr>
                  <w:tcW w:w="407" w:type="pct"/>
                  <w:vMerge w:val="restart"/>
                  <w:vAlign w:val="center"/>
                </w:tcPr>
                <w:p>
                  <w:pPr>
                    <w:pStyle w:val="34"/>
                    <w:jc w:val="center"/>
                    <w:rPr>
                      <w:lang w:val="zh-CN"/>
                    </w:rPr>
                  </w:pPr>
                  <w:r>
                    <w:rPr>
                      <w:lang w:val="zh-CN"/>
                    </w:rPr>
                    <w:t>排放去向</w:t>
                  </w:r>
                </w:p>
              </w:tc>
              <w:tc>
                <w:tcPr>
                  <w:tcW w:w="406" w:type="pct"/>
                  <w:vMerge w:val="restart"/>
                  <w:vAlign w:val="center"/>
                </w:tcPr>
                <w:p>
                  <w:pPr>
                    <w:pStyle w:val="34"/>
                    <w:jc w:val="center"/>
                    <w:rPr>
                      <w:lang w:val="zh-CN"/>
                    </w:rPr>
                  </w:pPr>
                  <w:r>
                    <w:rPr>
                      <w:lang w:val="zh-CN"/>
                    </w:rPr>
                    <w:t>排放规律</w:t>
                  </w:r>
                </w:p>
              </w:tc>
              <w:tc>
                <w:tcPr>
                  <w:tcW w:w="402" w:type="pct"/>
                  <w:vMerge w:val="restart"/>
                  <w:vAlign w:val="center"/>
                </w:tcPr>
                <w:p>
                  <w:pPr>
                    <w:pStyle w:val="34"/>
                    <w:jc w:val="center"/>
                    <w:rPr>
                      <w:lang w:val="zh-CN"/>
                    </w:rPr>
                  </w:pPr>
                  <w:r>
                    <w:rPr>
                      <w:lang w:val="zh-CN"/>
                    </w:rPr>
                    <w:t>排放浓度mg/L</w:t>
                  </w:r>
                </w:p>
              </w:tc>
              <w:tc>
                <w:tcPr>
                  <w:tcW w:w="449" w:type="pct"/>
                  <w:vMerge w:val="restart"/>
                  <w:vAlign w:val="center"/>
                </w:tcPr>
                <w:p>
                  <w:pPr>
                    <w:pStyle w:val="34"/>
                    <w:jc w:val="center"/>
                    <w:rPr>
                      <w:lang w:val="zh-CN"/>
                    </w:rPr>
                  </w:pPr>
                  <w:r>
                    <w:rPr>
                      <w:lang w:val="zh-CN"/>
                    </w:rPr>
                    <w:t>排入环境量t/a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406"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67" w:type="pct"/>
                  <w:vAlign w:val="center"/>
                </w:tcPr>
                <w:p>
                  <w:pPr>
                    <w:pStyle w:val="34"/>
                    <w:jc w:val="center"/>
                    <w:rPr>
                      <w:lang w:val="zh-CN"/>
                    </w:rPr>
                  </w:pPr>
                  <w:r>
                    <w:rPr>
                      <w:lang w:val="zh-CN"/>
                    </w:rPr>
                    <w:t>经度</w:t>
                  </w:r>
                </w:p>
              </w:tc>
              <w:tc>
                <w:tcPr>
                  <w:tcW w:w="427" w:type="pct"/>
                  <w:vAlign w:val="center"/>
                </w:tcPr>
                <w:p>
                  <w:pPr>
                    <w:pStyle w:val="34"/>
                    <w:jc w:val="center"/>
                    <w:rPr>
                      <w:lang w:val="zh-CN"/>
                    </w:rPr>
                  </w:pPr>
                  <w:r>
                    <w:rPr>
                      <w:lang w:val="zh-CN"/>
                    </w:rPr>
                    <w:t>纬度</w:t>
                  </w:r>
                </w:p>
              </w:tc>
              <w:tc>
                <w:tcPr>
                  <w:tcW w:w="407" w:type="pct"/>
                  <w:vMerge w:val="continue"/>
                  <w:vAlign w:val="center"/>
                </w:tcPr>
                <w:p>
                  <w:pPr>
                    <w:pStyle w:val="34"/>
                    <w:jc w:val="center"/>
                    <w:rPr>
                      <w:lang w:val="zh-CN"/>
                    </w:rPr>
                  </w:pPr>
                </w:p>
              </w:tc>
              <w:tc>
                <w:tcPr>
                  <w:tcW w:w="406" w:type="pct"/>
                  <w:vMerge w:val="continue"/>
                  <w:vAlign w:val="center"/>
                </w:tcPr>
                <w:p>
                  <w:pPr>
                    <w:pStyle w:val="34"/>
                    <w:jc w:val="center"/>
                    <w:rPr>
                      <w:lang w:val="zh-CN"/>
                    </w:rPr>
                  </w:pPr>
                </w:p>
              </w:tc>
              <w:tc>
                <w:tcPr>
                  <w:tcW w:w="402" w:type="pct"/>
                  <w:vMerge w:val="continue"/>
                  <w:vAlign w:val="center"/>
                </w:tcPr>
                <w:p>
                  <w:pPr>
                    <w:pStyle w:val="34"/>
                    <w:jc w:val="center"/>
                    <w:rPr>
                      <w:lang w:val="zh-CN"/>
                    </w:rPr>
                  </w:pPr>
                </w:p>
              </w:tc>
              <w:tc>
                <w:tcPr>
                  <w:tcW w:w="449" w:type="pct"/>
                  <w:vMerge w:val="continue"/>
                  <w:vAlign w:val="center"/>
                </w:tcPr>
                <w:p>
                  <w:pPr>
                    <w:pStyle w:val="34"/>
                    <w:jc w:val="center"/>
                    <w:rPr>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restart"/>
                  <w:vAlign w:val="center"/>
                </w:tcPr>
                <w:p>
                  <w:pPr>
                    <w:pStyle w:val="34"/>
                    <w:jc w:val="center"/>
                    <w:rPr>
                      <w:lang w:val="zh-CN"/>
                    </w:rPr>
                  </w:pPr>
                  <w:r>
                    <w:rPr>
                      <w:rFonts w:hint="eastAsia"/>
                      <w:lang w:val="zh-CN"/>
                    </w:rPr>
                    <w:t>厂区</w:t>
                  </w:r>
                  <w:r>
                    <w:rPr>
                      <w:lang w:val="zh-CN"/>
                    </w:rPr>
                    <w:t>污水</w:t>
                  </w:r>
                  <w:r>
                    <w:rPr>
                      <w:rFonts w:hint="eastAsia"/>
                      <w:lang w:val="zh-CN"/>
                    </w:rPr>
                    <w:t>站总</w:t>
                  </w:r>
                  <w:r>
                    <w:rPr>
                      <w:lang w:val="zh-CN"/>
                    </w:rPr>
                    <w:t>排放口</w:t>
                  </w:r>
                </w:p>
              </w:tc>
              <w:tc>
                <w:tcPr>
                  <w:tcW w:w="407" w:type="pct"/>
                  <w:vMerge w:val="restart"/>
                  <w:vAlign w:val="center"/>
                </w:tcPr>
                <w:p>
                  <w:pPr>
                    <w:pStyle w:val="34"/>
                    <w:jc w:val="center"/>
                    <w:rPr>
                      <w:lang w:val="zh-CN"/>
                    </w:rPr>
                  </w:pPr>
                  <w:r>
                    <w:rPr>
                      <w:lang w:val="zh-CN"/>
                    </w:rPr>
                    <w:t>531.9</w:t>
                  </w:r>
                </w:p>
              </w:tc>
              <w:tc>
                <w:tcPr>
                  <w:tcW w:w="407" w:type="pct"/>
                  <w:vMerge w:val="restart"/>
                  <w:vAlign w:val="center"/>
                </w:tcPr>
                <w:p>
                  <w:pPr>
                    <w:pStyle w:val="34"/>
                    <w:jc w:val="center"/>
                    <w:rPr>
                      <w:lang w:val="zh-CN"/>
                    </w:rPr>
                  </w:pPr>
                  <w:r>
                    <w:rPr>
                      <w:lang w:val="zh-CN"/>
                    </w:rPr>
                    <w:t>DW001</w:t>
                  </w:r>
                </w:p>
              </w:tc>
              <w:tc>
                <w:tcPr>
                  <w:tcW w:w="407" w:type="pct"/>
                  <w:vMerge w:val="restart"/>
                  <w:vAlign w:val="center"/>
                </w:tcPr>
                <w:p>
                  <w:pPr>
                    <w:pStyle w:val="34"/>
                    <w:jc w:val="center"/>
                    <w:rPr>
                      <w:lang w:val="zh-CN"/>
                    </w:rPr>
                  </w:pPr>
                  <w:r>
                    <w:rPr>
                      <w:lang w:val="zh-CN"/>
                    </w:rPr>
                    <w:t>一般排放口</w:t>
                  </w:r>
                </w:p>
              </w:tc>
              <w:tc>
                <w:tcPr>
                  <w:tcW w:w="407" w:type="pct"/>
                  <w:vAlign w:val="center"/>
                </w:tcPr>
                <w:p>
                  <w:pPr>
                    <w:pStyle w:val="34"/>
                    <w:jc w:val="center"/>
                    <w:rPr>
                      <w:lang w:val="zh-CN"/>
                    </w:rPr>
                  </w:pPr>
                  <w:r>
                    <w:rPr>
                      <w:lang w:val="zh-CN"/>
                    </w:rPr>
                    <w:t>COD</w:t>
                  </w:r>
                </w:p>
              </w:tc>
              <w:tc>
                <w:tcPr>
                  <w:tcW w:w="407" w:type="pct"/>
                  <w:vMerge w:val="restart"/>
                  <w:vAlign w:val="center"/>
                </w:tcPr>
                <w:p>
                  <w:pPr>
                    <w:pStyle w:val="34"/>
                    <w:jc w:val="center"/>
                    <w:rPr>
                      <w:snapToGrid w:val="0"/>
                    </w:rPr>
                  </w:pPr>
                  <w:r>
                    <w:rPr>
                      <w:snapToGrid w:val="0"/>
                    </w:rPr>
                    <w:t>验收监测一次</w:t>
                  </w:r>
                  <w:r>
                    <w:rPr>
                      <w:rFonts w:hint="eastAsia"/>
                      <w:snapToGrid w:val="0"/>
                    </w:rPr>
                    <w:t>，</w:t>
                  </w:r>
                  <w:r>
                    <w:rPr>
                      <w:snapToGrid w:val="0"/>
                    </w:rPr>
                    <w:t>后续由宜企健公司开展自行监测</w:t>
                  </w:r>
                </w:p>
              </w:tc>
              <w:tc>
                <w:tcPr>
                  <w:tcW w:w="467" w:type="pct"/>
                  <w:vMerge w:val="restart"/>
                  <w:vAlign w:val="center"/>
                </w:tcPr>
                <w:p>
                  <w:pPr>
                    <w:pStyle w:val="34"/>
                    <w:jc w:val="center"/>
                    <w:rPr>
                      <w:lang w:val="zh-CN"/>
                    </w:rPr>
                  </w:pPr>
                  <w:r>
                    <w:rPr>
                      <w:lang w:val="zh-CN"/>
                    </w:rPr>
                    <w:t>106.275414</w:t>
                  </w:r>
                </w:p>
              </w:tc>
              <w:tc>
                <w:tcPr>
                  <w:tcW w:w="427" w:type="pct"/>
                  <w:vMerge w:val="restart"/>
                  <w:vAlign w:val="center"/>
                </w:tcPr>
                <w:p>
                  <w:pPr>
                    <w:pStyle w:val="34"/>
                    <w:jc w:val="center"/>
                    <w:rPr>
                      <w:lang w:val="zh-CN"/>
                    </w:rPr>
                  </w:pPr>
                  <w:r>
                    <w:rPr>
                      <w:lang w:val="zh-CN"/>
                    </w:rPr>
                    <w:t>29.955412</w:t>
                  </w:r>
                </w:p>
              </w:tc>
              <w:tc>
                <w:tcPr>
                  <w:tcW w:w="407" w:type="pct"/>
                  <w:vMerge w:val="restart"/>
                  <w:vAlign w:val="center"/>
                </w:tcPr>
                <w:p>
                  <w:pPr>
                    <w:pStyle w:val="34"/>
                    <w:jc w:val="center"/>
                    <w:rPr>
                      <w:lang w:val="zh-CN"/>
                    </w:rPr>
                  </w:pPr>
                  <w:r>
                    <w:rPr>
                      <w:lang w:val="zh-CN"/>
                    </w:rPr>
                    <w:t>园区污水处理厂</w:t>
                  </w:r>
                </w:p>
              </w:tc>
              <w:tc>
                <w:tcPr>
                  <w:tcW w:w="406" w:type="pct"/>
                  <w:vMerge w:val="restart"/>
                  <w:vAlign w:val="center"/>
                </w:tcPr>
                <w:p>
                  <w:pPr>
                    <w:pStyle w:val="34"/>
                    <w:jc w:val="center"/>
                    <w:rPr>
                      <w:lang w:val="zh-CN"/>
                    </w:rPr>
                  </w:pPr>
                  <w:r>
                    <w:rPr>
                      <w:lang w:val="zh-CN"/>
                    </w:rPr>
                    <w:t>间接排放，排放期间，流量稳定且</w:t>
                  </w:r>
                  <w:r>
                    <w:rPr>
                      <w:rFonts w:hint="eastAsia"/>
                      <w:lang w:val="zh-CN"/>
                    </w:rPr>
                    <w:t>有周期性</w:t>
                  </w:r>
                  <w:r>
                    <w:rPr>
                      <w:lang w:val="zh-CN"/>
                    </w:rPr>
                    <w:t>规律，不属于冲击型排放</w:t>
                  </w:r>
                </w:p>
              </w:tc>
              <w:tc>
                <w:tcPr>
                  <w:tcW w:w="402" w:type="pct"/>
                  <w:vAlign w:val="center"/>
                </w:tcPr>
                <w:p>
                  <w:pPr>
                    <w:pStyle w:val="34"/>
                    <w:jc w:val="center"/>
                    <w:rPr>
                      <w:lang w:val="zh-CN"/>
                    </w:rPr>
                  </w:pPr>
                  <w:r>
                    <w:rPr>
                      <w:lang w:val="zh-CN"/>
                    </w:rPr>
                    <w:t>60</w:t>
                  </w:r>
                </w:p>
              </w:tc>
              <w:tc>
                <w:tcPr>
                  <w:tcW w:w="449" w:type="pct"/>
                  <w:vAlign w:val="center"/>
                </w:tcPr>
                <w:p>
                  <w:pPr>
                    <w:pStyle w:val="34"/>
                    <w:jc w:val="center"/>
                    <w:rPr>
                      <w:lang w:val="zh-CN"/>
                    </w:rPr>
                  </w:pPr>
                  <w:r>
                    <w:rPr>
                      <w:lang w:val="zh-CN"/>
                    </w:rPr>
                    <w:t xml:space="preserve">0.032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Align w:val="center"/>
                </w:tcPr>
                <w:p>
                  <w:pPr>
                    <w:pStyle w:val="34"/>
                    <w:jc w:val="center"/>
                    <w:rPr>
                      <w:lang w:val="zh-CN"/>
                    </w:rPr>
                  </w:pPr>
                  <w:r>
                    <w:rPr>
                      <w:lang w:val="zh-CN"/>
                    </w:rPr>
                    <w:t>BOD</w:t>
                  </w:r>
                  <w:r>
                    <w:rPr>
                      <w:vertAlign w:val="subscript"/>
                      <w:lang w:val="zh-CN"/>
                    </w:rPr>
                    <w:t>5</w:t>
                  </w:r>
                </w:p>
              </w:tc>
              <w:tc>
                <w:tcPr>
                  <w:tcW w:w="407" w:type="pct"/>
                  <w:vMerge w:val="continue"/>
                  <w:vAlign w:val="center"/>
                </w:tcPr>
                <w:p>
                  <w:pPr>
                    <w:pStyle w:val="34"/>
                    <w:jc w:val="center"/>
                    <w:rPr>
                      <w:lang w:val="zh-CN"/>
                    </w:rPr>
                  </w:pPr>
                </w:p>
              </w:tc>
              <w:tc>
                <w:tcPr>
                  <w:tcW w:w="467" w:type="pct"/>
                  <w:vMerge w:val="continue"/>
                  <w:vAlign w:val="center"/>
                </w:tcPr>
                <w:p>
                  <w:pPr>
                    <w:pStyle w:val="34"/>
                    <w:jc w:val="center"/>
                    <w:rPr>
                      <w:lang w:val="zh-CN"/>
                    </w:rPr>
                  </w:pPr>
                </w:p>
              </w:tc>
              <w:tc>
                <w:tcPr>
                  <w:tcW w:w="42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6" w:type="pct"/>
                  <w:vMerge w:val="continue"/>
                  <w:vAlign w:val="center"/>
                </w:tcPr>
                <w:p>
                  <w:pPr>
                    <w:pStyle w:val="34"/>
                    <w:jc w:val="center"/>
                    <w:rPr>
                      <w:lang w:val="zh-CN"/>
                    </w:rPr>
                  </w:pPr>
                </w:p>
              </w:tc>
              <w:tc>
                <w:tcPr>
                  <w:tcW w:w="402" w:type="pct"/>
                  <w:vAlign w:val="center"/>
                </w:tcPr>
                <w:p>
                  <w:pPr>
                    <w:pStyle w:val="34"/>
                    <w:jc w:val="center"/>
                    <w:rPr>
                      <w:lang w:val="zh-CN"/>
                    </w:rPr>
                  </w:pPr>
                  <w:r>
                    <w:rPr>
                      <w:lang w:val="zh-CN"/>
                    </w:rPr>
                    <w:t>20</w:t>
                  </w:r>
                </w:p>
              </w:tc>
              <w:tc>
                <w:tcPr>
                  <w:tcW w:w="449" w:type="pct"/>
                  <w:vAlign w:val="center"/>
                </w:tcPr>
                <w:p>
                  <w:pPr>
                    <w:pStyle w:val="34"/>
                    <w:jc w:val="center"/>
                    <w:rPr>
                      <w:lang w:val="zh-CN"/>
                    </w:rPr>
                  </w:pPr>
                  <w:r>
                    <w:rPr>
                      <w:lang w:val="zh-CN"/>
                    </w:rPr>
                    <w:t xml:space="preserve">0.011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Align w:val="center"/>
                </w:tcPr>
                <w:p>
                  <w:pPr>
                    <w:pStyle w:val="34"/>
                    <w:jc w:val="center"/>
                    <w:rPr>
                      <w:lang w:val="zh-CN"/>
                    </w:rPr>
                  </w:pPr>
                  <w:r>
                    <w:rPr>
                      <w:lang w:val="zh-CN"/>
                    </w:rPr>
                    <w:t>SS</w:t>
                  </w:r>
                </w:p>
              </w:tc>
              <w:tc>
                <w:tcPr>
                  <w:tcW w:w="407" w:type="pct"/>
                  <w:vMerge w:val="continue"/>
                  <w:vAlign w:val="center"/>
                </w:tcPr>
                <w:p>
                  <w:pPr>
                    <w:pStyle w:val="34"/>
                    <w:jc w:val="center"/>
                    <w:rPr>
                      <w:lang w:val="zh-CN"/>
                    </w:rPr>
                  </w:pPr>
                </w:p>
              </w:tc>
              <w:tc>
                <w:tcPr>
                  <w:tcW w:w="467" w:type="pct"/>
                  <w:vMerge w:val="continue"/>
                  <w:vAlign w:val="center"/>
                </w:tcPr>
                <w:p>
                  <w:pPr>
                    <w:pStyle w:val="34"/>
                    <w:jc w:val="center"/>
                    <w:rPr>
                      <w:lang w:val="zh-CN"/>
                    </w:rPr>
                  </w:pPr>
                </w:p>
              </w:tc>
              <w:tc>
                <w:tcPr>
                  <w:tcW w:w="42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6" w:type="pct"/>
                  <w:vMerge w:val="continue"/>
                  <w:vAlign w:val="center"/>
                </w:tcPr>
                <w:p>
                  <w:pPr>
                    <w:pStyle w:val="34"/>
                    <w:jc w:val="center"/>
                    <w:rPr>
                      <w:lang w:val="zh-CN"/>
                    </w:rPr>
                  </w:pPr>
                </w:p>
              </w:tc>
              <w:tc>
                <w:tcPr>
                  <w:tcW w:w="402" w:type="pct"/>
                  <w:vAlign w:val="center"/>
                </w:tcPr>
                <w:p>
                  <w:pPr>
                    <w:pStyle w:val="34"/>
                    <w:jc w:val="center"/>
                    <w:rPr>
                      <w:lang w:val="zh-CN"/>
                    </w:rPr>
                  </w:pPr>
                  <w:r>
                    <w:rPr>
                      <w:lang w:val="zh-CN"/>
                    </w:rPr>
                    <w:t>20</w:t>
                  </w:r>
                </w:p>
              </w:tc>
              <w:tc>
                <w:tcPr>
                  <w:tcW w:w="449" w:type="pct"/>
                  <w:vAlign w:val="center"/>
                </w:tcPr>
                <w:p>
                  <w:pPr>
                    <w:pStyle w:val="34"/>
                    <w:jc w:val="center"/>
                    <w:rPr>
                      <w:lang w:val="zh-CN"/>
                    </w:rPr>
                  </w:pPr>
                  <w:r>
                    <w:rPr>
                      <w:lang w:val="zh-CN"/>
                    </w:rPr>
                    <w:t xml:space="preserve">0.011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Align w:val="center"/>
                </w:tcPr>
                <w:p>
                  <w:pPr>
                    <w:pStyle w:val="34"/>
                    <w:jc w:val="center"/>
                    <w:rPr>
                      <w:lang w:val="zh-CN"/>
                    </w:rPr>
                  </w:pPr>
                  <w:r>
                    <w:rPr>
                      <w:lang w:val="zh-CN"/>
                    </w:rPr>
                    <w:t>NH</w:t>
                  </w:r>
                  <w:r>
                    <w:rPr>
                      <w:vertAlign w:val="subscript"/>
                      <w:lang w:val="zh-CN"/>
                    </w:rPr>
                    <w:t>3</w:t>
                  </w:r>
                  <w:r>
                    <w:rPr>
                      <w:lang w:val="zh-CN"/>
                    </w:rPr>
                    <w:t>-N</w:t>
                  </w:r>
                </w:p>
              </w:tc>
              <w:tc>
                <w:tcPr>
                  <w:tcW w:w="407" w:type="pct"/>
                  <w:vMerge w:val="continue"/>
                  <w:vAlign w:val="center"/>
                </w:tcPr>
                <w:p>
                  <w:pPr>
                    <w:pStyle w:val="34"/>
                    <w:jc w:val="center"/>
                    <w:rPr>
                      <w:lang w:val="zh-CN"/>
                    </w:rPr>
                  </w:pPr>
                </w:p>
              </w:tc>
              <w:tc>
                <w:tcPr>
                  <w:tcW w:w="467" w:type="pct"/>
                  <w:vMerge w:val="continue"/>
                  <w:vAlign w:val="center"/>
                </w:tcPr>
                <w:p>
                  <w:pPr>
                    <w:pStyle w:val="34"/>
                    <w:jc w:val="center"/>
                    <w:rPr>
                      <w:lang w:val="zh-CN"/>
                    </w:rPr>
                  </w:pPr>
                </w:p>
              </w:tc>
              <w:tc>
                <w:tcPr>
                  <w:tcW w:w="42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6" w:type="pct"/>
                  <w:vMerge w:val="continue"/>
                  <w:vAlign w:val="center"/>
                </w:tcPr>
                <w:p>
                  <w:pPr>
                    <w:pStyle w:val="34"/>
                    <w:jc w:val="center"/>
                    <w:rPr>
                      <w:lang w:val="zh-CN"/>
                    </w:rPr>
                  </w:pPr>
                </w:p>
              </w:tc>
              <w:tc>
                <w:tcPr>
                  <w:tcW w:w="402" w:type="pct"/>
                  <w:vAlign w:val="center"/>
                </w:tcPr>
                <w:p>
                  <w:pPr>
                    <w:pStyle w:val="34"/>
                    <w:jc w:val="center"/>
                    <w:rPr>
                      <w:lang w:val="zh-CN"/>
                    </w:rPr>
                  </w:pPr>
                  <w:r>
                    <w:rPr>
                      <w:lang w:val="zh-CN"/>
                    </w:rPr>
                    <w:t>8</w:t>
                  </w:r>
                </w:p>
              </w:tc>
              <w:tc>
                <w:tcPr>
                  <w:tcW w:w="449" w:type="pct"/>
                  <w:vAlign w:val="center"/>
                </w:tcPr>
                <w:p>
                  <w:pPr>
                    <w:pStyle w:val="34"/>
                    <w:jc w:val="center"/>
                    <w:rPr>
                      <w:lang w:val="zh-CN"/>
                    </w:rPr>
                  </w:pPr>
                  <w:r>
                    <w:rPr>
                      <w:lang w:val="zh-CN"/>
                    </w:rPr>
                    <w:t xml:space="preserve">0.004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Align w:val="center"/>
                </w:tcPr>
                <w:p>
                  <w:pPr>
                    <w:pStyle w:val="34"/>
                    <w:jc w:val="center"/>
                    <w:rPr>
                      <w:lang w:val="zh-CN"/>
                    </w:rPr>
                  </w:pPr>
                  <w:r>
                    <w:rPr>
                      <w:rFonts w:hint="eastAsia"/>
                      <w:lang w:val="zh-CN"/>
                    </w:rPr>
                    <w:t>TN</w:t>
                  </w:r>
                </w:p>
              </w:tc>
              <w:tc>
                <w:tcPr>
                  <w:tcW w:w="407" w:type="pct"/>
                  <w:vMerge w:val="continue"/>
                  <w:vAlign w:val="center"/>
                </w:tcPr>
                <w:p>
                  <w:pPr>
                    <w:pStyle w:val="34"/>
                    <w:jc w:val="center"/>
                    <w:rPr>
                      <w:lang w:val="zh-CN"/>
                    </w:rPr>
                  </w:pPr>
                </w:p>
              </w:tc>
              <w:tc>
                <w:tcPr>
                  <w:tcW w:w="467" w:type="pct"/>
                  <w:vMerge w:val="continue"/>
                  <w:vAlign w:val="center"/>
                </w:tcPr>
                <w:p>
                  <w:pPr>
                    <w:pStyle w:val="34"/>
                    <w:jc w:val="center"/>
                    <w:rPr>
                      <w:lang w:val="zh-CN"/>
                    </w:rPr>
                  </w:pPr>
                </w:p>
              </w:tc>
              <w:tc>
                <w:tcPr>
                  <w:tcW w:w="42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6" w:type="pct"/>
                  <w:vMerge w:val="continue"/>
                  <w:vAlign w:val="center"/>
                </w:tcPr>
                <w:p>
                  <w:pPr>
                    <w:pStyle w:val="34"/>
                    <w:jc w:val="center"/>
                    <w:rPr>
                      <w:lang w:val="zh-CN"/>
                    </w:rPr>
                  </w:pPr>
                </w:p>
              </w:tc>
              <w:tc>
                <w:tcPr>
                  <w:tcW w:w="402" w:type="pct"/>
                  <w:vAlign w:val="center"/>
                </w:tcPr>
                <w:p>
                  <w:pPr>
                    <w:pStyle w:val="34"/>
                    <w:jc w:val="center"/>
                    <w:rPr>
                      <w:lang w:val="zh-CN"/>
                    </w:rPr>
                  </w:pPr>
                  <w:r>
                    <w:rPr>
                      <w:lang w:val="zh-CN"/>
                    </w:rPr>
                    <w:t>20</w:t>
                  </w:r>
                </w:p>
              </w:tc>
              <w:tc>
                <w:tcPr>
                  <w:tcW w:w="449" w:type="pct"/>
                  <w:vAlign w:val="center"/>
                </w:tcPr>
                <w:p>
                  <w:pPr>
                    <w:pStyle w:val="34"/>
                    <w:jc w:val="center"/>
                    <w:rPr>
                      <w:lang w:val="zh-CN"/>
                    </w:rPr>
                  </w:pPr>
                  <w:r>
                    <w:rPr>
                      <w:lang w:val="zh-CN"/>
                    </w:rPr>
                    <w:t xml:space="preserve">0.011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Align w:val="center"/>
                </w:tcPr>
                <w:p>
                  <w:pPr>
                    <w:pStyle w:val="34"/>
                    <w:jc w:val="center"/>
                    <w:rPr>
                      <w:lang w:val="zh-CN"/>
                    </w:rPr>
                  </w:pPr>
                  <w:r>
                    <w:rPr>
                      <w:rFonts w:hint="eastAsia"/>
                      <w:lang w:val="zh-CN"/>
                    </w:rPr>
                    <w:t>TP</w:t>
                  </w:r>
                </w:p>
              </w:tc>
              <w:tc>
                <w:tcPr>
                  <w:tcW w:w="407" w:type="pct"/>
                  <w:vMerge w:val="continue"/>
                  <w:vAlign w:val="center"/>
                </w:tcPr>
                <w:p>
                  <w:pPr>
                    <w:pStyle w:val="34"/>
                    <w:jc w:val="center"/>
                    <w:rPr>
                      <w:lang w:val="zh-CN"/>
                    </w:rPr>
                  </w:pPr>
                </w:p>
              </w:tc>
              <w:tc>
                <w:tcPr>
                  <w:tcW w:w="467" w:type="pct"/>
                  <w:vMerge w:val="continue"/>
                  <w:vAlign w:val="center"/>
                </w:tcPr>
                <w:p>
                  <w:pPr>
                    <w:pStyle w:val="34"/>
                    <w:jc w:val="center"/>
                    <w:rPr>
                      <w:lang w:val="zh-CN"/>
                    </w:rPr>
                  </w:pPr>
                </w:p>
              </w:tc>
              <w:tc>
                <w:tcPr>
                  <w:tcW w:w="42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6" w:type="pct"/>
                  <w:vMerge w:val="continue"/>
                  <w:vAlign w:val="center"/>
                </w:tcPr>
                <w:p>
                  <w:pPr>
                    <w:pStyle w:val="34"/>
                    <w:jc w:val="center"/>
                    <w:rPr>
                      <w:lang w:val="zh-CN"/>
                    </w:rPr>
                  </w:pPr>
                </w:p>
              </w:tc>
              <w:tc>
                <w:tcPr>
                  <w:tcW w:w="402" w:type="pct"/>
                  <w:vAlign w:val="center"/>
                </w:tcPr>
                <w:p>
                  <w:pPr>
                    <w:pStyle w:val="34"/>
                    <w:jc w:val="center"/>
                    <w:rPr>
                      <w:lang w:val="zh-CN"/>
                    </w:rPr>
                  </w:pPr>
                  <w:r>
                    <w:rPr>
                      <w:lang w:val="zh-CN"/>
                    </w:rPr>
                    <w:t>1</w:t>
                  </w:r>
                </w:p>
              </w:tc>
              <w:tc>
                <w:tcPr>
                  <w:tcW w:w="449" w:type="pct"/>
                  <w:vAlign w:val="center"/>
                </w:tcPr>
                <w:p>
                  <w:pPr>
                    <w:pStyle w:val="34"/>
                    <w:jc w:val="center"/>
                    <w:rPr>
                      <w:lang w:val="zh-CN"/>
                    </w:rPr>
                  </w:pPr>
                  <w:r>
                    <w:rPr>
                      <w:lang w:val="zh-CN"/>
                    </w:rPr>
                    <w:t xml:space="preserve">0.001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restart"/>
                  <w:vAlign w:val="center"/>
                </w:tcPr>
                <w:p>
                  <w:pPr>
                    <w:pStyle w:val="34"/>
                    <w:jc w:val="center"/>
                    <w:rPr>
                      <w:lang w:val="zh-CN"/>
                    </w:rPr>
                  </w:pPr>
                  <w:r>
                    <w:rPr>
                      <w:rFonts w:hint="eastAsia"/>
                      <w:lang w:val="zh-CN"/>
                    </w:rPr>
                    <w:t>预处理</w:t>
                  </w:r>
                  <w:r>
                    <w:rPr>
                      <w:lang w:val="zh-CN"/>
                    </w:rPr>
                    <w:t>设施排放口</w:t>
                  </w:r>
                </w:p>
              </w:tc>
              <w:tc>
                <w:tcPr>
                  <w:tcW w:w="407" w:type="pct"/>
                  <w:vMerge w:val="restart"/>
                  <w:vAlign w:val="center"/>
                </w:tcPr>
                <w:p>
                  <w:pPr>
                    <w:pStyle w:val="34"/>
                    <w:jc w:val="center"/>
                    <w:rPr>
                      <w:lang w:val="zh-CN"/>
                    </w:rPr>
                  </w:pPr>
                  <w:r>
                    <w:rPr>
                      <w:lang w:val="zh-CN"/>
                    </w:rPr>
                    <w:t>369.9</w:t>
                  </w:r>
                </w:p>
              </w:tc>
              <w:tc>
                <w:tcPr>
                  <w:tcW w:w="407" w:type="pct"/>
                  <w:vMerge w:val="restart"/>
                  <w:vAlign w:val="center"/>
                </w:tcPr>
                <w:p>
                  <w:pPr>
                    <w:pStyle w:val="34"/>
                    <w:jc w:val="center"/>
                    <w:rPr>
                      <w:lang w:val="zh-CN"/>
                    </w:rPr>
                  </w:pPr>
                  <w:r>
                    <w:rPr>
                      <w:rFonts w:hint="eastAsia"/>
                      <w:lang w:val="zh-CN"/>
                    </w:rPr>
                    <w:t>DW002</w:t>
                  </w:r>
                </w:p>
              </w:tc>
              <w:tc>
                <w:tcPr>
                  <w:tcW w:w="407" w:type="pct"/>
                  <w:vMerge w:val="restart"/>
                  <w:vAlign w:val="center"/>
                </w:tcPr>
                <w:p>
                  <w:pPr>
                    <w:pStyle w:val="34"/>
                    <w:jc w:val="center"/>
                    <w:rPr>
                      <w:lang w:val="zh-CN"/>
                    </w:rPr>
                  </w:pPr>
                  <w:r>
                    <w:rPr>
                      <w:rFonts w:hint="eastAsia"/>
                      <w:lang w:val="zh-CN"/>
                    </w:rPr>
                    <w:t>主要</w:t>
                  </w:r>
                  <w:r>
                    <w:rPr>
                      <w:lang w:val="zh-CN"/>
                    </w:rPr>
                    <w:t>排放口</w:t>
                  </w:r>
                </w:p>
              </w:tc>
              <w:tc>
                <w:tcPr>
                  <w:tcW w:w="407" w:type="pct"/>
                  <w:vAlign w:val="center"/>
                </w:tcPr>
                <w:p>
                  <w:pPr>
                    <w:pStyle w:val="34"/>
                    <w:jc w:val="center"/>
                    <w:rPr>
                      <w:lang w:val="zh-CN"/>
                    </w:rPr>
                  </w:pPr>
                  <w:r>
                    <w:rPr>
                      <w:lang w:val="zh-CN"/>
                    </w:rPr>
                    <w:t>COD</w:t>
                  </w:r>
                </w:p>
              </w:tc>
              <w:tc>
                <w:tcPr>
                  <w:tcW w:w="407" w:type="pct"/>
                  <w:vMerge w:val="restart"/>
                  <w:vAlign w:val="center"/>
                </w:tcPr>
                <w:p>
                  <w:pPr>
                    <w:pStyle w:val="34"/>
                    <w:jc w:val="center"/>
                    <w:rPr>
                      <w:lang w:val="zh-CN"/>
                    </w:rPr>
                  </w:pPr>
                  <w:r>
                    <w:rPr>
                      <w:snapToGrid w:val="0"/>
                    </w:rPr>
                    <w:t>验收监测一次</w:t>
                  </w:r>
                  <w:r>
                    <w:rPr>
                      <w:rFonts w:hint="eastAsia"/>
                      <w:snapToGrid w:val="0"/>
                    </w:rPr>
                    <w:t>，</w:t>
                  </w:r>
                  <w:r>
                    <w:rPr>
                      <w:snapToGrid w:val="0"/>
                    </w:rPr>
                    <w:t>其余</w:t>
                  </w:r>
                  <w:r>
                    <w:rPr>
                      <w:rFonts w:hint="eastAsia"/>
                      <w:snapToGrid w:val="0"/>
                    </w:rPr>
                    <w:t>半年</w:t>
                  </w:r>
                  <w:r>
                    <w:rPr>
                      <w:snapToGrid w:val="0"/>
                    </w:rPr>
                    <w:t>监测一次</w:t>
                  </w:r>
                </w:p>
              </w:tc>
              <w:tc>
                <w:tcPr>
                  <w:tcW w:w="467" w:type="pct"/>
                  <w:vMerge w:val="restart"/>
                  <w:vAlign w:val="center"/>
                </w:tcPr>
                <w:p>
                  <w:pPr>
                    <w:pStyle w:val="34"/>
                    <w:jc w:val="center"/>
                    <w:rPr>
                      <w:lang w:val="zh-CN"/>
                    </w:rPr>
                  </w:pPr>
                  <w:r>
                    <w:rPr>
                      <w:lang w:val="zh-CN"/>
                    </w:rPr>
                    <w:t>106.274462</w:t>
                  </w:r>
                </w:p>
              </w:tc>
              <w:tc>
                <w:tcPr>
                  <w:tcW w:w="427" w:type="pct"/>
                  <w:vMerge w:val="restart"/>
                  <w:vAlign w:val="center"/>
                </w:tcPr>
                <w:p>
                  <w:pPr>
                    <w:pStyle w:val="34"/>
                    <w:jc w:val="center"/>
                    <w:rPr>
                      <w:lang w:val="zh-CN"/>
                    </w:rPr>
                  </w:pPr>
                  <w:r>
                    <w:rPr>
                      <w:lang w:val="zh-CN"/>
                    </w:rPr>
                    <w:t>29.954341</w:t>
                  </w:r>
                </w:p>
              </w:tc>
              <w:tc>
                <w:tcPr>
                  <w:tcW w:w="407" w:type="pct"/>
                  <w:vMerge w:val="restart"/>
                  <w:vAlign w:val="center"/>
                </w:tcPr>
                <w:p>
                  <w:pPr>
                    <w:pStyle w:val="34"/>
                    <w:jc w:val="center"/>
                    <w:rPr>
                      <w:lang w:val="zh-CN"/>
                    </w:rPr>
                  </w:pPr>
                  <w:r>
                    <w:rPr>
                      <w:rFonts w:hint="eastAsia"/>
                      <w:lang w:val="zh-CN"/>
                    </w:rPr>
                    <w:t>厂区</w:t>
                  </w:r>
                  <w:r>
                    <w:rPr>
                      <w:lang w:val="zh-CN"/>
                    </w:rPr>
                    <w:t>污水处理站</w:t>
                  </w:r>
                </w:p>
              </w:tc>
              <w:tc>
                <w:tcPr>
                  <w:tcW w:w="406" w:type="pct"/>
                  <w:vMerge w:val="restart"/>
                  <w:vAlign w:val="center"/>
                </w:tcPr>
                <w:p>
                  <w:pPr>
                    <w:pStyle w:val="34"/>
                    <w:jc w:val="center"/>
                    <w:rPr>
                      <w:lang w:val="zh-CN"/>
                    </w:rPr>
                  </w:pPr>
                  <w:r>
                    <w:rPr>
                      <w:lang w:val="zh-CN"/>
                    </w:rPr>
                    <w:t>间接排放，排放期间，流量稳定且</w:t>
                  </w:r>
                  <w:r>
                    <w:rPr>
                      <w:rFonts w:hint="eastAsia"/>
                      <w:lang w:val="zh-CN"/>
                    </w:rPr>
                    <w:t>有周期性</w:t>
                  </w:r>
                  <w:r>
                    <w:rPr>
                      <w:lang w:val="zh-CN"/>
                    </w:rPr>
                    <w:t>规律，不属于冲击型排放</w:t>
                  </w:r>
                </w:p>
              </w:tc>
              <w:tc>
                <w:tcPr>
                  <w:tcW w:w="402" w:type="pct"/>
                  <w:vAlign w:val="center"/>
                </w:tcPr>
                <w:p>
                  <w:pPr>
                    <w:pStyle w:val="34"/>
                    <w:jc w:val="center"/>
                    <w:rPr>
                      <w:lang w:val="zh-CN"/>
                    </w:rPr>
                  </w:pPr>
                  <w:r>
                    <w:rPr>
                      <w:lang w:val="zh-CN"/>
                    </w:rPr>
                    <w:t>300</w:t>
                  </w:r>
                </w:p>
              </w:tc>
              <w:tc>
                <w:tcPr>
                  <w:tcW w:w="449" w:type="pct"/>
                  <w:vAlign w:val="center"/>
                </w:tcPr>
                <w:p>
                  <w:pPr>
                    <w:pStyle w:val="34"/>
                    <w:jc w:val="center"/>
                    <w:rPr>
                      <w:lang w:val="zh-CN"/>
                    </w:rPr>
                  </w:pPr>
                  <w:r>
                    <w:rPr>
                      <w:rFonts w:hint="eastAsia"/>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Align w:val="center"/>
                </w:tcPr>
                <w:p>
                  <w:pPr>
                    <w:pStyle w:val="34"/>
                    <w:jc w:val="center"/>
                    <w:rPr>
                      <w:lang w:val="zh-CN"/>
                    </w:rPr>
                  </w:pPr>
                  <w:r>
                    <w:rPr>
                      <w:lang w:val="zh-CN"/>
                    </w:rPr>
                    <w:t>BOD</w:t>
                  </w:r>
                  <w:r>
                    <w:rPr>
                      <w:vertAlign w:val="subscript"/>
                      <w:lang w:val="zh-CN"/>
                    </w:rPr>
                    <w:t>5</w:t>
                  </w:r>
                </w:p>
              </w:tc>
              <w:tc>
                <w:tcPr>
                  <w:tcW w:w="407" w:type="pct"/>
                  <w:vMerge w:val="continue"/>
                  <w:vAlign w:val="center"/>
                </w:tcPr>
                <w:p>
                  <w:pPr>
                    <w:pStyle w:val="34"/>
                    <w:jc w:val="center"/>
                    <w:rPr>
                      <w:lang w:val="zh-CN"/>
                    </w:rPr>
                  </w:pPr>
                </w:p>
              </w:tc>
              <w:tc>
                <w:tcPr>
                  <w:tcW w:w="467" w:type="pct"/>
                  <w:vMerge w:val="continue"/>
                  <w:vAlign w:val="center"/>
                </w:tcPr>
                <w:p>
                  <w:pPr>
                    <w:pStyle w:val="34"/>
                    <w:jc w:val="center"/>
                    <w:rPr>
                      <w:lang w:val="zh-CN"/>
                    </w:rPr>
                  </w:pPr>
                </w:p>
              </w:tc>
              <w:tc>
                <w:tcPr>
                  <w:tcW w:w="42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6" w:type="pct"/>
                  <w:vMerge w:val="continue"/>
                  <w:vAlign w:val="center"/>
                </w:tcPr>
                <w:p>
                  <w:pPr>
                    <w:pStyle w:val="34"/>
                    <w:jc w:val="center"/>
                    <w:rPr>
                      <w:lang w:val="zh-CN"/>
                    </w:rPr>
                  </w:pPr>
                </w:p>
              </w:tc>
              <w:tc>
                <w:tcPr>
                  <w:tcW w:w="402" w:type="pct"/>
                  <w:vAlign w:val="center"/>
                </w:tcPr>
                <w:p>
                  <w:pPr>
                    <w:pStyle w:val="34"/>
                    <w:jc w:val="center"/>
                    <w:rPr>
                      <w:lang w:val="zh-CN"/>
                    </w:rPr>
                  </w:pPr>
                  <w:r>
                    <w:rPr>
                      <w:lang w:val="zh-CN"/>
                    </w:rPr>
                    <w:t>70</w:t>
                  </w:r>
                </w:p>
              </w:tc>
              <w:tc>
                <w:tcPr>
                  <w:tcW w:w="449" w:type="pct"/>
                  <w:vAlign w:val="center"/>
                </w:tcPr>
                <w:p>
                  <w:pPr>
                    <w:pStyle w:val="34"/>
                    <w:jc w:val="center"/>
                    <w:rPr>
                      <w:lang w:val="zh-CN"/>
                    </w:rPr>
                  </w:pPr>
                  <w:r>
                    <w:rPr>
                      <w:rFonts w:hint="eastAsia"/>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Align w:val="center"/>
                </w:tcPr>
                <w:p>
                  <w:pPr>
                    <w:pStyle w:val="34"/>
                    <w:jc w:val="center"/>
                    <w:rPr>
                      <w:lang w:val="zh-CN"/>
                    </w:rPr>
                  </w:pPr>
                  <w:r>
                    <w:rPr>
                      <w:lang w:val="zh-CN"/>
                    </w:rPr>
                    <w:t>SS</w:t>
                  </w:r>
                </w:p>
              </w:tc>
              <w:tc>
                <w:tcPr>
                  <w:tcW w:w="407" w:type="pct"/>
                  <w:vMerge w:val="continue"/>
                  <w:vAlign w:val="center"/>
                </w:tcPr>
                <w:p>
                  <w:pPr>
                    <w:pStyle w:val="34"/>
                    <w:jc w:val="center"/>
                    <w:rPr>
                      <w:lang w:val="zh-CN"/>
                    </w:rPr>
                  </w:pPr>
                </w:p>
              </w:tc>
              <w:tc>
                <w:tcPr>
                  <w:tcW w:w="467" w:type="pct"/>
                  <w:vMerge w:val="continue"/>
                  <w:vAlign w:val="center"/>
                </w:tcPr>
                <w:p>
                  <w:pPr>
                    <w:pStyle w:val="34"/>
                    <w:jc w:val="center"/>
                    <w:rPr>
                      <w:lang w:val="zh-CN"/>
                    </w:rPr>
                  </w:pPr>
                </w:p>
              </w:tc>
              <w:tc>
                <w:tcPr>
                  <w:tcW w:w="42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6" w:type="pct"/>
                  <w:vMerge w:val="continue"/>
                  <w:vAlign w:val="center"/>
                </w:tcPr>
                <w:p>
                  <w:pPr>
                    <w:pStyle w:val="34"/>
                    <w:jc w:val="center"/>
                    <w:rPr>
                      <w:lang w:val="zh-CN"/>
                    </w:rPr>
                  </w:pPr>
                </w:p>
              </w:tc>
              <w:tc>
                <w:tcPr>
                  <w:tcW w:w="402" w:type="pct"/>
                  <w:vAlign w:val="center"/>
                </w:tcPr>
                <w:p>
                  <w:pPr>
                    <w:pStyle w:val="34"/>
                    <w:jc w:val="center"/>
                    <w:rPr>
                      <w:lang w:val="zh-CN"/>
                    </w:rPr>
                  </w:pPr>
                  <w:r>
                    <w:rPr>
                      <w:lang w:val="zh-CN"/>
                    </w:rPr>
                    <w:t>70</w:t>
                  </w:r>
                </w:p>
              </w:tc>
              <w:tc>
                <w:tcPr>
                  <w:tcW w:w="449" w:type="pct"/>
                  <w:vAlign w:val="center"/>
                </w:tcPr>
                <w:p>
                  <w:pPr>
                    <w:pStyle w:val="34"/>
                    <w:jc w:val="center"/>
                    <w:rPr>
                      <w:lang w:val="zh-CN"/>
                    </w:rPr>
                  </w:pPr>
                  <w:r>
                    <w:rPr>
                      <w:rFonts w:hint="eastAsia"/>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Align w:val="center"/>
                </w:tcPr>
                <w:p>
                  <w:pPr>
                    <w:pStyle w:val="34"/>
                    <w:jc w:val="center"/>
                    <w:rPr>
                      <w:lang w:val="zh-CN"/>
                    </w:rPr>
                  </w:pPr>
                  <w:r>
                    <w:rPr>
                      <w:lang w:val="zh-CN"/>
                    </w:rPr>
                    <w:t>NH</w:t>
                  </w:r>
                  <w:r>
                    <w:rPr>
                      <w:vertAlign w:val="subscript"/>
                      <w:lang w:val="zh-CN"/>
                    </w:rPr>
                    <w:t>3</w:t>
                  </w:r>
                  <w:r>
                    <w:rPr>
                      <w:lang w:val="zh-CN"/>
                    </w:rPr>
                    <w:t>-N</w:t>
                  </w:r>
                </w:p>
              </w:tc>
              <w:tc>
                <w:tcPr>
                  <w:tcW w:w="407" w:type="pct"/>
                  <w:vMerge w:val="continue"/>
                  <w:vAlign w:val="center"/>
                </w:tcPr>
                <w:p>
                  <w:pPr>
                    <w:pStyle w:val="34"/>
                    <w:jc w:val="center"/>
                    <w:rPr>
                      <w:lang w:val="zh-CN"/>
                    </w:rPr>
                  </w:pPr>
                </w:p>
              </w:tc>
              <w:tc>
                <w:tcPr>
                  <w:tcW w:w="467" w:type="pct"/>
                  <w:vMerge w:val="continue"/>
                  <w:vAlign w:val="center"/>
                </w:tcPr>
                <w:p>
                  <w:pPr>
                    <w:pStyle w:val="34"/>
                    <w:jc w:val="center"/>
                    <w:rPr>
                      <w:lang w:val="zh-CN"/>
                    </w:rPr>
                  </w:pPr>
                </w:p>
              </w:tc>
              <w:tc>
                <w:tcPr>
                  <w:tcW w:w="42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6" w:type="pct"/>
                  <w:vMerge w:val="continue"/>
                  <w:vAlign w:val="center"/>
                </w:tcPr>
                <w:p>
                  <w:pPr>
                    <w:pStyle w:val="34"/>
                    <w:jc w:val="center"/>
                    <w:rPr>
                      <w:lang w:val="zh-CN"/>
                    </w:rPr>
                  </w:pPr>
                </w:p>
              </w:tc>
              <w:tc>
                <w:tcPr>
                  <w:tcW w:w="402" w:type="pct"/>
                  <w:vAlign w:val="center"/>
                </w:tcPr>
                <w:p>
                  <w:pPr>
                    <w:pStyle w:val="34"/>
                    <w:jc w:val="center"/>
                    <w:rPr>
                      <w:lang w:val="zh-CN"/>
                    </w:rPr>
                  </w:pPr>
                  <w:r>
                    <w:rPr>
                      <w:lang w:val="zh-CN"/>
                    </w:rPr>
                    <w:t>35</w:t>
                  </w:r>
                </w:p>
              </w:tc>
              <w:tc>
                <w:tcPr>
                  <w:tcW w:w="449" w:type="pct"/>
                  <w:vAlign w:val="center"/>
                </w:tcPr>
                <w:p>
                  <w:pPr>
                    <w:pStyle w:val="34"/>
                    <w:jc w:val="center"/>
                    <w:rPr>
                      <w:lang w:val="zh-CN"/>
                    </w:rPr>
                  </w:pPr>
                  <w:r>
                    <w:rPr>
                      <w:rFonts w:hint="eastAsia"/>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Align w:val="center"/>
                </w:tcPr>
                <w:p>
                  <w:pPr>
                    <w:pStyle w:val="34"/>
                    <w:jc w:val="center"/>
                    <w:rPr>
                      <w:lang w:val="zh-CN"/>
                    </w:rPr>
                  </w:pPr>
                  <w:r>
                    <w:rPr>
                      <w:rFonts w:hint="eastAsia"/>
                      <w:lang w:val="zh-CN"/>
                    </w:rPr>
                    <w:t>TN</w:t>
                  </w:r>
                </w:p>
              </w:tc>
              <w:tc>
                <w:tcPr>
                  <w:tcW w:w="407" w:type="pct"/>
                  <w:vMerge w:val="continue"/>
                  <w:vAlign w:val="center"/>
                </w:tcPr>
                <w:p>
                  <w:pPr>
                    <w:pStyle w:val="34"/>
                    <w:jc w:val="center"/>
                    <w:rPr>
                      <w:lang w:val="zh-CN"/>
                    </w:rPr>
                  </w:pPr>
                </w:p>
              </w:tc>
              <w:tc>
                <w:tcPr>
                  <w:tcW w:w="467" w:type="pct"/>
                  <w:vMerge w:val="continue"/>
                  <w:vAlign w:val="center"/>
                </w:tcPr>
                <w:p>
                  <w:pPr>
                    <w:pStyle w:val="34"/>
                    <w:jc w:val="center"/>
                    <w:rPr>
                      <w:lang w:val="zh-CN"/>
                    </w:rPr>
                  </w:pPr>
                </w:p>
              </w:tc>
              <w:tc>
                <w:tcPr>
                  <w:tcW w:w="42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6" w:type="pct"/>
                  <w:vMerge w:val="continue"/>
                  <w:vAlign w:val="center"/>
                </w:tcPr>
                <w:p>
                  <w:pPr>
                    <w:pStyle w:val="34"/>
                    <w:jc w:val="center"/>
                    <w:rPr>
                      <w:lang w:val="zh-CN"/>
                    </w:rPr>
                  </w:pPr>
                </w:p>
              </w:tc>
              <w:tc>
                <w:tcPr>
                  <w:tcW w:w="402" w:type="pct"/>
                  <w:vAlign w:val="center"/>
                </w:tcPr>
                <w:p>
                  <w:pPr>
                    <w:pStyle w:val="34"/>
                    <w:jc w:val="center"/>
                    <w:rPr>
                      <w:lang w:val="zh-CN"/>
                    </w:rPr>
                  </w:pPr>
                  <w:r>
                    <w:rPr>
                      <w:lang w:val="zh-CN"/>
                    </w:rPr>
                    <w:t>55</w:t>
                  </w:r>
                </w:p>
              </w:tc>
              <w:tc>
                <w:tcPr>
                  <w:tcW w:w="449" w:type="pct"/>
                  <w:vAlign w:val="center"/>
                </w:tcPr>
                <w:p>
                  <w:pPr>
                    <w:pStyle w:val="34"/>
                    <w:jc w:val="center"/>
                    <w:rPr>
                      <w:lang w:val="zh-CN"/>
                    </w:rPr>
                  </w:pPr>
                  <w:r>
                    <w:rPr>
                      <w:rFonts w:hint="eastAsia"/>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7" w:type="pct"/>
                  <w:vAlign w:val="center"/>
                </w:tcPr>
                <w:p>
                  <w:pPr>
                    <w:pStyle w:val="34"/>
                    <w:jc w:val="center"/>
                    <w:rPr>
                      <w:lang w:val="zh-CN"/>
                    </w:rPr>
                  </w:pPr>
                  <w:r>
                    <w:rPr>
                      <w:rFonts w:hint="eastAsia"/>
                      <w:lang w:val="zh-CN"/>
                    </w:rPr>
                    <w:t>TP</w:t>
                  </w:r>
                </w:p>
              </w:tc>
              <w:tc>
                <w:tcPr>
                  <w:tcW w:w="407" w:type="pct"/>
                  <w:vMerge w:val="continue"/>
                  <w:vAlign w:val="center"/>
                </w:tcPr>
                <w:p>
                  <w:pPr>
                    <w:pStyle w:val="34"/>
                    <w:jc w:val="center"/>
                    <w:rPr>
                      <w:lang w:val="zh-CN"/>
                    </w:rPr>
                  </w:pPr>
                </w:p>
              </w:tc>
              <w:tc>
                <w:tcPr>
                  <w:tcW w:w="467" w:type="pct"/>
                  <w:vMerge w:val="continue"/>
                  <w:vAlign w:val="center"/>
                </w:tcPr>
                <w:p>
                  <w:pPr>
                    <w:pStyle w:val="34"/>
                    <w:jc w:val="center"/>
                    <w:rPr>
                      <w:lang w:val="zh-CN"/>
                    </w:rPr>
                  </w:pPr>
                </w:p>
              </w:tc>
              <w:tc>
                <w:tcPr>
                  <w:tcW w:w="427" w:type="pct"/>
                  <w:vMerge w:val="continue"/>
                  <w:vAlign w:val="center"/>
                </w:tcPr>
                <w:p>
                  <w:pPr>
                    <w:pStyle w:val="34"/>
                    <w:jc w:val="center"/>
                    <w:rPr>
                      <w:lang w:val="zh-CN"/>
                    </w:rPr>
                  </w:pPr>
                </w:p>
              </w:tc>
              <w:tc>
                <w:tcPr>
                  <w:tcW w:w="407" w:type="pct"/>
                  <w:vMerge w:val="continue"/>
                  <w:vAlign w:val="center"/>
                </w:tcPr>
                <w:p>
                  <w:pPr>
                    <w:pStyle w:val="34"/>
                    <w:jc w:val="center"/>
                    <w:rPr>
                      <w:lang w:val="zh-CN"/>
                    </w:rPr>
                  </w:pPr>
                </w:p>
              </w:tc>
              <w:tc>
                <w:tcPr>
                  <w:tcW w:w="406" w:type="pct"/>
                  <w:vMerge w:val="continue"/>
                  <w:vAlign w:val="center"/>
                </w:tcPr>
                <w:p>
                  <w:pPr>
                    <w:pStyle w:val="34"/>
                    <w:jc w:val="center"/>
                    <w:rPr>
                      <w:lang w:val="zh-CN"/>
                    </w:rPr>
                  </w:pPr>
                </w:p>
              </w:tc>
              <w:tc>
                <w:tcPr>
                  <w:tcW w:w="402" w:type="pct"/>
                  <w:vAlign w:val="center"/>
                </w:tcPr>
                <w:p>
                  <w:pPr>
                    <w:pStyle w:val="34"/>
                    <w:jc w:val="center"/>
                    <w:rPr>
                      <w:lang w:val="zh-CN"/>
                    </w:rPr>
                  </w:pPr>
                  <w:r>
                    <w:rPr>
                      <w:lang w:val="zh-CN"/>
                    </w:rPr>
                    <w:t>5</w:t>
                  </w:r>
                </w:p>
              </w:tc>
              <w:tc>
                <w:tcPr>
                  <w:tcW w:w="449" w:type="pct"/>
                  <w:vAlign w:val="center"/>
                </w:tcPr>
                <w:p>
                  <w:pPr>
                    <w:pStyle w:val="34"/>
                    <w:jc w:val="center"/>
                    <w:rPr>
                      <w:lang w:val="zh-CN"/>
                    </w:rPr>
                  </w:pPr>
                  <w:r>
                    <w:rPr>
                      <w:rFonts w:hint="eastAsia"/>
                      <w:lang w:val="zh-CN"/>
                    </w:rPr>
                    <w:t>/</w:t>
                  </w:r>
                </w:p>
              </w:tc>
            </w:tr>
          </w:tbl>
          <w:p>
            <w:pPr>
              <w:ind w:firstLine="0" w:firstLineChars="0"/>
              <w:rPr>
                <w:lang w:val="zh-CN"/>
              </w:rPr>
            </w:pPr>
          </w:p>
        </w:tc>
      </w:tr>
    </w:tbl>
    <w:p>
      <w:pPr>
        <w:ind w:firstLine="480"/>
        <w:rPr>
          <w:lang w:val="zh-CN"/>
        </w:rPr>
        <w:sectPr>
          <w:pgSz w:w="16840" w:h="11907" w:orient="landscape"/>
          <w:pgMar w:top="1080" w:right="1440" w:bottom="1080" w:left="1440" w:header="851" w:footer="851" w:gutter="0"/>
          <w:cols w:space="720" w:num="1"/>
          <w:docGrid w:linePitch="312" w:charSpace="0"/>
        </w:sectPr>
      </w:pPr>
    </w:p>
    <w:tbl>
      <w:tblPr>
        <w:tblStyle w:val="18"/>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16"/>
        <w:gridCol w:w="924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3021" w:hRule="atLeast"/>
        </w:trPr>
        <w:tc>
          <w:tcPr>
            <w:tcW w:w="699" w:type="dxa"/>
            <w:vAlign w:val="center"/>
          </w:tcPr>
          <w:p>
            <w:pPr>
              <w:ind w:firstLine="0" w:firstLineChars="0"/>
              <w:jc w:val="center"/>
              <w:rPr>
                <w:sz w:val="28"/>
                <w:szCs w:val="28"/>
              </w:rPr>
            </w:pPr>
            <w:r>
              <w:rPr>
                <w:bCs/>
                <w:szCs w:val="21"/>
              </w:rPr>
              <w:t>运营期环境影响和保护措施</w:t>
            </w:r>
          </w:p>
        </w:tc>
        <w:tc>
          <w:tcPr>
            <w:tcW w:w="9028" w:type="dxa"/>
          </w:tcPr>
          <w:p>
            <w:pPr>
              <w:ind w:firstLine="480"/>
            </w:pPr>
            <w:r>
              <w:t>（2）废水排放源强核算</w:t>
            </w:r>
            <w:r>
              <w:rPr>
                <w:rFonts w:hint="eastAsia"/>
              </w:rPr>
              <w:t>及</w:t>
            </w:r>
            <w:r>
              <w:t>达标分析</w:t>
            </w:r>
          </w:p>
          <w:p>
            <w:pPr>
              <w:ind w:firstLine="480"/>
            </w:pPr>
            <w:r>
              <w:rPr>
                <w:rFonts w:hint="eastAsia"/>
              </w:rPr>
              <w:t>①</w:t>
            </w:r>
            <w:r>
              <w:t>卤制废水：卤制</w:t>
            </w:r>
            <w:r>
              <w:rPr>
                <w:rFonts w:hint="eastAsia"/>
              </w:rPr>
              <w:t>用水</w:t>
            </w:r>
            <w:r>
              <w:t>每</w:t>
            </w:r>
            <w:r>
              <w:rPr>
                <w:rFonts w:hint="eastAsia"/>
              </w:rPr>
              <w:t>半个月</w:t>
            </w:r>
            <w:r>
              <w:t>排放一次，考虑蒸汽通入</w:t>
            </w:r>
            <w:r>
              <w:rPr>
                <w:rFonts w:hint="eastAsia"/>
              </w:rPr>
              <w:t>会使</w:t>
            </w:r>
            <w:r>
              <w:t>水量增加，</w:t>
            </w:r>
            <w:r>
              <w:rPr>
                <w:rFonts w:hint="eastAsia"/>
              </w:rPr>
              <w:t>根据业主</w:t>
            </w:r>
            <w:r>
              <w:t>提供资料，配置煮碱用水</w:t>
            </w:r>
            <w:r>
              <w:rPr>
                <w:rFonts w:hint="eastAsia"/>
              </w:rPr>
              <w:t>初始</w:t>
            </w:r>
            <w:r>
              <w:t>水量为0.06m</w:t>
            </w:r>
            <w:r>
              <w:rPr>
                <w:vertAlign w:val="superscript"/>
              </w:rPr>
              <w:t>3</w:t>
            </w:r>
            <w:r>
              <w:t>/d·锅</w:t>
            </w:r>
            <w:r>
              <w:rPr>
                <w:rFonts w:hint="eastAsia"/>
              </w:rPr>
              <w:t>，卤制过程中根据卤水</w:t>
            </w:r>
            <w:r>
              <w:t>消耗情况进行补充</w:t>
            </w:r>
            <w:r>
              <w:rPr>
                <w:rFonts w:hint="eastAsia"/>
              </w:rPr>
              <w:t>香料</w:t>
            </w:r>
            <w:r>
              <w:t>和水，</w:t>
            </w:r>
            <w:r>
              <w:rPr>
                <w:rFonts w:hint="eastAsia"/>
              </w:rPr>
              <w:t>每日</w:t>
            </w:r>
            <w:r>
              <w:t>补充新鲜水约</w:t>
            </w:r>
            <w:r>
              <w:rPr>
                <w:rFonts w:hint="eastAsia"/>
              </w:rPr>
              <w:t>0.02</w:t>
            </w:r>
            <w:r>
              <w:t>m</w:t>
            </w:r>
            <w:r>
              <w:rPr>
                <w:vertAlign w:val="superscript"/>
              </w:rPr>
              <w:t>3</w:t>
            </w:r>
            <w:r>
              <w:rPr>
                <w:rFonts w:hint="eastAsia"/>
              </w:rPr>
              <w:t>，蒸汽</w:t>
            </w:r>
            <w:r>
              <w:t>通入会补0.03m</w:t>
            </w:r>
            <w:r>
              <w:rPr>
                <w:vertAlign w:val="superscript"/>
              </w:rPr>
              <w:t>3</w:t>
            </w:r>
            <w:r>
              <w:rPr>
                <w:rFonts w:hint="eastAsia"/>
              </w:rPr>
              <w:t>，</w:t>
            </w:r>
            <w:r>
              <w:t>排水系数</w:t>
            </w:r>
            <w:r>
              <w:rPr>
                <w:rFonts w:hint="eastAsia"/>
              </w:rPr>
              <w:t>0.9，折算排水量</w:t>
            </w:r>
            <w:r>
              <w:t>为0.009m</w:t>
            </w:r>
            <w:r>
              <w:rPr>
                <w:vertAlign w:val="superscript"/>
              </w:rPr>
              <w:t>3</w:t>
            </w:r>
            <w:r>
              <w:t>/d</w:t>
            </w:r>
            <w:r>
              <w:rPr>
                <w:rFonts w:hint="eastAsia"/>
              </w:rPr>
              <w:t>（</w:t>
            </w:r>
            <w:r>
              <w:t>2.7m</w:t>
            </w:r>
            <w:r>
              <w:rPr>
                <w:vertAlign w:val="superscript"/>
              </w:rPr>
              <w:t>3</w:t>
            </w:r>
            <w:r>
              <w:t>/a</w:t>
            </w:r>
            <w:r>
              <w:rPr>
                <w:rFonts w:hint="eastAsia"/>
              </w:rPr>
              <w:t>），</w:t>
            </w:r>
            <w:r>
              <w:t>单日最大排水量为</w:t>
            </w:r>
            <w:r>
              <w:rPr>
                <w:rFonts w:hint="eastAsia"/>
              </w:rPr>
              <w:t>0.12</w:t>
            </w:r>
            <w:r>
              <w:t xml:space="preserve"> m</w:t>
            </w:r>
            <w:r>
              <w:rPr>
                <w:vertAlign w:val="superscript"/>
              </w:rPr>
              <w:t>3</w:t>
            </w:r>
            <w:r>
              <w:t>/d</w:t>
            </w:r>
            <w:r>
              <w:rPr>
                <w:rFonts w:hint="eastAsia"/>
              </w:rPr>
              <w:t>，结合本企业</w:t>
            </w:r>
            <w:r>
              <w:t>情况及类比同类</w:t>
            </w:r>
            <w:r>
              <w:rPr>
                <w:rFonts w:hint="eastAsia"/>
              </w:rPr>
              <w:t>企业</w:t>
            </w:r>
            <w:r>
              <w:t>生产工艺</w:t>
            </w:r>
            <w:r>
              <w:rPr>
                <w:rFonts w:hint="eastAsia"/>
              </w:rPr>
              <w:t>（重庆</w:t>
            </w:r>
            <w:r>
              <w:t>旭福恒豆制品</w:t>
            </w:r>
            <w:r>
              <w:rPr>
                <w:rFonts w:hint="eastAsia"/>
              </w:rPr>
              <w:t>有限公司）</w:t>
            </w:r>
            <w:r>
              <w:t>，</w:t>
            </w:r>
            <w:r>
              <w:rPr>
                <w:rFonts w:hint="eastAsia"/>
              </w:rPr>
              <w:t>卤制</w:t>
            </w:r>
            <w:r>
              <w:t>废水中主要污染因子及其浓度约为COD 2000mg/L、BOD</w:t>
            </w:r>
            <w:r>
              <w:rPr>
                <w:vertAlign w:val="subscript"/>
              </w:rPr>
              <w:t>5</w:t>
            </w:r>
            <w:r>
              <w:t>1500mg/L、SS 1000mg/L、NH</w:t>
            </w:r>
            <w:r>
              <w:rPr>
                <w:vertAlign w:val="subscript"/>
              </w:rPr>
              <w:t>3</w:t>
            </w:r>
            <w:r>
              <w:t>-N 60mg/L</w:t>
            </w:r>
            <w:r>
              <w:rPr>
                <w:rFonts w:hint="eastAsia"/>
              </w:rPr>
              <w:t>；</w:t>
            </w:r>
          </w:p>
          <w:p>
            <w:pPr>
              <w:ind w:firstLine="480"/>
            </w:pPr>
            <w:r>
              <w:rPr>
                <w:rFonts w:hint="eastAsia"/>
              </w:rPr>
              <w:t>②设施</w:t>
            </w:r>
            <w:r>
              <w:t>设备清洗废水：</w:t>
            </w:r>
            <w:r>
              <w:rPr>
                <w:rFonts w:hint="eastAsia"/>
              </w:rPr>
              <w:t>，项目每天生产结束后对和浆搅拌机、分切机等设备进行人工清洗，此过程会产生设备清洗废水。根据水平衡分析，设备清洗废水产生量</w:t>
            </w:r>
            <w:r>
              <w:t>为0.45m</w:t>
            </w:r>
            <w:r>
              <w:rPr>
                <w:vertAlign w:val="superscript"/>
              </w:rPr>
              <w:t>3</w:t>
            </w:r>
            <w:r>
              <w:t>/d</w:t>
            </w:r>
            <w:r>
              <w:rPr>
                <w:rFonts w:hint="eastAsia"/>
              </w:rPr>
              <w:t>（</w:t>
            </w:r>
            <w:r>
              <w:t>135m</w:t>
            </w:r>
            <w:r>
              <w:rPr>
                <w:vertAlign w:val="superscript"/>
              </w:rPr>
              <w:t>3</w:t>
            </w:r>
            <w:r>
              <w:t>/a</w:t>
            </w:r>
            <w:r>
              <w:rPr>
                <w:rFonts w:hint="eastAsia"/>
              </w:rPr>
              <w:t>），</w:t>
            </w:r>
            <w:r>
              <w:t>主要污染</w:t>
            </w:r>
            <w:r>
              <w:rPr>
                <w:rFonts w:hint="eastAsia"/>
              </w:rPr>
              <w:t>因子</w:t>
            </w:r>
            <w:r>
              <w:t>及浓度COD1600mg/L、BOD</w:t>
            </w:r>
            <w:r>
              <w:rPr>
                <w:vertAlign w:val="subscript"/>
              </w:rPr>
              <w:t>5</w:t>
            </w:r>
            <w:r>
              <w:t>350mg/L、SS500mg/L</w:t>
            </w:r>
            <w:r>
              <w:rPr>
                <w:rFonts w:hint="eastAsia"/>
              </w:rPr>
              <w:t>、</w:t>
            </w:r>
            <w:r>
              <w:t>NH</w:t>
            </w:r>
            <w:r>
              <w:rPr>
                <w:vertAlign w:val="subscript"/>
              </w:rPr>
              <w:t>3</w:t>
            </w:r>
            <w:r>
              <w:t>-N150mg/L</w:t>
            </w:r>
            <w:r>
              <w:rPr>
                <w:rFonts w:hint="eastAsia"/>
              </w:rPr>
              <w:t>、TN</w:t>
            </w:r>
            <w:r>
              <w:t>200mg/L、</w:t>
            </w:r>
            <w:r>
              <w:rPr>
                <w:rFonts w:hint="eastAsia"/>
              </w:rPr>
              <w:t>TP</w:t>
            </w:r>
            <w:r>
              <w:t>35mg/L；</w:t>
            </w:r>
          </w:p>
          <w:p>
            <w:pPr>
              <w:ind w:firstLine="480"/>
            </w:pPr>
            <w:r>
              <w:rPr>
                <w:rFonts w:hint="eastAsia"/>
              </w:rPr>
              <w:t>③</w:t>
            </w:r>
            <w:r>
              <w:t>地面清洁废水：</w:t>
            </w:r>
            <w:r>
              <w:rPr>
                <w:rFonts w:hint="eastAsia"/>
              </w:rPr>
              <w:t>车间</w:t>
            </w:r>
            <w:r>
              <w:t>生产区域</w:t>
            </w:r>
            <w:r>
              <w:rPr>
                <w:rFonts w:hint="eastAsia"/>
              </w:rPr>
              <w:t>每日</w:t>
            </w:r>
            <w:r>
              <w:t>进行冲洗清洁，其余</w:t>
            </w:r>
            <w:r>
              <w:rPr>
                <w:rFonts w:hint="eastAsia"/>
              </w:rPr>
              <w:t>区域</w:t>
            </w:r>
            <w:r>
              <w:t>采用</w:t>
            </w:r>
            <w:r>
              <w:rPr>
                <w:rFonts w:hint="eastAsia"/>
              </w:rPr>
              <w:t>清扫</w:t>
            </w:r>
            <w:r>
              <w:t>和拖</w:t>
            </w:r>
            <w:r>
              <w:rPr>
                <w:rFonts w:hint="eastAsia"/>
              </w:rPr>
              <w:t>地</w:t>
            </w:r>
            <w:r>
              <w:t>方式清洁</w:t>
            </w:r>
            <w:r>
              <w:rPr>
                <w:rFonts w:hint="eastAsia"/>
              </w:rPr>
              <w:t>。根据水平衡分析，地面清洁</w:t>
            </w:r>
            <w:r>
              <w:t>冲洗</w:t>
            </w:r>
            <w:r>
              <w:rPr>
                <w:rFonts w:hint="eastAsia"/>
              </w:rPr>
              <w:t>水</w:t>
            </w:r>
            <w:r>
              <w:t>产生量为0.774m</w:t>
            </w:r>
            <w:r>
              <w:rPr>
                <w:vertAlign w:val="superscript"/>
              </w:rPr>
              <w:t>3</w:t>
            </w:r>
            <w:r>
              <w:t>/d</w:t>
            </w:r>
            <w:r>
              <w:rPr>
                <w:rFonts w:hint="eastAsia"/>
              </w:rPr>
              <w:t>（</w:t>
            </w:r>
            <w:r>
              <w:t>232.2m</w:t>
            </w:r>
            <w:r>
              <w:rPr>
                <w:vertAlign w:val="superscript"/>
              </w:rPr>
              <w:t>3</w:t>
            </w:r>
            <w:r>
              <w:t>/a</w:t>
            </w:r>
            <w:r>
              <w:rPr>
                <w:rFonts w:hint="eastAsia"/>
              </w:rPr>
              <w:t>），</w:t>
            </w:r>
            <w:r>
              <w:t>主要污染因子及其浓度约为COD550mg/L、BOD</w:t>
            </w:r>
            <w:r>
              <w:rPr>
                <w:vertAlign w:val="subscript"/>
              </w:rPr>
              <w:t>5</w:t>
            </w:r>
            <w:r>
              <w:t>250mg/L、SS400mg/L</w:t>
            </w:r>
            <w:r>
              <w:rPr>
                <w:rFonts w:hint="eastAsia"/>
              </w:rPr>
              <w:t>、</w:t>
            </w:r>
            <w:r>
              <w:t>NH</w:t>
            </w:r>
            <w:r>
              <w:rPr>
                <w:vertAlign w:val="subscript"/>
              </w:rPr>
              <w:t>3</w:t>
            </w:r>
            <w:r>
              <w:t>-N 10mg/L</w:t>
            </w:r>
            <w:r>
              <w:rPr>
                <w:rFonts w:hint="eastAsia"/>
              </w:rPr>
              <w:t xml:space="preserve"> TN</w:t>
            </w:r>
            <w:r>
              <w:t>100mg/L、</w:t>
            </w:r>
            <w:r>
              <w:rPr>
                <w:rFonts w:hint="eastAsia"/>
              </w:rPr>
              <w:t>TP</w:t>
            </w:r>
            <w:r>
              <w:t>25mg/L</w:t>
            </w:r>
            <w:r>
              <w:rPr>
                <w:rFonts w:hint="eastAsia"/>
              </w:rPr>
              <w:t>；</w:t>
            </w:r>
          </w:p>
          <w:p>
            <w:pPr>
              <w:ind w:firstLine="480"/>
            </w:pPr>
            <w:r>
              <w:rPr>
                <w:rFonts w:hint="eastAsia"/>
              </w:rPr>
              <w:t>④</w:t>
            </w:r>
            <w:r>
              <w:t>生活污水：项目劳动定员20人，生活污水产生</w:t>
            </w:r>
            <w:r>
              <w:rPr>
                <w:rFonts w:hint="eastAsia"/>
              </w:rPr>
              <w:t>量为270</w:t>
            </w:r>
            <w:r>
              <w:t>m</w:t>
            </w:r>
            <w:r>
              <w:rPr>
                <w:vertAlign w:val="superscript"/>
              </w:rPr>
              <w:t>3</w:t>
            </w:r>
            <w:r>
              <w:t>/a，污水中主要污染物为COD：450mg/L、BOD</w:t>
            </w:r>
            <w:r>
              <w:rPr>
                <w:vertAlign w:val="subscript"/>
              </w:rPr>
              <w:t>5</w:t>
            </w:r>
            <w:r>
              <w:t>：200mg/L、SS：250mg/L、NH</w:t>
            </w:r>
            <w:r>
              <w:rPr>
                <w:vertAlign w:val="subscript"/>
              </w:rPr>
              <w:t>3</w:t>
            </w:r>
            <w:r>
              <w:t>-N：50mg/L。</w:t>
            </w:r>
          </w:p>
          <w:p>
            <w:pPr>
              <w:spacing w:before="120" w:beforeLines="50"/>
              <w:ind w:firstLine="480"/>
              <w:rPr>
                <w:kern w:val="0"/>
                <w:szCs w:val="21"/>
              </w:rPr>
            </w:pPr>
            <w:r>
              <w:rPr>
                <w:kern w:val="0"/>
                <w:szCs w:val="21"/>
              </w:rPr>
              <w:t>（3）污水处理设施可行性分析</w:t>
            </w:r>
          </w:p>
          <w:p>
            <w:pPr>
              <w:ind w:firstLine="480"/>
              <w:jc w:val="left"/>
              <w:rPr>
                <w:szCs w:val="21"/>
              </w:rPr>
            </w:pPr>
            <w:r>
              <w:rPr>
                <w:rFonts w:hint="eastAsia"/>
                <w:szCs w:val="21"/>
              </w:rPr>
              <w:t>本项目生产</w:t>
            </w:r>
            <w:r>
              <w:rPr>
                <w:szCs w:val="21"/>
              </w:rPr>
              <w:t>的锅具</w:t>
            </w:r>
            <w:r>
              <w:rPr>
                <w:rFonts w:hint="eastAsia"/>
                <w:szCs w:val="21"/>
              </w:rPr>
              <w:t>等</w:t>
            </w:r>
            <w:r>
              <w:rPr>
                <w:szCs w:val="21"/>
              </w:rPr>
              <w:t>清洗废水</w:t>
            </w:r>
            <w:r>
              <w:rPr>
                <w:rFonts w:hint="eastAsia"/>
                <w:szCs w:val="21"/>
              </w:rPr>
              <w:t>、</w:t>
            </w:r>
            <w:r>
              <w:rPr>
                <w:szCs w:val="21"/>
              </w:rPr>
              <w:t>地面清洁废水和卤制废水</w:t>
            </w:r>
            <w:r>
              <w:rPr>
                <w:rFonts w:hint="eastAsia"/>
                <w:szCs w:val="21"/>
              </w:rPr>
              <w:t>等生产</w:t>
            </w:r>
            <w:r>
              <w:rPr>
                <w:szCs w:val="21"/>
              </w:rPr>
              <w:t>废水</w:t>
            </w:r>
            <w:r>
              <w:rPr>
                <w:rFonts w:hint="eastAsia"/>
                <w:szCs w:val="21"/>
              </w:rPr>
              <w:t>通过</w:t>
            </w:r>
            <w:r>
              <w:rPr>
                <w:szCs w:val="21"/>
              </w:rPr>
              <w:t>专用管道收集至</w:t>
            </w:r>
            <w:r>
              <w:rPr>
                <w:rFonts w:hint="eastAsia"/>
                <w:szCs w:val="21"/>
              </w:rPr>
              <w:t>项目</w:t>
            </w:r>
            <w:r>
              <w:rPr>
                <w:szCs w:val="21"/>
              </w:rPr>
              <w:t>自建的</w:t>
            </w:r>
            <w:r>
              <w:rPr>
                <w:rFonts w:hint="eastAsia"/>
                <w:szCs w:val="21"/>
              </w:rPr>
              <w:t>一体化</w:t>
            </w:r>
            <w:r>
              <w:rPr>
                <w:szCs w:val="21"/>
              </w:rPr>
              <w:t>处理设施</w:t>
            </w:r>
            <w:r>
              <w:rPr>
                <w:rFonts w:hint="eastAsia"/>
                <w:szCs w:val="21"/>
              </w:rPr>
              <w:t>进行</w:t>
            </w:r>
            <w:r>
              <w:rPr>
                <w:szCs w:val="21"/>
              </w:rPr>
              <w:t>处理</w:t>
            </w:r>
            <w:r>
              <w:rPr>
                <w:rFonts w:hint="eastAsia"/>
                <w:szCs w:val="21"/>
              </w:rPr>
              <w:t>，</w:t>
            </w:r>
            <w:r>
              <w:rPr>
                <w:szCs w:val="21"/>
              </w:rPr>
              <w:t>处理后排入厂区污水处理站</w:t>
            </w:r>
            <w:r>
              <w:rPr>
                <w:rFonts w:hint="eastAsia"/>
                <w:szCs w:val="21"/>
              </w:rPr>
              <w:t>；生活</w:t>
            </w:r>
            <w:r>
              <w:rPr>
                <w:szCs w:val="21"/>
              </w:rPr>
              <w:t>污水通过管道收集后进入污水处理站处理。</w:t>
            </w:r>
          </w:p>
          <w:p>
            <w:pPr>
              <w:ind w:firstLine="480"/>
              <w:jc w:val="left"/>
              <w:rPr>
                <w:szCs w:val="21"/>
              </w:rPr>
            </w:pPr>
            <w:r>
              <w:rPr>
                <w:szCs w:val="21"/>
              </w:rPr>
              <w:fldChar w:fldCharType="begin"/>
            </w:r>
            <w:r>
              <w:rPr>
                <w:szCs w:val="21"/>
              </w:rPr>
              <w:instrText xml:space="preserve"> = 1 \* GB3 </w:instrText>
            </w:r>
            <w:r>
              <w:rPr>
                <w:szCs w:val="21"/>
              </w:rPr>
              <w:fldChar w:fldCharType="separate"/>
            </w:r>
            <w:r>
              <w:rPr>
                <w:rFonts w:hint="eastAsia" w:ascii="宋体" w:hAnsi="宋体" w:cs="宋体"/>
                <w:szCs w:val="21"/>
              </w:rPr>
              <w:t>①</w:t>
            </w:r>
            <w:r>
              <w:rPr>
                <w:szCs w:val="21"/>
              </w:rPr>
              <w:fldChar w:fldCharType="end"/>
            </w:r>
            <w:r>
              <w:rPr>
                <w:rFonts w:hint="eastAsia"/>
                <w:szCs w:val="21"/>
              </w:rPr>
              <w:t>一体化</w:t>
            </w:r>
            <w:r>
              <w:rPr>
                <w:szCs w:val="21"/>
              </w:rPr>
              <w:t>处理设施可行性分</w:t>
            </w:r>
            <w:r>
              <w:rPr>
                <w:rFonts w:hint="eastAsia"/>
                <w:szCs w:val="21"/>
              </w:rPr>
              <w:t>析</w:t>
            </w:r>
          </w:p>
          <w:p>
            <w:pPr>
              <w:ind w:firstLine="480"/>
              <w:jc w:val="left"/>
              <w:rPr>
                <w:szCs w:val="21"/>
              </w:rPr>
            </w:pPr>
            <w:r>
              <w:rPr>
                <w:rFonts w:hint="eastAsia"/>
                <w:szCs w:val="21"/>
              </w:rPr>
              <w:t>企业新建1个一体化废水处理设施，用于企业淀粉制品生产加工项目生产废水的处理。一体化废水处理设施位于厂房北侧，采用“沉淀+好氧+除磷”处理工艺，设计处理能力为</w:t>
            </w:r>
            <w:r>
              <w:rPr>
                <w:szCs w:val="21"/>
              </w:rPr>
              <w:t>2</w:t>
            </w:r>
            <w:r>
              <w:rPr>
                <w:rFonts w:hint="eastAsia"/>
                <w:szCs w:val="21"/>
              </w:rPr>
              <w:t>m</w:t>
            </w:r>
            <w:r>
              <w:rPr>
                <w:rFonts w:hint="eastAsia"/>
                <w:szCs w:val="21"/>
                <w:vertAlign w:val="superscript"/>
              </w:rPr>
              <w:t>3</w:t>
            </w:r>
            <w:r>
              <w:rPr>
                <w:rFonts w:hint="eastAsia"/>
                <w:szCs w:val="21"/>
              </w:rPr>
              <w:t>/d。本项目综合生产废水日均排放量为</w:t>
            </w:r>
            <w:r>
              <w:rPr>
                <w:szCs w:val="21"/>
              </w:rPr>
              <w:t>1.233m</w:t>
            </w:r>
            <w:r>
              <w:rPr>
                <w:szCs w:val="21"/>
                <w:vertAlign w:val="superscript"/>
              </w:rPr>
              <w:t>3</w:t>
            </w:r>
            <w:r>
              <w:rPr>
                <w:szCs w:val="21"/>
              </w:rPr>
              <w:t>/d</w:t>
            </w:r>
            <w:r>
              <w:rPr>
                <w:rFonts w:hint="eastAsia"/>
                <w:szCs w:val="21"/>
              </w:rPr>
              <w:t>（单日</w:t>
            </w:r>
            <w:r>
              <w:rPr>
                <w:szCs w:val="21"/>
              </w:rPr>
              <w:t>最大产生量为1.344m</w:t>
            </w:r>
            <w:r>
              <w:rPr>
                <w:szCs w:val="21"/>
                <w:vertAlign w:val="superscript"/>
              </w:rPr>
              <w:t>3</w:t>
            </w:r>
            <w:r>
              <w:rPr>
                <w:szCs w:val="21"/>
              </w:rPr>
              <w:t>/d</w:t>
            </w:r>
            <w:r>
              <w:rPr>
                <w:rFonts w:hint="eastAsia"/>
                <w:szCs w:val="21"/>
              </w:rPr>
              <w:t>），新建一体化废水处理设施处理能力能够满足本项目生产废水处理规模需求；新建一体化废水处理设施采用“沉淀+好氧+除磷”处理工艺，在好氧条件下，废水中聚磷菌以分子氧或化合态氧作为电子受体，氧化代谢内贮物质PHB或PHV等，并产生能量，过量地从污水中摄取磷酸盐，能量以高能物质ATP的形式存贮，其中一部分有转化为聚磷，作为能量贮于胞内，通过剩余污泥的排放实现高效生物除磷目的。项目废水间接排放，企业新建一体化废水处理设施工艺（“沉淀+好氧+除磷”）为《排污许可证申请与核发技术规范 农副食品加工工业—淀粉工业》（HJ860.2-2019）表7 中的污染防治可行技术。</w:t>
            </w:r>
          </w:p>
          <w:p>
            <w:pPr>
              <w:ind w:firstLine="480"/>
              <w:jc w:val="left"/>
              <w:rPr>
                <w:szCs w:val="21"/>
              </w:rPr>
            </w:pPr>
            <w:r>
              <w:rPr>
                <w:szCs w:val="21"/>
              </w:rPr>
              <w:fldChar w:fldCharType="begin"/>
            </w:r>
            <w:r>
              <w:rPr>
                <w:szCs w:val="21"/>
              </w:rPr>
              <w:instrText xml:space="preserve"> = 2 \* GB3 </w:instrText>
            </w:r>
            <w:r>
              <w:rPr>
                <w:szCs w:val="21"/>
              </w:rPr>
              <w:fldChar w:fldCharType="separate"/>
            </w:r>
            <w:r>
              <w:rPr>
                <w:rFonts w:hint="eastAsia" w:ascii="宋体" w:hAnsi="宋体" w:cs="宋体"/>
                <w:szCs w:val="21"/>
              </w:rPr>
              <w:t>②</w:t>
            </w:r>
            <w:r>
              <w:rPr>
                <w:szCs w:val="21"/>
              </w:rPr>
              <w:fldChar w:fldCharType="end"/>
            </w:r>
            <w:r>
              <w:rPr>
                <w:szCs w:val="21"/>
              </w:rPr>
              <w:t>污水处理</w:t>
            </w:r>
            <w:r>
              <w:rPr>
                <w:rFonts w:hint="eastAsia"/>
                <w:szCs w:val="21"/>
              </w:rPr>
              <w:t>站</w:t>
            </w:r>
            <w:r>
              <w:rPr>
                <w:szCs w:val="21"/>
              </w:rPr>
              <w:t>依托可行性分析</w:t>
            </w:r>
          </w:p>
          <w:p>
            <w:pPr>
              <w:ind w:firstLine="480"/>
              <w:rPr>
                <w:szCs w:val="21"/>
              </w:rPr>
            </w:pPr>
            <w:r>
              <w:rPr>
                <w:szCs w:val="21"/>
              </w:rPr>
              <w:t>本项目</w:t>
            </w:r>
            <w:r>
              <w:rPr>
                <w:rFonts w:hint="eastAsia"/>
                <w:szCs w:val="21"/>
              </w:rPr>
              <w:t>污废水</w:t>
            </w:r>
            <w:r>
              <w:rPr>
                <w:szCs w:val="21"/>
              </w:rPr>
              <w:t>依托</w:t>
            </w:r>
            <w:r>
              <w:rPr>
                <w:rFonts w:hint="eastAsia"/>
                <w:szCs w:val="21"/>
              </w:rPr>
              <w:t>厂区现有</w:t>
            </w:r>
            <w:r>
              <w:rPr>
                <w:szCs w:val="21"/>
              </w:rPr>
              <w:t>污水处理站处理污</w:t>
            </w:r>
            <w:r>
              <w:rPr>
                <w:rFonts w:hint="eastAsia"/>
                <w:szCs w:val="21"/>
              </w:rPr>
              <w:t>废</w:t>
            </w:r>
            <w:r>
              <w:rPr>
                <w:szCs w:val="21"/>
              </w:rPr>
              <w:t>水，设计处理能力300m</w:t>
            </w:r>
            <w:r>
              <w:rPr>
                <w:szCs w:val="21"/>
                <w:vertAlign w:val="superscript"/>
              </w:rPr>
              <w:t>3</w:t>
            </w:r>
            <w:r>
              <w:rPr>
                <w:szCs w:val="21"/>
              </w:rPr>
              <w:t>/d，目前</w:t>
            </w:r>
            <w:r>
              <w:t>其余厂房最大日排水量</w:t>
            </w:r>
            <w:r>
              <w:rPr>
                <w:rFonts w:hint="eastAsia"/>
              </w:rPr>
              <w:t>约</w:t>
            </w:r>
            <w:r>
              <w:t>为47.36m</w:t>
            </w:r>
            <w:r>
              <w:rPr>
                <w:vertAlign w:val="superscript"/>
              </w:rPr>
              <w:t>3</w:t>
            </w:r>
            <w:r>
              <w:t>/d，富余252.64m</w:t>
            </w:r>
            <w:r>
              <w:rPr>
                <w:vertAlign w:val="superscript"/>
              </w:rPr>
              <w:t>3</w:t>
            </w:r>
            <w:r>
              <w:t>/d</w:t>
            </w:r>
            <w:r>
              <w:rPr>
                <w:szCs w:val="21"/>
              </w:rPr>
              <w:t>。拟建项目污</w:t>
            </w:r>
            <w:r>
              <w:rPr>
                <w:rFonts w:hint="eastAsia"/>
                <w:szCs w:val="21"/>
              </w:rPr>
              <w:t>废</w:t>
            </w:r>
            <w:r>
              <w:rPr>
                <w:szCs w:val="21"/>
              </w:rPr>
              <w:t>水产生量约1.791m</w:t>
            </w:r>
            <w:r>
              <w:rPr>
                <w:szCs w:val="21"/>
                <w:vertAlign w:val="superscript"/>
              </w:rPr>
              <w:t>3</w:t>
            </w:r>
            <w:r>
              <w:rPr>
                <w:szCs w:val="21"/>
              </w:rPr>
              <w:t>/d，</w:t>
            </w:r>
            <w:r>
              <w:rPr>
                <w:bCs/>
                <w:szCs w:val="21"/>
              </w:rPr>
              <w:t>所依托的</w:t>
            </w:r>
            <w:r>
              <w:rPr>
                <w:rFonts w:hint="eastAsia"/>
                <w:bCs/>
                <w:szCs w:val="21"/>
              </w:rPr>
              <w:t>污水处理</w:t>
            </w:r>
            <w:r>
              <w:rPr>
                <w:bCs/>
                <w:szCs w:val="21"/>
              </w:rPr>
              <w:t>站有足够的处理能力处理。</w:t>
            </w:r>
            <w:r>
              <w:rPr>
                <w:rFonts w:hint="eastAsia"/>
                <w:bCs/>
                <w:szCs w:val="21"/>
              </w:rPr>
              <w:t>本项目</w:t>
            </w:r>
            <w:r>
              <w:rPr>
                <w:snapToGrid w:val="0"/>
                <w:kern w:val="0"/>
                <w:szCs w:val="21"/>
              </w:rPr>
              <w:t>主要污染物为COD、氨氮</w:t>
            </w:r>
            <w:r>
              <w:rPr>
                <w:rFonts w:hint="eastAsia"/>
                <w:snapToGrid w:val="0"/>
                <w:kern w:val="0"/>
                <w:szCs w:val="21"/>
              </w:rPr>
              <w:t>、</w:t>
            </w:r>
            <w:r>
              <w:rPr>
                <w:snapToGrid w:val="0"/>
                <w:kern w:val="0"/>
                <w:szCs w:val="21"/>
              </w:rPr>
              <w:t>总磷等</w:t>
            </w:r>
            <w:r>
              <w:rPr>
                <w:rFonts w:hint="eastAsia"/>
                <w:snapToGrid w:val="0"/>
                <w:kern w:val="0"/>
                <w:szCs w:val="21"/>
              </w:rPr>
              <w:t>；经厌氧、好氧等工艺有效去除COD、BOD</w:t>
            </w:r>
            <w:r>
              <w:rPr>
                <w:rFonts w:hint="eastAsia"/>
                <w:snapToGrid w:val="0"/>
                <w:kern w:val="0"/>
                <w:szCs w:val="21"/>
                <w:vertAlign w:val="subscript"/>
              </w:rPr>
              <w:t>5</w:t>
            </w:r>
            <w:r>
              <w:rPr>
                <w:rFonts w:hint="eastAsia"/>
                <w:snapToGrid w:val="0"/>
                <w:kern w:val="0"/>
                <w:szCs w:val="21"/>
              </w:rPr>
              <w:t>以及TP，厌氧、好氧环境条件，使聚磷菌获得选择性增长，聚磷菌在厌氧段大量吸收水中挥发性脂肪酸，并在体内转化为聚β—羟基丁酸，聚磷菌进入好氧段后就无需同其他异养菌争夺水中残留的有机物，从而成为优势群体。在好氧反应池中，聚磷菌进行磷的吸收和聚磷的合成，以聚磷的形式在细胞内存储磷酸盐，以聚磷酸高能键的形式捕积存储能量，本项目</w:t>
            </w:r>
            <w:r>
              <w:rPr>
                <w:snapToGrid w:val="0"/>
                <w:kern w:val="0"/>
                <w:szCs w:val="21"/>
              </w:rPr>
              <w:t>污水中磷含量不高，污泥中培养聚磷菌能有效</w:t>
            </w:r>
            <w:r>
              <w:rPr>
                <w:rFonts w:hint="eastAsia"/>
                <w:snapToGrid w:val="0"/>
                <w:kern w:val="0"/>
                <w:szCs w:val="21"/>
              </w:rPr>
              <w:t>将磷酸盐从液相中去除；COD</w:t>
            </w:r>
            <w:r>
              <w:rPr>
                <w:snapToGrid w:val="0"/>
                <w:kern w:val="0"/>
                <w:szCs w:val="21"/>
              </w:rPr>
              <w:t>在</w:t>
            </w:r>
            <w:r>
              <w:rPr>
                <w:rFonts w:hint="eastAsia"/>
                <w:snapToGrid w:val="0"/>
                <w:kern w:val="0"/>
                <w:szCs w:val="21"/>
              </w:rPr>
              <w:t>厌氧</w:t>
            </w:r>
            <w:r>
              <w:rPr>
                <w:snapToGrid w:val="0"/>
                <w:kern w:val="0"/>
                <w:szCs w:val="21"/>
              </w:rPr>
              <w:t>阶段将</w:t>
            </w:r>
            <w:r>
              <w:rPr>
                <w:rFonts w:hint="eastAsia"/>
                <w:snapToGrid w:val="0"/>
                <w:kern w:val="0"/>
                <w:szCs w:val="21"/>
              </w:rPr>
              <w:t>高分子难降解的有机物转变为低分子易被降解的有机物，提高BOD/COD的比值，</w:t>
            </w:r>
            <w:r>
              <w:rPr>
                <w:snapToGrid w:val="0"/>
                <w:kern w:val="0"/>
                <w:szCs w:val="21"/>
              </w:rPr>
              <w:t>使其在好氧段能有效</w:t>
            </w:r>
            <w:r>
              <w:rPr>
                <w:rFonts w:hint="eastAsia"/>
                <w:snapToGrid w:val="0"/>
                <w:kern w:val="0"/>
                <w:szCs w:val="21"/>
              </w:rPr>
              <w:t>协同去除</w:t>
            </w:r>
            <w:r>
              <w:rPr>
                <w:snapToGrid w:val="0"/>
                <w:kern w:val="0"/>
                <w:szCs w:val="21"/>
              </w:rPr>
              <w:t>；</w:t>
            </w:r>
            <w:r>
              <w:rPr>
                <w:rFonts w:hint="eastAsia"/>
                <w:snapToGrid w:val="0"/>
                <w:kern w:val="0"/>
                <w:szCs w:val="21"/>
              </w:rPr>
              <w:t>缺氧阶段</w:t>
            </w:r>
            <w:r>
              <w:rPr>
                <w:snapToGrid w:val="0"/>
                <w:kern w:val="0"/>
                <w:szCs w:val="21"/>
              </w:rPr>
              <w:t>的</w:t>
            </w:r>
            <w:r>
              <w:rPr>
                <w:rFonts w:hint="eastAsia"/>
                <w:snapToGrid w:val="0"/>
                <w:kern w:val="0"/>
                <w:szCs w:val="21"/>
              </w:rPr>
              <w:t>反硝化过程有效去除废水中的NH</w:t>
            </w:r>
            <w:r>
              <w:rPr>
                <w:rFonts w:hint="eastAsia"/>
                <w:snapToGrid w:val="0"/>
                <w:kern w:val="0"/>
                <w:szCs w:val="21"/>
                <w:vertAlign w:val="subscript"/>
              </w:rPr>
              <w:t>3</w:t>
            </w:r>
            <w:r>
              <w:rPr>
                <w:rFonts w:hint="eastAsia"/>
                <w:snapToGrid w:val="0"/>
                <w:kern w:val="0"/>
                <w:szCs w:val="21"/>
              </w:rPr>
              <w:t>-N和TN。</w:t>
            </w:r>
            <w:r>
              <w:rPr>
                <w:bCs/>
                <w:szCs w:val="21"/>
              </w:rPr>
              <w:t>处理后</w:t>
            </w:r>
            <w:r>
              <w:rPr>
                <w:rFonts w:hint="eastAsia"/>
                <w:bCs/>
                <w:szCs w:val="21"/>
              </w:rPr>
              <w:t>的污废水能</w:t>
            </w:r>
            <w:r>
              <w:rPr>
                <w:bCs/>
                <w:szCs w:val="21"/>
              </w:rPr>
              <w:t>满足《</w:t>
            </w:r>
            <w:r>
              <w:rPr>
                <w:rFonts w:hint="eastAsia"/>
                <w:bCs/>
                <w:szCs w:val="21"/>
              </w:rPr>
              <w:t>肉类加工</w:t>
            </w:r>
            <w:r>
              <w:rPr>
                <w:bCs/>
                <w:szCs w:val="21"/>
              </w:rPr>
              <w:t>工业水污染物排放标准》（GB13457-1992）</w:t>
            </w:r>
            <w:r>
              <w:rPr>
                <w:rFonts w:hint="eastAsia"/>
                <w:bCs/>
                <w:szCs w:val="21"/>
              </w:rPr>
              <w:t>肉制品</w:t>
            </w:r>
            <w:r>
              <w:rPr>
                <w:bCs/>
                <w:szCs w:val="21"/>
              </w:rPr>
              <w:t>加工三级标准要求，治理措施可行。</w:t>
            </w:r>
          </w:p>
          <w:p>
            <w:pPr>
              <w:ind w:firstLine="480"/>
              <w:rPr>
                <w:szCs w:val="21"/>
              </w:rPr>
            </w:pPr>
            <w:r>
              <w:rPr>
                <w:rFonts w:hint="eastAsia"/>
                <w:snapToGrid w:val="0"/>
                <w:szCs w:val="21"/>
              </w:rPr>
              <w:t>③</w:t>
            </w:r>
            <w:r>
              <w:rPr>
                <w:snapToGrid w:val="0"/>
                <w:szCs w:val="21"/>
              </w:rPr>
              <w:t>进入园区污水处理厂</w:t>
            </w:r>
            <w:r>
              <w:rPr>
                <w:szCs w:val="21"/>
              </w:rPr>
              <w:t>可行性分析</w:t>
            </w:r>
          </w:p>
          <w:p>
            <w:pPr>
              <w:ind w:firstLine="480"/>
              <w:jc w:val="left"/>
              <w:rPr>
                <w:szCs w:val="21"/>
                <w:highlight w:val="yellow"/>
              </w:rPr>
            </w:pPr>
            <w:r>
              <w:rPr>
                <w:szCs w:val="21"/>
              </w:rPr>
              <w:t>南溪组团A区污水处理厂处理规模2万m</w:t>
            </w:r>
            <w:r>
              <w:rPr>
                <w:szCs w:val="21"/>
                <w:vertAlign w:val="superscript"/>
              </w:rPr>
              <w:t>3</w:t>
            </w:r>
            <w:r>
              <w:rPr>
                <w:szCs w:val="21"/>
              </w:rPr>
              <w:t>/d，采用A/O处理工艺，主要对园区投产企业的生活污水、生产废水及公共设置、交通设施等产生的生活污水进行处理，设计出水水质满足《城镇污水处理厂污染物排放标准》（GB18918-2002）中一级标准的B级标准。污水处理厂于2014年8月开工建设，2017年8月进行了调试，目前园区污水管完善，所有企业均能进入园区污水处理厂。根据园区污水处理厂运行记录，目前园区污水剩余处理能力约7000~7500m</w:t>
            </w:r>
            <w:r>
              <w:rPr>
                <w:szCs w:val="21"/>
                <w:vertAlign w:val="superscript"/>
              </w:rPr>
              <w:t>3</w:t>
            </w:r>
            <w:r>
              <w:rPr>
                <w:szCs w:val="21"/>
              </w:rPr>
              <w:t>/d。本项目废水产生量最大为1.791m</w:t>
            </w:r>
            <w:r>
              <w:rPr>
                <w:szCs w:val="21"/>
                <w:vertAlign w:val="superscript"/>
              </w:rPr>
              <w:t>3</w:t>
            </w:r>
            <w:r>
              <w:rPr>
                <w:szCs w:val="21"/>
              </w:rPr>
              <w:t>/d，在园区污水处理厂可接受能力内，本项目的建成不会对污水处理厂的正常运营造成影响。因此项目废水排入园区污水处理厂是可行的。</w:t>
            </w:r>
          </w:p>
          <w:p>
            <w:pPr>
              <w:ind w:firstLine="482"/>
              <w:rPr>
                <w:b/>
                <w:kern w:val="0"/>
                <w:szCs w:val="21"/>
              </w:rPr>
            </w:pPr>
            <w:r>
              <w:rPr>
                <w:b/>
                <w:kern w:val="0"/>
                <w:szCs w:val="21"/>
              </w:rPr>
              <w:t>3、噪声</w:t>
            </w:r>
          </w:p>
          <w:p>
            <w:pPr>
              <w:ind w:firstLine="480"/>
              <w:rPr>
                <w:szCs w:val="21"/>
              </w:rPr>
            </w:pPr>
            <w:r>
              <w:rPr>
                <w:szCs w:val="21"/>
              </w:rPr>
              <w:t>（1）噪声源强</w:t>
            </w:r>
          </w:p>
          <w:p>
            <w:pPr>
              <w:ind w:firstLine="480"/>
              <w:rPr>
                <w:szCs w:val="21"/>
              </w:rPr>
            </w:pPr>
            <w:r>
              <w:rPr>
                <w:rFonts w:hint="eastAsia"/>
                <w:szCs w:val="21"/>
              </w:rPr>
              <w:t>本项目</w:t>
            </w:r>
            <w:r>
              <w:rPr>
                <w:szCs w:val="21"/>
              </w:rPr>
              <w:t>生产设备</w:t>
            </w:r>
            <w:r>
              <w:rPr>
                <w:rFonts w:hint="eastAsia"/>
                <w:szCs w:val="21"/>
              </w:rPr>
              <w:t>基本为</w:t>
            </w:r>
            <w:r>
              <w:rPr>
                <w:szCs w:val="21"/>
              </w:rPr>
              <w:t>低噪声</w:t>
            </w:r>
            <w:r>
              <w:rPr>
                <w:rFonts w:hint="eastAsia"/>
                <w:szCs w:val="21"/>
              </w:rPr>
              <w:t>设备</w:t>
            </w:r>
            <w:r>
              <w:rPr>
                <w:szCs w:val="21"/>
              </w:rPr>
              <w:t>，</w:t>
            </w:r>
            <w:r>
              <w:rPr>
                <w:rFonts w:hint="eastAsia"/>
                <w:szCs w:val="21"/>
              </w:rPr>
              <w:t>主要</w:t>
            </w:r>
            <w:r>
              <w:rPr>
                <w:szCs w:val="21"/>
              </w:rPr>
              <w:t>噪声源为</w:t>
            </w:r>
            <w:r>
              <w:rPr>
                <w:rFonts w:hint="eastAsia"/>
                <w:szCs w:val="21"/>
              </w:rPr>
              <w:t>室内</w:t>
            </w:r>
            <w:r>
              <w:rPr>
                <w:szCs w:val="21"/>
              </w:rPr>
              <w:t>的</w:t>
            </w:r>
            <w:r>
              <w:rPr>
                <w:rFonts w:hint="eastAsia"/>
                <w:szCs w:val="21"/>
              </w:rPr>
              <w:t>搅拌机，噪声防治</w:t>
            </w:r>
            <w:r>
              <w:rPr>
                <w:szCs w:val="21"/>
              </w:rPr>
              <w:t>措施主要为设备基础减</w:t>
            </w:r>
            <w:r>
              <w:rPr>
                <w:rFonts w:hint="eastAsia"/>
                <w:szCs w:val="21"/>
              </w:rPr>
              <w:t>振</w:t>
            </w:r>
            <w:r>
              <w:rPr>
                <w:szCs w:val="21"/>
              </w:rPr>
              <w:t>和厂房隔声。</w:t>
            </w:r>
            <w:r>
              <w:rPr>
                <w:bCs/>
                <w:szCs w:val="21"/>
              </w:rPr>
              <w:t>本次</w:t>
            </w:r>
            <w:r>
              <w:rPr>
                <w:rFonts w:hint="eastAsia"/>
                <w:bCs/>
                <w:szCs w:val="21"/>
              </w:rPr>
              <w:t>评价取项目车间</w:t>
            </w:r>
            <w:r>
              <w:rPr>
                <w:bCs/>
                <w:szCs w:val="21"/>
              </w:rPr>
              <w:t>外</w:t>
            </w:r>
            <w:r>
              <w:rPr>
                <w:rFonts w:hint="eastAsia"/>
                <w:bCs/>
                <w:szCs w:val="21"/>
              </w:rPr>
              <w:t>1</w:t>
            </w:r>
            <w:r>
              <w:rPr>
                <w:bCs/>
                <w:szCs w:val="21"/>
              </w:rPr>
              <w:t>m为</w:t>
            </w:r>
            <w:r>
              <w:rPr>
                <w:rFonts w:hint="eastAsia"/>
                <w:bCs/>
                <w:szCs w:val="21"/>
              </w:rPr>
              <w:t>项目厂界。</w:t>
            </w:r>
          </w:p>
          <w:p>
            <w:pPr>
              <w:ind w:firstLine="480"/>
              <w:rPr>
                <w:bCs/>
                <w:szCs w:val="21"/>
              </w:rPr>
            </w:pPr>
            <w:r>
              <w:rPr>
                <w:rFonts w:hint="eastAsia"/>
                <w:bCs/>
                <w:szCs w:val="21"/>
              </w:rPr>
              <w:t>项目建成</w:t>
            </w:r>
            <w:r>
              <w:rPr>
                <w:bCs/>
                <w:szCs w:val="21"/>
              </w:rPr>
              <w:t>后</w:t>
            </w:r>
            <w:r>
              <w:rPr>
                <w:rFonts w:hint="eastAsia"/>
                <w:bCs/>
                <w:szCs w:val="21"/>
              </w:rPr>
              <w:t>噪声源强及采取的噪声防治措施及取得的效果详见表</w:t>
            </w:r>
            <w:r>
              <w:rPr>
                <w:bCs/>
                <w:szCs w:val="21"/>
              </w:rPr>
              <w:t>4-4。</w:t>
            </w:r>
          </w:p>
          <w:p>
            <w:pPr>
              <w:pStyle w:val="33"/>
              <w:spacing w:before="120"/>
            </w:pPr>
            <w:r>
              <w:rPr>
                <w:rFonts w:hint="eastAsia"/>
              </w:rPr>
              <w:t>表4</w:t>
            </w:r>
            <w:r>
              <w:t xml:space="preserve">-4  </w:t>
            </w:r>
            <w:r>
              <w:rPr>
                <w:rFonts w:hint="eastAsia"/>
              </w:rPr>
              <w:t>项目主要</w:t>
            </w:r>
            <w:r>
              <w:t>噪声源调查清单（</w:t>
            </w:r>
            <w:r>
              <w:rPr>
                <w:rFonts w:hint="eastAsia"/>
              </w:rPr>
              <w:t>室内</w:t>
            </w:r>
            <w:r>
              <w:t>声源）</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5"/>
              <w:gridCol w:w="438"/>
              <w:gridCol w:w="657"/>
              <w:gridCol w:w="719"/>
              <w:gridCol w:w="611"/>
              <w:gridCol w:w="491"/>
              <w:gridCol w:w="534"/>
              <w:gridCol w:w="536"/>
              <w:gridCol w:w="419"/>
              <w:gridCol w:w="544"/>
              <w:gridCol w:w="721"/>
              <w:gridCol w:w="669"/>
              <w:gridCol w:w="721"/>
              <w:gridCol w:w="721"/>
              <w:gridCol w:w="5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atLeast"/>
                <w:jc w:val="center"/>
              </w:trPr>
              <w:tc>
                <w:tcPr>
                  <w:tcW w:w="425" w:type="dxa"/>
                  <w:vMerge w:val="restart"/>
                  <w:vAlign w:val="center"/>
                </w:tcPr>
                <w:p>
                  <w:pPr>
                    <w:pStyle w:val="56"/>
                    <w:spacing w:line="240" w:lineRule="auto"/>
                    <w:ind w:firstLine="0" w:firstLineChars="0"/>
                    <w:jc w:val="center"/>
                    <w:rPr>
                      <w:sz w:val="18"/>
                      <w:szCs w:val="18"/>
                    </w:rPr>
                  </w:pPr>
                  <w:r>
                    <w:rPr>
                      <w:rFonts w:hint="eastAsia"/>
                      <w:sz w:val="18"/>
                      <w:szCs w:val="18"/>
                    </w:rPr>
                    <w:t>序号</w:t>
                  </w:r>
                </w:p>
              </w:tc>
              <w:tc>
                <w:tcPr>
                  <w:tcW w:w="438" w:type="dxa"/>
                  <w:vMerge w:val="restart"/>
                  <w:vAlign w:val="center"/>
                </w:tcPr>
                <w:p>
                  <w:pPr>
                    <w:pStyle w:val="56"/>
                    <w:spacing w:line="240" w:lineRule="auto"/>
                    <w:ind w:firstLine="0" w:firstLineChars="0"/>
                    <w:jc w:val="center"/>
                    <w:rPr>
                      <w:sz w:val="18"/>
                      <w:szCs w:val="18"/>
                    </w:rPr>
                  </w:pPr>
                  <w:r>
                    <w:rPr>
                      <w:rFonts w:hint="eastAsia"/>
                      <w:sz w:val="18"/>
                      <w:szCs w:val="18"/>
                    </w:rPr>
                    <w:t>建筑物</w:t>
                  </w:r>
                  <w:r>
                    <w:rPr>
                      <w:sz w:val="18"/>
                      <w:szCs w:val="18"/>
                    </w:rPr>
                    <w:t>名称</w:t>
                  </w:r>
                </w:p>
              </w:tc>
              <w:tc>
                <w:tcPr>
                  <w:tcW w:w="657" w:type="dxa"/>
                  <w:vMerge w:val="restart"/>
                  <w:vAlign w:val="center"/>
                </w:tcPr>
                <w:p>
                  <w:pPr>
                    <w:pStyle w:val="56"/>
                    <w:spacing w:line="240" w:lineRule="auto"/>
                    <w:ind w:firstLine="0" w:firstLineChars="0"/>
                    <w:jc w:val="center"/>
                    <w:rPr>
                      <w:sz w:val="18"/>
                      <w:szCs w:val="18"/>
                    </w:rPr>
                  </w:pPr>
                  <w:r>
                    <w:rPr>
                      <w:rFonts w:hint="eastAsia"/>
                      <w:sz w:val="18"/>
                      <w:szCs w:val="18"/>
                    </w:rPr>
                    <w:t>声源</w:t>
                  </w:r>
                  <w:r>
                    <w:rPr>
                      <w:sz w:val="18"/>
                      <w:szCs w:val="18"/>
                    </w:rPr>
                    <w:t>名称</w:t>
                  </w:r>
                </w:p>
              </w:tc>
              <w:tc>
                <w:tcPr>
                  <w:tcW w:w="719" w:type="dxa"/>
                  <w:vMerge w:val="restart"/>
                  <w:vAlign w:val="center"/>
                </w:tcPr>
                <w:p>
                  <w:pPr>
                    <w:pStyle w:val="56"/>
                    <w:spacing w:line="240" w:lineRule="auto"/>
                    <w:ind w:firstLine="0" w:firstLineChars="0"/>
                    <w:jc w:val="center"/>
                    <w:rPr>
                      <w:sz w:val="18"/>
                      <w:szCs w:val="18"/>
                    </w:rPr>
                  </w:pPr>
                  <w:r>
                    <w:rPr>
                      <w:rFonts w:hint="eastAsia"/>
                      <w:sz w:val="18"/>
                      <w:szCs w:val="18"/>
                    </w:rPr>
                    <w:t>声功率级</w:t>
                  </w:r>
                  <w:r>
                    <w:rPr>
                      <w:sz w:val="18"/>
                      <w:szCs w:val="18"/>
                    </w:rPr>
                    <w:t>dB</w:t>
                  </w:r>
                  <w:r>
                    <w:rPr>
                      <w:rFonts w:hint="eastAsia"/>
                      <w:sz w:val="18"/>
                      <w:szCs w:val="18"/>
                    </w:rPr>
                    <w:t>(A)</w:t>
                  </w:r>
                </w:p>
              </w:tc>
              <w:tc>
                <w:tcPr>
                  <w:tcW w:w="611" w:type="dxa"/>
                  <w:vMerge w:val="restart"/>
                  <w:vAlign w:val="center"/>
                </w:tcPr>
                <w:p>
                  <w:pPr>
                    <w:pStyle w:val="56"/>
                    <w:spacing w:line="240" w:lineRule="auto"/>
                    <w:ind w:firstLine="0" w:firstLineChars="0"/>
                    <w:jc w:val="center"/>
                    <w:rPr>
                      <w:sz w:val="18"/>
                      <w:szCs w:val="18"/>
                    </w:rPr>
                  </w:pPr>
                  <w:r>
                    <w:rPr>
                      <w:rFonts w:hint="eastAsia"/>
                      <w:sz w:val="18"/>
                      <w:szCs w:val="18"/>
                    </w:rPr>
                    <w:t>声源控制</w:t>
                  </w:r>
                  <w:r>
                    <w:rPr>
                      <w:sz w:val="18"/>
                      <w:szCs w:val="18"/>
                    </w:rPr>
                    <w:t>措施</w:t>
                  </w:r>
                </w:p>
              </w:tc>
              <w:tc>
                <w:tcPr>
                  <w:tcW w:w="1561" w:type="dxa"/>
                  <w:gridSpan w:val="3"/>
                  <w:vAlign w:val="center"/>
                </w:tcPr>
                <w:p>
                  <w:pPr>
                    <w:pStyle w:val="56"/>
                    <w:spacing w:line="240" w:lineRule="auto"/>
                    <w:ind w:firstLine="0" w:firstLineChars="0"/>
                    <w:jc w:val="center"/>
                    <w:rPr>
                      <w:sz w:val="18"/>
                      <w:szCs w:val="18"/>
                    </w:rPr>
                  </w:pPr>
                  <w:r>
                    <w:rPr>
                      <w:rFonts w:hint="eastAsia"/>
                      <w:sz w:val="18"/>
                      <w:szCs w:val="18"/>
                    </w:rPr>
                    <w:t>空间相对厂</w:t>
                  </w:r>
                  <w:r>
                    <w:rPr>
                      <w:sz w:val="18"/>
                      <w:szCs w:val="18"/>
                    </w:rPr>
                    <w:t>中心</w:t>
                  </w:r>
                  <w:r>
                    <w:rPr>
                      <w:rFonts w:hint="eastAsia"/>
                      <w:sz w:val="18"/>
                      <w:szCs w:val="18"/>
                    </w:rPr>
                    <w:t>（0,0,</w:t>
                  </w:r>
                  <w:r>
                    <w:rPr>
                      <w:sz w:val="18"/>
                      <w:szCs w:val="18"/>
                    </w:rPr>
                    <w:t>+5</w:t>
                  </w:r>
                  <w:r>
                    <w:rPr>
                      <w:rFonts w:hint="eastAsia"/>
                      <w:sz w:val="18"/>
                      <w:szCs w:val="18"/>
                    </w:rPr>
                    <w:t>）</w:t>
                  </w:r>
                  <w:r>
                    <w:rPr>
                      <w:sz w:val="18"/>
                      <w:szCs w:val="18"/>
                    </w:rPr>
                    <w:t>位置</w:t>
                  </w:r>
                  <w:r>
                    <w:rPr>
                      <w:rFonts w:hint="eastAsia"/>
                      <w:sz w:val="18"/>
                      <w:szCs w:val="18"/>
                    </w:rPr>
                    <w:t>m</w:t>
                  </w:r>
                </w:p>
              </w:tc>
              <w:tc>
                <w:tcPr>
                  <w:tcW w:w="963" w:type="dxa"/>
                  <w:gridSpan w:val="2"/>
                  <w:vMerge w:val="restart"/>
                  <w:vAlign w:val="center"/>
                </w:tcPr>
                <w:p>
                  <w:pPr>
                    <w:pStyle w:val="56"/>
                    <w:spacing w:line="240" w:lineRule="auto"/>
                    <w:ind w:firstLine="0" w:firstLineChars="0"/>
                    <w:jc w:val="center"/>
                    <w:rPr>
                      <w:sz w:val="18"/>
                      <w:szCs w:val="18"/>
                    </w:rPr>
                  </w:pPr>
                  <w:r>
                    <w:rPr>
                      <w:rFonts w:hint="eastAsia"/>
                      <w:sz w:val="18"/>
                      <w:szCs w:val="18"/>
                    </w:rPr>
                    <w:t>距</w:t>
                  </w:r>
                  <w:r>
                    <w:rPr>
                      <w:sz w:val="18"/>
                      <w:szCs w:val="18"/>
                    </w:rPr>
                    <w:t>室内边</w:t>
                  </w:r>
                  <w:r>
                    <w:rPr>
                      <w:rFonts w:hint="eastAsia"/>
                      <w:sz w:val="18"/>
                      <w:szCs w:val="18"/>
                    </w:rPr>
                    <w:t>界</w:t>
                  </w:r>
                  <w:r>
                    <w:rPr>
                      <w:sz w:val="18"/>
                      <w:szCs w:val="18"/>
                    </w:rPr>
                    <w:t>距离m</w:t>
                  </w:r>
                </w:p>
              </w:tc>
              <w:tc>
                <w:tcPr>
                  <w:tcW w:w="721" w:type="dxa"/>
                  <w:vMerge w:val="restart"/>
                  <w:vAlign w:val="center"/>
                </w:tcPr>
                <w:p>
                  <w:pPr>
                    <w:pStyle w:val="56"/>
                    <w:spacing w:line="240" w:lineRule="auto"/>
                    <w:ind w:firstLine="0" w:firstLineChars="0"/>
                    <w:jc w:val="center"/>
                    <w:rPr>
                      <w:sz w:val="18"/>
                      <w:szCs w:val="18"/>
                    </w:rPr>
                  </w:pPr>
                  <w:r>
                    <w:rPr>
                      <w:rFonts w:hint="eastAsia"/>
                      <w:sz w:val="18"/>
                      <w:szCs w:val="18"/>
                    </w:rPr>
                    <w:t>室内边界声级</w:t>
                  </w:r>
                  <w:r>
                    <w:rPr>
                      <w:sz w:val="18"/>
                      <w:szCs w:val="18"/>
                    </w:rPr>
                    <w:t>dB</w:t>
                  </w:r>
                  <w:r>
                    <w:rPr>
                      <w:rFonts w:hint="eastAsia"/>
                      <w:sz w:val="18"/>
                      <w:szCs w:val="18"/>
                    </w:rPr>
                    <w:t>(A)</w:t>
                  </w:r>
                </w:p>
              </w:tc>
              <w:tc>
                <w:tcPr>
                  <w:tcW w:w="669" w:type="dxa"/>
                  <w:vMerge w:val="restart"/>
                  <w:vAlign w:val="center"/>
                </w:tcPr>
                <w:p>
                  <w:pPr>
                    <w:pStyle w:val="56"/>
                    <w:spacing w:line="240" w:lineRule="auto"/>
                    <w:ind w:firstLine="0" w:firstLineChars="0"/>
                    <w:jc w:val="center"/>
                    <w:rPr>
                      <w:sz w:val="18"/>
                      <w:szCs w:val="18"/>
                    </w:rPr>
                  </w:pPr>
                  <w:r>
                    <w:rPr>
                      <w:rFonts w:hint="eastAsia"/>
                      <w:sz w:val="18"/>
                      <w:szCs w:val="18"/>
                    </w:rPr>
                    <w:t>运行时段</w:t>
                  </w:r>
                </w:p>
              </w:tc>
              <w:tc>
                <w:tcPr>
                  <w:tcW w:w="721" w:type="dxa"/>
                  <w:vMerge w:val="restart"/>
                  <w:vAlign w:val="center"/>
                </w:tcPr>
                <w:p>
                  <w:pPr>
                    <w:pStyle w:val="56"/>
                    <w:spacing w:line="240" w:lineRule="auto"/>
                    <w:ind w:firstLine="0" w:firstLineChars="0"/>
                    <w:jc w:val="center"/>
                    <w:rPr>
                      <w:sz w:val="18"/>
                      <w:szCs w:val="18"/>
                    </w:rPr>
                  </w:pPr>
                  <w:r>
                    <w:rPr>
                      <w:rFonts w:hint="eastAsia"/>
                      <w:sz w:val="18"/>
                      <w:szCs w:val="18"/>
                    </w:rPr>
                    <w:t>建筑</w:t>
                  </w:r>
                  <w:r>
                    <w:rPr>
                      <w:sz w:val="18"/>
                      <w:szCs w:val="18"/>
                    </w:rPr>
                    <w:t>物插入</w:t>
                  </w:r>
                  <w:r>
                    <w:rPr>
                      <w:rFonts w:hint="eastAsia"/>
                      <w:sz w:val="18"/>
                      <w:szCs w:val="18"/>
                    </w:rPr>
                    <w:t>损失</w:t>
                  </w:r>
                  <w:r>
                    <w:rPr>
                      <w:sz w:val="18"/>
                      <w:szCs w:val="18"/>
                    </w:rPr>
                    <w:t>dB</w:t>
                  </w:r>
                  <w:r>
                    <w:rPr>
                      <w:rFonts w:hint="eastAsia"/>
                      <w:sz w:val="18"/>
                      <w:szCs w:val="18"/>
                    </w:rPr>
                    <w:t>(A)</w:t>
                  </w:r>
                </w:p>
              </w:tc>
              <w:tc>
                <w:tcPr>
                  <w:tcW w:w="1297" w:type="dxa"/>
                  <w:gridSpan w:val="2"/>
                  <w:vAlign w:val="center"/>
                </w:tcPr>
                <w:p>
                  <w:pPr>
                    <w:pStyle w:val="56"/>
                    <w:spacing w:line="240" w:lineRule="auto"/>
                    <w:ind w:firstLine="0" w:firstLineChars="0"/>
                    <w:jc w:val="center"/>
                    <w:rPr>
                      <w:sz w:val="18"/>
                      <w:szCs w:val="18"/>
                    </w:rPr>
                  </w:pPr>
                  <w:r>
                    <w:rPr>
                      <w:rFonts w:hint="eastAsia"/>
                      <w:sz w:val="18"/>
                      <w:szCs w:val="18"/>
                    </w:rPr>
                    <w:t>建筑物</w:t>
                  </w:r>
                  <w:r>
                    <w:rPr>
                      <w:sz w:val="18"/>
                      <w:szCs w:val="18"/>
                    </w:rPr>
                    <w:t>外噪声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 w:hRule="atLeast"/>
                <w:jc w:val="center"/>
              </w:trPr>
              <w:tc>
                <w:tcPr>
                  <w:tcW w:w="425" w:type="dxa"/>
                  <w:vMerge w:val="continue"/>
                  <w:vAlign w:val="center"/>
                </w:tcPr>
                <w:p>
                  <w:pPr>
                    <w:pStyle w:val="56"/>
                    <w:spacing w:line="240" w:lineRule="auto"/>
                    <w:ind w:firstLine="0" w:firstLineChars="0"/>
                    <w:jc w:val="center"/>
                    <w:rPr>
                      <w:sz w:val="18"/>
                      <w:szCs w:val="18"/>
                    </w:rPr>
                  </w:pPr>
                </w:p>
              </w:tc>
              <w:tc>
                <w:tcPr>
                  <w:tcW w:w="438" w:type="dxa"/>
                  <w:vMerge w:val="continue"/>
                  <w:vAlign w:val="center"/>
                </w:tcPr>
                <w:p>
                  <w:pPr>
                    <w:pStyle w:val="56"/>
                    <w:spacing w:line="240" w:lineRule="auto"/>
                    <w:ind w:firstLine="0" w:firstLineChars="0"/>
                    <w:jc w:val="center"/>
                    <w:rPr>
                      <w:sz w:val="18"/>
                      <w:szCs w:val="18"/>
                    </w:rPr>
                  </w:pPr>
                </w:p>
              </w:tc>
              <w:tc>
                <w:tcPr>
                  <w:tcW w:w="657" w:type="dxa"/>
                  <w:vMerge w:val="continue"/>
                  <w:vAlign w:val="center"/>
                </w:tcPr>
                <w:p>
                  <w:pPr>
                    <w:pStyle w:val="56"/>
                    <w:spacing w:line="240" w:lineRule="auto"/>
                    <w:ind w:firstLine="0" w:firstLineChars="0"/>
                    <w:jc w:val="center"/>
                    <w:rPr>
                      <w:sz w:val="18"/>
                      <w:szCs w:val="18"/>
                    </w:rPr>
                  </w:pPr>
                </w:p>
              </w:tc>
              <w:tc>
                <w:tcPr>
                  <w:tcW w:w="719" w:type="dxa"/>
                  <w:vMerge w:val="continue"/>
                  <w:vAlign w:val="center"/>
                </w:tcPr>
                <w:p>
                  <w:pPr>
                    <w:pStyle w:val="56"/>
                    <w:spacing w:line="240" w:lineRule="auto"/>
                    <w:ind w:firstLine="0" w:firstLineChars="0"/>
                    <w:jc w:val="center"/>
                    <w:rPr>
                      <w:sz w:val="18"/>
                      <w:szCs w:val="18"/>
                    </w:rPr>
                  </w:pPr>
                </w:p>
              </w:tc>
              <w:tc>
                <w:tcPr>
                  <w:tcW w:w="611" w:type="dxa"/>
                  <w:vMerge w:val="continue"/>
                  <w:vAlign w:val="center"/>
                </w:tcPr>
                <w:p>
                  <w:pPr>
                    <w:pStyle w:val="56"/>
                    <w:spacing w:line="240" w:lineRule="auto"/>
                    <w:ind w:firstLine="0" w:firstLineChars="0"/>
                    <w:jc w:val="center"/>
                    <w:rPr>
                      <w:sz w:val="18"/>
                      <w:szCs w:val="18"/>
                    </w:rPr>
                  </w:pPr>
                </w:p>
              </w:tc>
              <w:tc>
                <w:tcPr>
                  <w:tcW w:w="491" w:type="dxa"/>
                  <w:vAlign w:val="center"/>
                </w:tcPr>
                <w:p>
                  <w:pPr>
                    <w:pStyle w:val="56"/>
                    <w:spacing w:line="240" w:lineRule="auto"/>
                    <w:ind w:firstLine="0" w:firstLineChars="0"/>
                    <w:jc w:val="center"/>
                    <w:rPr>
                      <w:sz w:val="18"/>
                      <w:szCs w:val="18"/>
                    </w:rPr>
                  </w:pPr>
                  <w:r>
                    <w:rPr>
                      <w:rFonts w:hint="eastAsia"/>
                      <w:sz w:val="18"/>
                      <w:szCs w:val="18"/>
                    </w:rPr>
                    <w:t>X</w:t>
                  </w:r>
                </w:p>
              </w:tc>
              <w:tc>
                <w:tcPr>
                  <w:tcW w:w="534" w:type="dxa"/>
                  <w:vAlign w:val="center"/>
                </w:tcPr>
                <w:p>
                  <w:pPr>
                    <w:pStyle w:val="56"/>
                    <w:spacing w:line="240" w:lineRule="auto"/>
                    <w:ind w:firstLine="0" w:firstLineChars="0"/>
                    <w:jc w:val="center"/>
                    <w:rPr>
                      <w:sz w:val="18"/>
                      <w:szCs w:val="18"/>
                    </w:rPr>
                  </w:pPr>
                  <w:r>
                    <w:rPr>
                      <w:rFonts w:hint="eastAsia"/>
                      <w:sz w:val="18"/>
                      <w:szCs w:val="18"/>
                    </w:rPr>
                    <w:t>Y</w:t>
                  </w:r>
                </w:p>
              </w:tc>
              <w:tc>
                <w:tcPr>
                  <w:tcW w:w="536" w:type="dxa"/>
                  <w:vAlign w:val="center"/>
                </w:tcPr>
                <w:p>
                  <w:pPr>
                    <w:pStyle w:val="56"/>
                    <w:spacing w:line="240" w:lineRule="auto"/>
                    <w:ind w:firstLine="0" w:firstLineChars="0"/>
                    <w:jc w:val="center"/>
                    <w:rPr>
                      <w:sz w:val="18"/>
                      <w:szCs w:val="18"/>
                    </w:rPr>
                  </w:pPr>
                  <w:r>
                    <w:rPr>
                      <w:rFonts w:hint="eastAsia"/>
                      <w:sz w:val="18"/>
                      <w:szCs w:val="18"/>
                    </w:rPr>
                    <w:t>Z</w:t>
                  </w:r>
                </w:p>
              </w:tc>
              <w:tc>
                <w:tcPr>
                  <w:tcW w:w="963" w:type="dxa"/>
                  <w:gridSpan w:val="2"/>
                  <w:vMerge w:val="continue"/>
                  <w:vAlign w:val="center"/>
                </w:tcPr>
                <w:p>
                  <w:pPr>
                    <w:pStyle w:val="56"/>
                    <w:spacing w:line="240" w:lineRule="auto"/>
                    <w:ind w:firstLine="0" w:firstLineChars="0"/>
                    <w:jc w:val="center"/>
                    <w:rPr>
                      <w:sz w:val="18"/>
                      <w:szCs w:val="18"/>
                    </w:rPr>
                  </w:pPr>
                </w:p>
              </w:tc>
              <w:tc>
                <w:tcPr>
                  <w:tcW w:w="721" w:type="dxa"/>
                  <w:vMerge w:val="continue"/>
                  <w:vAlign w:val="center"/>
                </w:tcPr>
                <w:p>
                  <w:pPr>
                    <w:pStyle w:val="56"/>
                    <w:spacing w:line="240" w:lineRule="auto"/>
                    <w:ind w:firstLine="0" w:firstLineChars="0"/>
                    <w:jc w:val="center"/>
                    <w:rPr>
                      <w:sz w:val="18"/>
                      <w:szCs w:val="18"/>
                    </w:rPr>
                  </w:pPr>
                </w:p>
              </w:tc>
              <w:tc>
                <w:tcPr>
                  <w:tcW w:w="669" w:type="dxa"/>
                  <w:vMerge w:val="continue"/>
                  <w:vAlign w:val="center"/>
                </w:tcPr>
                <w:p>
                  <w:pPr>
                    <w:pStyle w:val="56"/>
                    <w:spacing w:line="240" w:lineRule="auto"/>
                    <w:ind w:firstLine="0" w:firstLineChars="0"/>
                    <w:jc w:val="center"/>
                    <w:rPr>
                      <w:sz w:val="18"/>
                      <w:szCs w:val="18"/>
                    </w:rPr>
                  </w:pPr>
                </w:p>
              </w:tc>
              <w:tc>
                <w:tcPr>
                  <w:tcW w:w="721" w:type="dxa"/>
                  <w:vMerge w:val="continue"/>
                  <w:vAlign w:val="center"/>
                </w:tcPr>
                <w:p>
                  <w:pPr>
                    <w:pStyle w:val="56"/>
                    <w:spacing w:line="240" w:lineRule="auto"/>
                    <w:ind w:firstLine="0" w:firstLineChars="0"/>
                    <w:jc w:val="center"/>
                    <w:rPr>
                      <w:sz w:val="18"/>
                      <w:szCs w:val="18"/>
                    </w:rPr>
                  </w:pPr>
                </w:p>
              </w:tc>
              <w:tc>
                <w:tcPr>
                  <w:tcW w:w="721" w:type="dxa"/>
                  <w:vAlign w:val="center"/>
                </w:tcPr>
                <w:p>
                  <w:pPr>
                    <w:pStyle w:val="56"/>
                    <w:spacing w:line="240" w:lineRule="auto"/>
                    <w:ind w:firstLine="0" w:firstLineChars="0"/>
                    <w:jc w:val="center"/>
                    <w:rPr>
                      <w:sz w:val="18"/>
                      <w:szCs w:val="18"/>
                    </w:rPr>
                  </w:pPr>
                  <w:r>
                    <w:rPr>
                      <w:rFonts w:hint="eastAsia"/>
                      <w:sz w:val="18"/>
                      <w:szCs w:val="18"/>
                    </w:rPr>
                    <w:t>声压</w:t>
                  </w:r>
                  <w:r>
                    <w:rPr>
                      <w:sz w:val="18"/>
                      <w:szCs w:val="18"/>
                    </w:rPr>
                    <w:t>级dB</w:t>
                  </w:r>
                  <w:r>
                    <w:rPr>
                      <w:rFonts w:hint="eastAsia"/>
                      <w:sz w:val="18"/>
                      <w:szCs w:val="18"/>
                    </w:rPr>
                    <w:t>(A)</w:t>
                  </w:r>
                </w:p>
              </w:tc>
              <w:tc>
                <w:tcPr>
                  <w:tcW w:w="576" w:type="dxa"/>
                  <w:vAlign w:val="center"/>
                </w:tcPr>
                <w:p>
                  <w:pPr>
                    <w:pStyle w:val="56"/>
                    <w:spacing w:line="240" w:lineRule="auto"/>
                    <w:ind w:firstLine="0" w:firstLineChars="0"/>
                    <w:jc w:val="center"/>
                    <w:rPr>
                      <w:sz w:val="18"/>
                      <w:szCs w:val="18"/>
                    </w:rPr>
                  </w:pPr>
                  <w:r>
                    <w:rPr>
                      <w:rFonts w:hint="eastAsia"/>
                      <w:sz w:val="18"/>
                      <w:szCs w:val="18"/>
                    </w:rPr>
                    <w:t>建筑物</w:t>
                  </w:r>
                  <w:r>
                    <w:rPr>
                      <w:sz w:val="18"/>
                      <w:szCs w:val="18"/>
                    </w:rPr>
                    <w:t>外距离</w:t>
                  </w:r>
                  <w:r>
                    <w:rPr>
                      <w:rFonts w:hint="eastAsia"/>
                      <w:sz w:val="18"/>
                      <w:szCs w:val="18"/>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3" w:hRule="atLeast"/>
                <w:jc w:val="center"/>
              </w:trPr>
              <w:tc>
                <w:tcPr>
                  <w:tcW w:w="425" w:type="dxa"/>
                  <w:vMerge w:val="restart"/>
                  <w:vAlign w:val="center"/>
                </w:tcPr>
                <w:p>
                  <w:pPr>
                    <w:pStyle w:val="56"/>
                    <w:spacing w:line="240" w:lineRule="auto"/>
                    <w:ind w:firstLine="0" w:firstLineChars="0"/>
                    <w:jc w:val="center"/>
                    <w:rPr>
                      <w:sz w:val="18"/>
                      <w:szCs w:val="18"/>
                    </w:rPr>
                  </w:pPr>
                  <w:r>
                    <w:rPr>
                      <w:rFonts w:hint="eastAsia"/>
                      <w:sz w:val="18"/>
                      <w:szCs w:val="18"/>
                    </w:rPr>
                    <w:t>1</w:t>
                  </w:r>
                </w:p>
              </w:tc>
              <w:tc>
                <w:tcPr>
                  <w:tcW w:w="438" w:type="dxa"/>
                  <w:vMerge w:val="restart"/>
                  <w:vAlign w:val="center"/>
                </w:tcPr>
                <w:p>
                  <w:pPr>
                    <w:pStyle w:val="56"/>
                    <w:spacing w:line="240" w:lineRule="auto"/>
                    <w:ind w:firstLine="0" w:firstLineChars="0"/>
                    <w:jc w:val="center"/>
                    <w:rPr>
                      <w:sz w:val="18"/>
                      <w:szCs w:val="18"/>
                    </w:rPr>
                  </w:pPr>
                  <w:r>
                    <w:rPr>
                      <w:rFonts w:hint="eastAsia"/>
                      <w:sz w:val="18"/>
                      <w:szCs w:val="18"/>
                    </w:rPr>
                    <w:t>生产</w:t>
                  </w:r>
                  <w:r>
                    <w:rPr>
                      <w:sz w:val="18"/>
                      <w:szCs w:val="18"/>
                    </w:rPr>
                    <w:t>厂房</w:t>
                  </w:r>
                </w:p>
              </w:tc>
              <w:tc>
                <w:tcPr>
                  <w:tcW w:w="657" w:type="dxa"/>
                  <w:vMerge w:val="restart"/>
                  <w:vAlign w:val="center"/>
                </w:tcPr>
                <w:p>
                  <w:pPr>
                    <w:pStyle w:val="56"/>
                    <w:spacing w:line="240" w:lineRule="auto"/>
                    <w:ind w:firstLine="0" w:firstLineChars="0"/>
                    <w:jc w:val="center"/>
                    <w:rPr>
                      <w:sz w:val="18"/>
                      <w:szCs w:val="18"/>
                    </w:rPr>
                  </w:pPr>
                  <w:r>
                    <w:rPr>
                      <w:rFonts w:hint="eastAsia"/>
                      <w:sz w:val="18"/>
                      <w:szCs w:val="18"/>
                    </w:rPr>
                    <w:t>高速</w:t>
                  </w:r>
                  <w:r>
                    <w:rPr>
                      <w:sz w:val="18"/>
                      <w:szCs w:val="18"/>
                    </w:rPr>
                    <w:t>搅拌机</w:t>
                  </w:r>
                </w:p>
              </w:tc>
              <w:tc>
                <w:tcPr>
                  <w:tcW w:w="719" w:type="dxa"/>
                  <w:vMerge w:val="restart"/>
                  <w:vAlign w:val="center"/>
                </w:tcPr>
                <w:p>
                  <w:pPr>
                    <w:pStyle w:val="56"/>
                    <w:spacing w:line="240" w:lineRule="auto"/>
                    <w:ind w:firstLine="0" w:firstLineChars="0"/>
                    <w:jc w:val="center"/>
                    <w:rPr>
                      <w:sz w:val="18"/>
                      <w:szCs w:val="18"/>
                    </w:rPr>
                  </w:pPr>
                  <w:r>
                    <w:rPr>
                      <w:rFonts w:hint="eastAsia"/>
                      <w:sz w:val="18"/>
                      <w:szCs w:val="18"/>
                    </w:rPr>
                    <w:t>75</w:t>
                  </w:r>
                </w:p>
              </w:tc>
              <w:tc>
                <w:tcPr>
                  <w:tcW w:w="611" w:type="dxa"/>
                  <w:vMerge w:val="restart"/>
                  <w:vAlign w:val="center"/>
                </w:tcPr>
                <w:p>
                  <w:pPr>
                    <w:pStyle w:val="56"/>
                    <w:spacing w:line="240" w:lineRule="auto"/>
                    <w:ind w:firstLine="0" w:firstLineChars="0"/>
                    <w:jc w:val="center"/>
                    <w:rPr>
                      <w:sz w:val="18"/>
                      <w:szCs w:val="18"/>
                    </w:rPr>
                  </w:pPr>
                  <w:r>
                    <w:rPr>
                      <w:rFonts w:hint="eastAsia"/>
                      <w:sz w:val="18"/>
                      <w:szCs w:val="18"/>
                    </w:rPr>
                    <w:t>基础减震、</w:t>
                  </w:r>
                  <w:r>
                    <w:rPr>
                      <w:sz w:val="18"/>
                      <w:szCs w:val="18"/>
                    </w:rPr>
                    <w:t>厂房隔声</w:t>
                  </w:r>
                </w:p>
              </w:tc>
              <w:tc>
                <w:tcPr>
                  <w:tcW w:w="491" w:type="dxa"/>
                  <w:vMerge w:val="restart"/>
                  <w:vAlign w:val="center"/>
                </w:tcPr>
                <w:p>
                  <w:pPr>
                    <w:pStyle w:val="56"/>
                    <w:spacing w:line="240" w:lineRule="auto"/>
                    <w:ind w:firstLine="0" w:firstLineChars="0"/>
                    <w:jc w:val="center"/>
                    <w:rPr>
                      <w:sz w:val="18"/>
                      <w:szCs w:val="18"/>
                    </w:rPr>
                  </w:pPr>
                  <w:r>
                    <w:rPr>
                      <w:rFonts w:hint="eastAsia"/>
                      <w:sz w:val="18"/>
                      <w:szCs w:val="18"/>
                    </w:rPr>
                    <w:t>-19</w:t>
                  </w:r>
                </w:p>
              </w:tc>
              <w:tc>
                <w:tcPr>
                  <w:tcW w:w="534" w:type="dxa"/>
                  <w:vMerge w:val="restart"/>
                  <w:vAlign w:val="center"/>
                </w:tcPr>
                <w:p>
                  <w:pPr>
                    <w:pStyle w:val="56"/>
                    <w:spacing w:line="240" w:lineRule="auto"/>
                    <w:ind w:firstLine="0" w:firstLineChars="0"/>
                    <w:jc w:val="center"/>
                    <w:rPr>
                      <w:sz w:val="18"/>
                      <w:szCs w:val="18"/>
                    </w:rPr>
                  </w:pPr>
                  <w:r>
                    <w:rPr>
                      <w:rFonts w:hint="eastAsia"/>
                      <w:sz w:val="18"/>
                      <w:szCs w:val="18"/>
                    </w:rPr>
                    <w:t>+3</w:t>
                  </w:r>
                </w:p>
              </w:tc>
              <w:tc>
                <w:tcPr>
                  <w:tcW w:w="536" w:type="dxa"/>
                  <w:vMerge w:val="restart"/>
                  <w:vAlign w:val="center"/>
                </w:tcPr>
                <w:p>
                  <w:pPr>
                    <w:pStyle w:val="56"/>
                    <w:spacing w:line="240" w:lineRule="auto"/>
                    <w:ind w:firstLine="0" w:firstLineChars="0"/>
                    <w:jc w:val="center"/>
                    <w:rPr>
                      <w:sz w:val="18"/>
                      <w:szCs w:val="18"/>
                    </w:rPr>
                  </w:pPr>
                  <w:r>
                    <w:rPr>
                      <w:rFonts w:hint="eastAsia"/>
                      <w:sz w:val="18"/>
                      <w:szCs w:val="18"/>
                    </w:rPr>
                    <w:t>0.5</w:t>
                  </w:r>
                </w:p>
              </w:tc>
              <w:tc>
                <w:tcPr>
                  <w:tcW w:w="419" w:type="dxa"/>
                  <w:vAlign w:val="center"/>
                </w:tcPr>
                <w:p>
                  <w:pPr>
                    <w:pStyle w:val="56"/>
                    <w:spacing w:line="240" w:lineRule="auto"/>
                    <w:ind w:firstLine="0" w:firstLineChars="0"/>
                    <w:jc w:val="center"/>
                    <w:rPr>
                      <w:sz w:val="18"/>
                      <w:szCs w:val="18"/>
                    </w:rPr>
                  </w:pPr>
                  <w:r>
                    <w:rPr>
                      <w:rFonts w:hint="eastAsia"/>
                      <w:sz w:val="18"/>
                      <w:szCs w:val="18"/>
                    </w:rPr>
                    <w:t>东</w:t>
                  </w:r>
                </w:p>
              </w:tc>
              <w:tc>
                <w:tcPr>
                  <w:tcW w:w="544" w:type="dxa"/>
                  <w:vAlign w:val="center"/>
                </w:tcPr>
                <w:p>
                  <w:pPr>
                    <w:pStyle w:val="56"/>
                    <w:spacing w:line="240" w:lineRule="auto"/>
                    <w:ind w:firstLine="0" w:firstLineChars="0"/>
                    <w:jc w:val="center"/>
                    <w:rPr>
                      <w:sz w:val="18"/>
                      <w:szCs w:val="18"/>
                    </w:rPr>
                  </w:pPr>
                  <w:r>
                    <w:rPr>
                      <w:rFonts w:hint="eastAsia"/>
                      <w:sz w:val="18"/>
                      <w:szCs w:val="18"/>
                    </w:rPr>
                    <w:t>44</w:t>
                  </w:r>
                </w:p>
              </w:tc>
              <w:tc>
                <w:tcPr>
                  <w:tcW w:w="721" w:type="dxa"/>
                  <w:vAlign w:val="center"/>
                </w:tcPr>
                <w:p>
                  <w:pPr>
                    <w:pStyle w:val="56"/>
                    <w:spacing w:line="240" w:lineRule="auto"/>
                    <w:ind w:firstLine="0" w:firstLineChars="0"/>
                    <w:jc w:val="center"/>
                    <w:rPr>
                      <w:sz w:val="18"/>
                      <w:szCs w:val="18"/>
                    </w:rPr>
                  </w:pPr>
                  <w:r>
                    <w:rPr>
                      <w:rFonts w:hint="eastAsia"/>
                      <w:sz w:val="18"/>
                      <w:szCs w:val="18"/>
                    </w:rPr>
                    <w:t>42.13</w:t>
                  </w:r>
                </w:p>
              </w:tc>
              <w:tc>
                <w:tcPr>
                  <w:tcW w:w="669" w:type="dxa"/>
                  <w:vMerge w:val="restart"/>
                  <w:vAlign w:val="center"/>
                </w:tcPr>
                <w:p>
                  <w:pPr>
                    <w:pStyle w:val="56"/>
                    <w:spacing w:line="240" w:lineRule="auto"/>
                    <w:ind w:firstLine="0" w:firstLineChars="0"/>
                    <w:jc w:val="center"/>
                    <w:rPr>
                      <w:sz w:val="18"/>
                      <w:szCs w:val="18"/>
                    </w:rPr>
                  </w:pPr>
                  <w:r>
                    <w:rPr>
                      <w:sz w:val="18"/>
                      <w:szCs w:val="18"/>
                    </w:rPr>
                    <w:t>9</w:t>
                  </w:r>
                  <w:r>
                    <w:rPr>
                      <w:rFonts w:hint="eastAsia"/>
                      <w:sz w:val="18"/>
                      <w:szCs w:val="18"/>
                    </w:rPr>
                    <w:t>:00-</w:t>
                  </w:r>
                  <w:r>
                    <w:rPr>
                      <w:sz w:val="18"/>
                      <w:szCs w:val="18"/>
                    </w:rPr>
                    <w:t>18</w:t>
                  </w:r>
                  <w:r>
                    <w:rPr>
                      <w:rFonts w:hint="eastAsia"/>
                      <w:sz w:val="18"/>
                      <w:szCs w:val="18"/>
                    </w:rPr>
                    <w:t>:00</w:t>
                  </w:r>
                </w:p>
              </w:tc>
              <w:tc>
                <w:tcPr>
                  <w:tcW w:w="721" w:type="dxa"/>
                  <w:vMerge w:val="restart"/>
                  <w:vAlign w:val="center"/>
                </w:tcPr>
                <w:p>
                  <w:pPr>
                    <w:pStyle w:val="56"/>
                    <w:spacing w:line="240" w:lineRule="auto"/>
                    <w:ind w:firstLine="0" w:firstLineChars="0"/>
                    <w:jc w:val="center"/>
                    <w:rPr>
                      <w:sz w:val="18"/>
                      <w:szCs w:val="18"/>
                    </w:rPr>
                  </w:pPr>
                  <w:r>
                    <w:rPr>
                      <w:sz w:val="18"/>
                      <w:szCs w:val="18"/>
                    </w:rPr>
                    <w:t>10</w:t>
                  </w:r>
                </w:p>
              </w:tc>
              <w:tc>
                <w:tcPr>
                  <w:tcW w:w="721" w:type="dxa"/>
                  <w:vAlign w:val="center"/>
                </w:tcPr>
                <w:p>
                  <w:pPr>
                    <w:pStyle w:val="56"/>
                    <w:spacing w:line="240" w:lineRule="auto"/>
                    <w:ind w:firstLine="0" w:firstLineChars="0"/>
                    <w:jc w:val="center"/>
                    <w:rPr>
                      <w:sz w:val="18"/>
                      <w:szCs w:val="18"/>
                    </w:rPr>
                  </w:pPr>
                  <w:r>
                    <w:rPr>
                      <w:rFonts w:hint="eastAsia"/>
                      <w:sz w:val="18"/>
                      <w:szCs w:val="18"/>
                    </w:rPr>
                    <w:t>32.13</w:t>
                  </w:r>
                </w:p>
              </w:tc>
              <w:tc>
                <w:tcPr>
                  <w:tcW w:w="576" w:type="dxa"/>
                  <w:vAlign w:val="center"/>
                </w:tcPr>
                <w:p>
                  <w:pPr>
                    <w:pStyle w:val="56"/>
                    <w:spacing w:line="240" w:lineRule="auto"/>
                    <w:ind w:firstLine="0" w:firstLineChars="0"/>
                    <w:jc w:val="center"/>
                    <w:rPr>
                      <w:sz w:val="18"/>
                      <w:szCs w:val="18"/>
                    </w:rPr>
                  </w:pPr>
                  <w:r>
                    <w:rPr>
                      <w:rFonts w:hint="eastAsia"/>
                      <w:sz w:val="18"/>
                      <w:szCs w:val="18"/>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425" w:type="dxa"/>
                  <w:vMerge w:val="continue"/>
                  <w:vAlign w:val="center"/>
                </w:tcPr>
                <w:p>
                  <w:pPr>
                    <w:pStyle w:val="56"/>
                    <w:spacing w:line="240" w:lineRule="auto"/>
                    <w:ind w:firstLine="0" w:firstLineChars="0"/>
                    <w:jc w:val="center"/>
                    <w:rPr>
                      <w:rFonts w:hAnsi="宋体"/>
                      <w:sz w:val="18"/>
                      <w:szCs w:val="18"/>
                    </w:rPr>
                  </w:pPr>
                </w:p>
              </w:tc>
              <w:tc>
                <w:tcPr>
                  <w:tcW w:w="438" w:type="dxa"/>
                  <w:vMerge w:val="continue"/>
                  <w:vAlign w:val="center"/>
                </w:tcPr>
                <w:p>
                  <w:pPr>
                    <w:pStyle w:val="56"/>
                    <w:spacing w:line="240" w:lineRule="auto"/>
                    <w:ind w:firstLine="360"/>
                    <w:jc w:val="center"/>
                    <w:rPr>
                      <w:sz w:val="18"/>
                      <w:szCs w:val="18"/>
                    </w:rPr>
                  </w:pPr>
                </w:p>
              </w:tc>
              <w:tc>
                <w:tcPr>
                  <w:tcW w:w="657" w:type="dxa"/>
                  <w:vMerge w:val="continue"/>
                  <w:vAlign w:val="center"/>
                </w:tcPr>
                <w:p>
                  <w:pPr>
                    <w:pStyle w:val="56"/>
                    <w:spacing w:line="240" w:lineRule="auto"/>
                    <w:ind w:firstLine="0" w:firstLineChars="0"/>
                    <w:jc w:val="center"/>
                    <w:rPr>
                      <w:sz w:val="18"/>
                      <w:szCs w:val="18"/>
                    </w:rPr>
                  </w:pPr>
                </w:p>
              </w:tc>
              <w:tc>
                <w:tcPr>
                  <w:tcW w:w="719" w:type="dxa"/>
                  <w:vMerge w:val="continue"/>
                  <w:vAlign w:val="center"/>
                </w:tcPr>
                <w:p>
                  <w:pPr>
                    <w:pStyle w:val="56"/>
                    <w:spacing w:line="240" w:lineRule="auto"/>
                    <w:ind w:firstLine="0" w:firstLineChars="0"/>
                    <w:jc w:val="center"/>
                    <w:rPr>
                      <w:sz w:val="18"/>
                      <w:szCs w:val="18"/>
                    </w:rPr>
                  </w:pPr>
                </w:p>
              </w:tc>
              <w:tc>
                <w:tcPr>
                  <w:tcW w:w="611" w:type="dxa"/>
                  <w:vMerge w:val="continue"/>
                  <w:vAlign w:val="center"/>
                </w:tcPr>
                <w:p>
                  <w:pPr>
                    <w:pStyle w:val="56"/>
                    <w:spacing w:line="240" w:lineRule="auto"/>
                    <w:ind w:firstLine="0" w:firstLineChars="0"/>
                    <w:jc w:val="center"/>
                    <w:rPr>
                      <w:sz w:val="18"/>
                      <w:szCs w:val="18"/>
                    </w:rPr>
                  </w:pPr>
                </w:p>
              </w:tc>
              <w:tc>
                <w:tcPr>
                  <w:tcW w:w="491" w:type="dxa"/>
                  <w:vMerge w:val="continue"/>
                  <w:vAlign w:val="center"/>
                </w:tcPr>
                <w:p>
                  <w:pPr>
                    <w:pStyle w:val="56"/>
                    <w:spacing w:line="240" w:lineRule="auto"/>
                    <w:ind w:firstLine="0" w:firstLineChars="0"/>
                    <w:jc w:val="center"/>
                    <w:rPr>
                      <w:sz w:val="18"/>
                      <w:szCs w:val="18"/>
                    </w:rPr>
                  </w:pPr>
                </w:p>
              </w:tc>
              <w:tc>
                <w:tcPr>
                  <w:tcW w:w="534" w:type="dxa"/>
                  <w:vMerge w:val="continue"/>
                  <w:vAlign w:val="center"/>
                </w:tcPr>
                <w:p>
                  <w:pPr>
                    <w:pStyle w:val="56"/>
                    <w:spacing w:line="240" w:lineRule="auto"/>
                    <w:ind w:firstLine="0" w:firstLineChars="0"/>
                    <w:jc w:val="center"/>
                    <w:rPr>
                      <w:sz w:val="18"/>
                      <w:szCs w:val="18"/>
                    </w:rPr>
                  </w:pPr>
                </w:p>
              </w:tc>
              <w:tc>
                <w:tcPr>
                  <w:tcW w:w="536" w:type="dxa"/>
                  <w:vMerge w:val="continue"/>
                  <w:vAlign w:val="center"/>
                </w:tcPr>
                <w:p>
                  <w:pPr>
                    <w:pStyle w:val="56"/>
                    <w:spacing w:line="240" w:lineRule="auto"/>
                    <w:ind w:firstLine="0" w:firstLineChars="0"/>
                    <w:jc w:val="center"/>
                    <w:rPr>
                      <w:sz w:val="18"/>
                      <w:szCs w:val="18"/>
                    </w:rPr>
                  </w:pPr>
                </w:p>
              </w:tc>
              <w:tc>
                <w:tcPr>
                  <w:tcW w:w="419" w:type="dxa"/>
                  <w:vAlign w:val="center"/>
                </w:tcPr>
                <w:p>
                  <w:pPr>
                    <w:pStyle w:val="56"/>
                    <w:spacing w:line="240" w:lineRule="auto"/>
                    <w:ind w:firstLine="0" w:firstLineChars="0"/>
                    <w:jc w:val="center"/>
                    <w:rPr>
                      <w:sz w:val="18"/>
                      <w:szCs w:val="18"/>
                    </w:rPr>
                  </w:pPr>
                  <w:r>
                    <w:rPr>
                      <w:rFonts w:hint="eastAsia"/>
                      <w:sz w:val="18"/>
                      <w:szCs w:val="18"/>
                    </w:rPr>
                    <w:t>南</w:t>
                  </w:r>
                </w:p>
              </w:tc>
              <w:tc>
                <w:tcPr>
                  <w:tcW w:w="544" w:type="dxa"/>
                  <w:vAlign w:val="center"/>
                </w:tcPr>
                <w:p>
                  <w:pPr>
                    <w:pStyle w:val="56"/>
                    <w:spacing w:line="240" w:lineRule="auto"/>
                    <w:ind w:firstLine="0" w:firstLineChars="0"/>
                    <w:jc w:val="center"/>
                    <w:rPr>
                      <w:sz w:val="18"/>
                      <w:szCs w:val="18"/>
                    </w:rPr>
                  </w:pPr>
                  <w:r>
                    <w:rPr>
                      <w:rFonts w:hint="eastAsia"/>
                      <w:sz w:val="18"/>
                      <w:szCs w:val="18"/>
                    </w:rPr>
                    <w:t>21</w:t>
                  </w:r>
                </w:p>
              </w:tc>
              <w:tc>
                <w:tcPr>
                  <w:tcW w:w="721" w:type="dxa"/>
                  <w:vAlign w:val="center"/>
                </w:tcPr>
                <w:p>
                  <w:pPr>
                    <w:pStyle w:val="56"/>
                    <w:spacing w:line="240" w:lineRule="auto"/>
                    <w:ind w:firstLine="0" w:firstLineChars="0"/>
                    <w:jc w:val="center"/>
                    <w:rPr>
                      <w:sz w:val="18"/>
                      <w:szCs w:val="18"/>
                    </w:rPr>
                  </w:pPr>
                  <w:r>
                    <w:rPr>
                      <w:sz w:val="18"/>
                      <w:szCs w:val="18"/>
                    </w:rPr>
                    <w:t>48.55</w:t>
                  </w:r>
                </w:p>
              </w:tc>
              <w:tc>
                <w:tcPr>
                  <w:tcW w:w="669" w:type="dxa"/>
                  <w:vMerge w:val="continue"/>
                  <w:vAlign w:val="center"/>
                </w:tcPr>
                <w:p>
                  <w:pPr>
                    <w:pStyle w:val="56"/>
                    <w:spacing w:line="240" w:lineRule="auto"/>
                    <w:ind w:firstLine="0" w:firstLineChars="0"/>
                    <w:jc w:val="center"/>
                    <w:rPr>
                      <w:rFonts w:hAnsi="宋体"/>
                      <w:sz w:val="18"/>
                      <w:szCs w:val="18"/>
                    </w:rPr>
                  </w:pPr>
                </w:p>
              </w:tc>
              <w:tc>
                <w:tcPr>
                  <w:tcW w:w="721" w:type="dxa"/>
                  <w:vMerge w:val="continue"/>
                  <w:vAlign w:val="center"/>
                </w:tcPr>
                <w:p>
                  <w:pPr>
                    <w:pStyle w:val="56"/>
                    <w:spacing w:line="240" w:lineRule="auto"/>
                    <w:ind w:firstLine="0" w:firstLineChars="0"/>
                    <w:jc w:val="center"/>
                    <w:rPr>
                      <w:rFonts w:hAnsi="宋体"/>
                      <w:sz w:val="18"/>
                      <w:szCs w:val="18"/>
                    </w:rPr>
                  </w:pPr>
                </w:p>
              </w:tc>
              <w:tc>
                <w:tcPr>
                  <w:tcW w:w="721" w:type="dxa"/>
                  <w:vAlign w:val="center"/>
                </w:tcPr>
                <w:p>
                  <w:pPr>
                    <w:pStyle w:val="56"/>
                    <w:spacing w:line="240" w:lineRule="auto"/>
                    <w:ind w:firstLine="0" w:firstLineChars="0"/>
                    <w:jc w:val="center"/>
                    <w:rPr>
                      <w:sz w:val="18"/>
                      <w:szCs w:val="18"/>
                    </w:rPr>
                  </w:pPr>
                  <w:r>
                    <w:rPr>
                      <w:rFonts w:hint="eastAsia"/>
                      <w:sz w:val="18"/>
                      <w:szCs w:val="18"/>
                    </w:rPr>
                    <w:t>38</w:t>
                  </w:r>
                  <w:r>
                    <w:rPr>
                      <w:sz w:val="18"/>
                      <w:szCs w:val="18"/>
                    </w:rPr>
                    <w:t>.55</w:t>
                  </w:r>
                </w:p>
              </w:tc>
              <w:tc>
                <w:tcPr>
                  <w:tcW w:w="576" w:type="dxa"/>
                  <w:vAlign w:val="center"/>
                </w:tcPr>
                <w:p>
                  <w:pPr>
                    <w:pStyle w:val="56"/>
                    <w:spacing w:line="240" w:lineRule="auto"/>
                    <w:ind w:firstLine="0" w:firstLineChars="0"/>
                    <w:jc w:val="center"/>
                    <w:rPr>
                      <w:sz w:val="18"/>
                      <w:szCs w:val="18"/>
                    </w:rPr>
                  </w:pPr>
                  <w:r>
                    <w:rPr>
                      <w:rFonts w:hint="eastAsia"/>
                      <w:sz w:val="18"/>
                      <w:szCs w:val="18"/>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3" w:hRule="atLeast"/>
                <w:jc w:val="center"/>
              </w:trPr>
              <w:tc>
                <w:tcPr>
                  <w:tcW w:w="425" w:type="dxa"/>
                  <w:vMerge w:val="continue"/>
                  <w:vAlign w:val="center"/>
                </w:tcPr>
                <w:p>
                  <w:pPr>
                    <w:pStyle w:val="56"/>
                    <w:spacing w:line="240" w:lineRule="auto"/>
                    <w:ind w:firstLine="0" w:firstLineChars="0"/>
                    <w:jc w:val="center"/>
                    <w:rPr>
                      <w:sz w:val="18"/>
                      <w:szCs w:val="18"/>
                    </w:rPr>
                  </w:pPr>
                </w:p>
              </w:tc>
              <w:tc>
                <w:tcPr>
                  <w:tcW w:w="438" w:type="dxa"/>
                  <w:vMerge w:val="continue"/>
                  <w:vAlign w:val="center"/>
                </w:tcPr>
                <w:p>
                  <w:pPr>
                    <w:pStyle w:val="56"/>
                    <w:spacing w:line="240" w:lineRule="auto"/>
                    <w:ind w:firstLine="360"/>
                    <w:jc w:val="center"/>
                    <w:rPr>
                      <w:sz w:val="18"/>
                      <w:szCs w:val="18"/>
                    </w:rPr>
                  </w:pPr>
                </w:p>
              </w:tc>
              <w:tc>
                <w:tcPr>
                  <w:tcW w:w="657" w:type="dxa"/>
                  <w:vMerge w:val="continue"/>
                  <w:vAlign w:val="center"/>
                </w:tcPr>
                <w:p>
                  <w:pPr>
                    <w:pStyle w:val="56"/>
                    <w:spacing w:line="240" w:lineRule="auto"/>
                    <w:ind w:firstLine="0" w:firstLineChars="0"/>
                    <w:jc w:val="center"/>
                    <w:rPr>
                      <w:sz w:val="18"/>
                      <w:szCs w:val="18"/>
                    </w:rPr>
                  </w:pPr>
                </w:p>
              </w:tc>
              <w:tc>
                <w:tcPr>
                  <w:tcW w:w="719" w:type="dxa"/>
                  <w:vMerge w:val="continue"/>
                  <w:vAlign w:val="center"/>
                </w:tcPr>
                <w:p>
                  <w:pPr>
                    <w:pStyle w:val="56"/>
                    <w:spacing w:line="240" w:lineRule="auto"/>
                    <w:ind w:firstLine="0" w:firstLineChars="0"/>
                    <w:jc w:val="center"/>
                    <w:rPr>
                      <w:sz w:val="18"/>
                      <w:szCs w:val="18"/>
                    </w:rPr>
                  </w:pPr>
                </w:p>
              </w:tc>
              <w:tc>
                <w:tcPr>
                  <w:tcW w:w="611" w:type="dxa"/>
                  <w:vMerge w:val="continue"/>
                  <w:vAlign w:val="center"/>
                </w:tcPr>
                <w:p>
                  <w:pPr>
                    <w:pStyle w:val="56"/>
                    <w:spacing w:line="240" w:lineRule="auto"/>
                    <w:ind w:firstLine="0" w:firstLineChars="0"/>
                    <w:jc w:val="center"/>
                    <w:rPr>
                      <w:sz w:val="18"/>
                      <w:szCs w:val="18"/>
                    </w:rPr>
                  </w:pPr>
                </w:p>
              </w:tc>
              <w:tc>
                <w:tcPr>
                  <w:tcW w:w="491" w:type="dxa"/>
                  <w:vMerge w:val="continue"/>
                  <w:vAlign w:val="center"/>
                </w:tcPr>
                <w:p>
                  <w:pPr>
                    <w:pStyle w:val="56"/>
                    <w:spacing w:line="240" w:lineRule="auto"/>
                    <w:ind w:firstLine="0" w:firstLineChars="0"/>
                    <w:jc w:val="center"/>
                    <w:rPr>
                      <w:sz w:val="18"/>
                      <w:szCs w:val="18"/>
                    </w:rPr>
                  </w:pPr>
                </w:p>
              </w:tc>
              <w:tc>
                <w:tcPr>
                  <w:tcW w:w="534" w:type="dxa"/>
                  <w:vMerge w:val="continue"/>
                  <w:vAlign w:val="center"/>
                </w:tcPr>
                <w:p>
                  <w:pPr>
                    <w:pStyle w:val="56"/>
                    <w:spacing w:line="240" w:lineRule="auto"/>
                    <w:ind w:firstLine="0" w:firstLineChars="0"/>
                    <w:jc w:val="center"/>
                    <w:rPr>
                      <w:sz w:val="18"/>
                      <w:szCs w:val="18"/>
                    </w:rPr>
                  </w:pPr>
                </w:p>
              </w:tc>
              <w:tc>
                <w:tcPr>
                  <w:tcW w:w="536" w:type="dxa"/>
                  <w:vMerge w:val="continue"/>
                  <w:vAlign w:val="center"/>
                </w:tcPr>
                <w:p>
                  <w:pPr>
                    <w:pStyle w:val="56"/>
                    <w:spacing w:line="240" w:lineRule="auto"/>
                    <w:ind w:firstLine="0" w:firstLineChars="0"/>
                    <w:jc w:val="center"/>
                    <w:rPr>
                      <w:sz w:val="18"/>
                      <w:szCs w:val="18"/>
                    </w:rPr>
                  </w:pPr>
                </w:p>
              </w:tc>
              <w:tc>
                <w:tcPr>
                  <w:tcW w:w="419" w:type="dxa"/>
                  <w:vAlign w:val="center"/>
                </w:tcPr>
                <w:p>
                  <w:pPr>
                    <w:pStyle w:val="56"/>
                    <w:spacing w:line="240" w:lineRule="auto"/>
                    <w:ind w:firstLine="0" w:firstLineChars="0"/>
                    <w:jc w:val="center"/>
                    <w:rPr>
                      <w:sz w:val="18"/>
                      <w:szCs w:val="18"/>
                    </w:rPr>
                  </w:pPr>
                  <w:r>
                    <w:rPr>
                      <w:rFonts w:hint="eastAsia"/>
                      <w:sz w:val="18"/>
                      <w:szCs w:val="18"/>
                    </w:rPr>
                    <w:t>西</w:t>
                  </w:r>
                </w:p>
              </w:tc>
              <w:tc>
                <w:tcPr>
                  <w:tcW w:w="544" w:type="dxa"/>
                  <w:vAlign w:val="center"/>
                </w:tcPr>
                <w:p>
                  <w:pPr>
                    <w:pStyle w:val="56"/>
                    <w:spacing w:line="240" w:lineRule="auto"/>
                    <w:ind w:firstLine="0" w:firstLineChars="0"/>
                    <w:jc w:val="center"/>
                    <w:rPr>
                      <w:sz w:val="18"/>
                      <w:szCs w:val="18"/>
                    </w:rPr>
                  </w:pPr>
                  <w:r>
                    <w:rPr>
                      <w:sz w:val="18"/>
                      <w:szCs w:val="18"/>
                    </w:rPr>
                    <w:t>6</w:t>
                  </w:r>
                </w:p>
              </w:tc>
              <w:tc>
                <w:tcPr>
                  <w:tcW w:w="721" w:type="dxa"/>
                  <w:vAlign w:val="center"/>
                </w:tcPr>
                <w:p>
                  <w:pPr>
                    <w:pStyle w:val="56"/>
                    <w:spacing w:line="240" w:lineRule="auto"/>
                    <w:ind w:firstLine="0" w:firstLineChars="0"/>
                    <w:jc w:val="center"/>
                    <w:rPr>
                      <w:sz w:val="18"/>
                      <w:szCs w:val="18"/>
                    </w:rPr>
                  </w:pPr>
                  <w:r>
                    <w:rPr>
                      <w:sz w:val="18"/>
                      <w:szCs w:val="18"/>
                    </w:rPr>
                    <w:t>59.43</w:t>
                  </w:r>
                </w:p>
              </w:tc>
              <w:tc>
                <w:tcPr>
                  <w:tcW w:w="669" w:type="dxa"/>
                  <w:vMerge w:val="continue"/>
                  <w:vAlign w:val="center"/>
                </w:tcPr>
                <w:p>
                  <w:pPr>
                    <w:pStyle w:val="56"/>
                    <w:spacing w:line="240" w:lineRule="auto"/>
                    <w:ind w:firstLine="0" w:firstLineChars="0"/>
                    <w:jc w:val="center"/>
                    <w:rPr>
                      <w:sz w:val="18"/>
                      <w:szCs w:val="18"/>
                    </w:rPr>
                  </w:pPr>
                </w:p>
              </w:tc>
              <w:tc>
                <w:tcPr>
                  <w:tcW w:w="721" w:type="dxa"/>
                  <w:vMerge w:val="continue"/>
                  <w:vAlign w:val="center"/>
                </w:tcPr>
                <w:p>
                  <w:pPr>
                    <w:pStyle w:val="56"/>
                    <w:spacing w:line="240" w:lineRule="auto"/>
                    <w:ind w:firstLine="0" w:firstLineChars="0"/>
                    <w:jc w:val="center"/>
                    <w:rPr>
                      <w:sz w:val="18"/>
                      <w:szCs w:val="18"/>
                    </w:rPr>
                  </w:pPr>
                </w:p>
              </w:tc>
              <w:tc>
                <w:tcPr>
                  <w:tcW w:w="721" w:type="dxa"/>
                  <w:vAlign w:val="center"/>
                </w:tcPr>
                <w:p>
                  <w:pPr>
                    <w:pStyle w:val="56"/>
                    <w:spacing w:line="240" w:lineRule="auto"/>
                    <w:ind w:firstLine="0" w:firstLineChars="0"/>
                    <w:jc w:val="center"/>
                    <w:rPr>
                      <w:sz w:val="18"/>
                      <w:szCs w:val="18"/>
                    </w:rPr>
                  </w:pPr>
                  <w:r>
                    <w:rPr>
                      <w:sz w:val="18"/>
                      <w:szCs w:val="18"/>
                    </w:rPr>
                    <w:t>49.43</w:t>
                  </w:r>
                </w:p>
              </w:tc>
              <w:tc>
                <w:tcPr>
                  <w:tcW w:w="576" w:type="dxa"/>
                  <w:vAlign w:val="center"/>
                </w:tcPr>
                <w:p>
                  <w:pPr>
                    <w:pStyle w:val="56"/>
                    <w:spacing w:line="240" w:lineRule="auto"/>
                    <w:ind w:firstLine="0" w:firstLineChars="0"/>
                    <w:jc w:val="center"/>
                    <w:rPr>
                      <w:sz w:val="18"/>
                      <w:szCs w:val="18"/>
                    </w:rPr>
                  </w:pPr>
                  <w:r>
                    <w:rPr>
                      <w:rFonts w:hint="eastAsia"/>
                      <w:sz w:val="18"/>
                      <w:szCs w:val="18"/>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3" w:hRule="atLeast"/>
                <w:jc w:val="center"/>
              </w:trPr>
              <w:tc>
                <w:tcPr>
                  <w:tcW w:w="425" w:type="dxa"/>
                  <w:vMerge w:val="continue"/>
                  <w:vAlign w:val="center"/>
                </w:tcPr>
                <w:p>
                  <w:pPr>
                    <w:pStyle w:val="56"/>
                    <w:spacing w:line="240" w:lineRule="auto"/>
                    <w:ind w:firstLine="0" w:firstLineChars="0"/>
                    <w:jc w:val="center"/>
                    <w:rPr>
                      <w:rFonts w:hAnsi="宋体"/>
                      <w:sz w:val="18"/>
                      <w:szCs w:val="18"/>
                    </w:rPr>
                  </w:pPr>
                </w:p>
              </w:tc>
              <w:tc>
                <w:tcPr>
                  <w:tcW w:w="438" w:type="dxa"/>
                  <w:vMerge w:val="continue"/>
                  <w:vAlign w:val="center"/>
                </w:tcPr>
                <w:p>
                  <w:pPr>
                    <w:pStyle w:val="56"/>
                    <w:spacing w:line="240" w:lineRule="auto"/>
                    <w:ind w:firstLine="360"/>
                    <w:jc w:val="center"/>
                    <w:rPr>
                      <w:sz w:val="18"/>
                      <w:szCs w:val="18"/>
                    </w:rPr>
                  </w:pPr>
                </w:p>
              </w:tc>
              <w:tc>
                <w:tcPr>
                  <w:tcW w:w="657" w:type="dxa"/>
                  <w:vMerge w:val="continue"/>
                  <w:vAlign w:val="center"/>
                </w:tcPr>
                <w:p>
                  <w:pPr>
                    <w:pStyle w:val="56"/>
                    <w:spacing w:line="240" w:lineRule="auto"/>
                    <w:ind w:firstLine="0" w:firstLineChars="0"/>
                    <w:jc w:val="center"/>
                    <w:rPr>
                      <w:sz w:val="18"/>
                      <w:szCs w:val="18"/>
                    </w:rPr>
                  </w:pPr>
                </w:p>
              </w:tc>
              <w:tc>
                <w:tcPr>
                  <w:tcW w:w="719" w:type="dxa"/>
                  <w:vMerge w:val="continue"/>
                  <w:vAlign w:val="center"/>
                </w:tcPr>
                <w:p>
                  <w:pPr>
                    <w:pStyle w:val="56"/>
                    <w:spacing w:line="240" w:lineRule="auto"/>
                    <w:ind w:firstLine="0" w:firstLineChars="0"/>
                    <w:jc w:val="center"/>
                    <w:rPr>
                      <w:sz w:val="18"/>
                      <w:szCs w:val="18"/>
                    </w:rPr>
                  </w:pPr>
                </w:p>
              </w:tc>
              <w:tc>
                <w:tcPr>
                  <w:tcW w:w="611" w:type="dxa"/>
                  <w:vMerge w:val="continue"/>
                  <w:vAlign w:val="center"/>
                </w:tcPr>
                <w:p>
                  <w:pPr>
                    <w:pStyle w:val="56"/>
                    <w:spacing w:line="240" w:lineRule="auto"/>
                    <w:ind w:firstLine="0" w:firstLineChars="0"/>
                    <w:jc w:val="center"/>
                    <w:rPr>
                      <w:sz w:val="18"/>
                      <w:szCs w:val="18"/>
                    </w:rPr>
                  </w:pPr>
                </w:p>
              </w:tc>
              <w:tc>
                <w:tcPr>
                  <w:tcW w:w="491" w:type="dxa"/>
                  <w:vMerge w:val="continue"/>
                  <w:vAlign w:val="center"/>
                </w:tcPr>
                <w:p>
                  <w:pPr>
                    <w:pStyle w:val="56"/>
                    <w:spacing w:line="240" w:lineRule="auto"/>
                    <w:ind w:firstLine="0" w:firstLineChars="0"/>
                    <w:jc w:val="center"/>
                    <w:rPr>
                      <w:sz w:val="18"/>
                      <w:szCs w:val="18"/>
                    </w:rPr>
                  </w:pPr>
                </w:p>
              </w:tc>
              <w:tc>
                <w:tcPr>
                  <w:tcW w:w="534" w:type="dxa"/>
                  <w:vMerge w:val="continue"/>
                  <w:vAlign w:val="center"/>
                </w:tcPr>
                <w:p>
                  <w:pPr>
                    <w:pStyle w:val="56"/>
                    <w:spacing w:line="240" w:lineRule="auto"/>
                    <w:ind w:firstLine="0" w:firstLineChars="0"/>
                    <w:jc w:val="center"/>
                    <w:rPr>
                      <w:sz w:val="18"/>
                      <w:szCs w:val="18"/>
                    </w:rPr>
                  </w:pPr>
                </w:p>
              </w:tc>
              <w:tc>
                <w:tcPr>
                  <w:tcW w:w="536" w:type="dxa"/>
                  <w:vMerge w:val="continue"/>
                  <w:vAlign w:val="center"/>
                </w:tcPr>
                <w:p>
                  <w:pPr>
                    <w:pStyle w:val="56"/>
                    <w:spacing w:line="240" w:lineRule="auto"/>
                    <w:ind w:firstLine="0" w:firstLineChars="0"/>
                    <w:jc w:val="center"/>
                    <w:rPr>
                      <w:sz w:val="18"/>
                      <w:szCs w:val="18"/>
                    </w:rPr>
                  </w:pPr>
                </w:p>
              </w:tc>
              <w:tc>
                <w:tcPr>
                  <w:tcW w:w="419" w:type="dxa"/>
                  <w:vAlign w:val="center"/>
                </w:tcPr>
                <w:p>
                  <w:pPr>
                    <w:pStyle w:val="56"/>
                    <w:spacing w:line="240" w:lineRule="auto"/>
                    <w:ind w:firstLine="0" w:firstLineChars="0"/>
                    <w:jc w:val="center"/>
                    <w:rPr>
                      <w:sz w:val="18"/>
                      <w:szCs w:val="18"/>
                    </w:rPr>
                  </w:pPr>
                  <w:r>
                    <w:rPr>
                      <w:rFonts w:hint="eastAsia"/>
                      <w:sz w:val="18"/>
                      <w:szCs w:val="18"/>
                    </w:rPr>
                    <w:t>北</w:t>
                  </w:r>
                </w:p>
              </w:tc>
              <w:tc>
                <w:tcPr>
                  <w:tcW w:w="544" w:type="dxa"/>
                  <w:vAlign w:val="center"/>
                </w:tcPr>
                <w:p>
                  <w:pPr>
                    <w:pStyle w:val="56"/>
                    <w:spacing w:line="240" w:lineRule="auto"/>
                    <w:ind w:firstLine="0" w:firstLineChars="0"/>
                    <w:jc w:val="center"/>
                    <w:rPr>
                      <w:sz w:val="18"/>
                      <w:szCs w:val="18"/>
                    </w:rPr>
                  </w:pPr>
                  <w:r>
                    <w:rPr>
                      <w:rFonts w:hint="eastAsia"/>
                      <w:sz w:val="18"/>
                      <w:szCs w:val="18"/>
                    </w:rPr>
                    <w:t>21</w:t>
                  </w:r>
                </w:p>
              </w:tc>
              <w:tc>
                <w:tcPr>
                  <w:tcW w:w="721" w:type="dxa"/>
                  <w:vAlign w:val="center"/>
                </w:tcPr>
                <w:p>
                  <w:pPr>
                    <w:pStyle w:val="56"/>
                    <w:spacing w:line="240" w:lineRule="auto"/>
                    <w:ind w:firstLine="0" w:firstLineChars="0"/>
                    <w:jc w:val="center"/>
                    <w:rPr>
                      <w:sz w:val="18"/>
                      <w:szCs w:val="18"/>
                    </w:rPr>
                  </w:pPr>
                  <w:r>
                    <w:rPr>
                      <w:sz w:val="18"/>
                      <w:szCs w:val="18"/>
                    </w:rPr>
                    <w:t>48.55</w:t>
                  </w:r>
                </w:p>
              </w:tc>
              <w:tc>
                <w:tcPr>
                  <w:tcW w:w="669" w:type="dxa"/>
                  <w:vMerge w:val="continue"/>
                  <w:vAlign w:val="center"/>
                </w:tcPr>
                <w:p>
                  <w:pPr>
                    <w:pStyle w:val="56"/>
                    <w:spacing w:line="240" w:lineRule="auto"/>
                    <w:ind w:firstLine="0" w:firstLineChars="0"/>
                    <w:jc w:val="center"/>
                    <w:rPr>
                      <w:rFonts w:hAnsi="宋体"/>
                      <w:sz w:val="18"/>
                      <w:szCs w:val="18"/>
                    </w:rPr>
                  </w:pPr>
                </w:p>
              </w:tc>
              <w:tc>
                <w:tcPr>
                  <w:tcW w:w="721" w:type="dxa"/>
                  <w:vMerge w:val="continue"/>
                  <w:vAlign w:val="center"/>
                </w:tcPr>
                <w:p>
                  <w:pPr>
                    <w:pStyle w:val="56"/>
                    <w:spacing w:line="240" w:lineRule="auto"/>
                    <w:ind w:firstLine="0" w:firstLineChars="0"/>
                    <w:jc w:val="center"/>
                    <w:rPr>
                      <w:rFonts w:hAnsi="宋体"/>
                      <w:sz w:val="18"/>
                      <w:szCs w:val="18"/>
                    </w:rPr>
                  </w:pPr>
                </w:p>
              </w:tc>
              <w:tc>
                <w:tcPr>
                  <w:tcW w:w="721" w:type="dxa"/>
                  <w:vAlign w:val="center"/>
                </w:tcPr>
                <w:p>
                  <w:pPr>
                    <w:pStyle w:val="56"/>
                    <w:spacing w:line="240" w:lineRule="auto"/>
                    <w:ind w:firstLine="0" w:firstLineChars="0"/>
                    <w:jc w:val="center"/>
                    <w:rPr>
                      <w:sz w:val="18"/>
                      <w:szCs w:val="18"/>
                    </w:rPr>
                  </w:pPr>
                  <w:r>
                    <w:rPr>
                      <w:rFonts w:hint="eastAsia"/>
                      <w:sz w:val="18"/>
                      <w:szCs w:val="18"/>
                    </w:rPr>
                    <w:t>38.55</w:t>
                  </w:r>
                </w:p>
              </w:tc>
              <w:tc>
                <w:tcPr>
                  <w:tcW w:w="576" w:type="dxa"/>
                  <w:vAlign w:val="center"/>
                </w:tcPr>
                <w:p>
                  <w:pPr>
                    <w:pStyle w:val="56"/>
                    <w:spacing w:line="240" w:lineRule="auto"/>
                    <w:ind w:firstLine="0" w:firstLineChars="0"/>
                    <w:jc w:val="center"/>
                    <w:rPr>
                      <w:sz w:val="18"/>
                      <w:szCs w:val="18"/>
                    </w:rPr>
                  </w:pPr>
                  <w:r>
                    <w:rPr>
                      <w:rFonts w:hint="eastAsia"/>
                      <w:sz w:val="18"/>
                      <w:szCs w:val="18"/>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 w:hRule="atLeast"/>
                <w:jc w:val="center"/>
              </w:trPr>
              <w:tc>
                <w:tcPr>
                  <w:tcW w:w="425" w:type="dxa"/>
                  <w:vMerge w:val="restart"/>
                  <w:vAlign w:val="center"/>
                </w:tcPr>
                <w:p>
                  <w:pPr>
                    <w:pStyle w:val="56"/>
                    <w:spacing w:line="240" w:lineRule="auto"/>
                    <w:ind w:firstLine="0" w:firstLineChars="0"/>
                    <w:jc w:val="center"/>
                    <w:rPr>
                      <w:rFonts w:hAnsi="宋体"/>
                      <w:sz w:val="18"/>
                      <w:szCs w:val="18"/>
                    </w:rPr>
                  </w:pPr>
                  <w:r>
                    <w:rPr>
                      <w:rFonts w:hint="eastAsia" w:hAnsi="宋体"/>
                      <w:sz w:val="18"/>
                      <w:szCs w:val="18"/>
                    </w:rPr>
                    <w:t>2</w:t>
                  </w:r>
                </w:p>
              </w:tc>
              <w:tc>
                <w:tcPr>
                  <w:tcW w:w="438" w:type="dxa"/>
                  <w:vMerge w:val="continue"/>
                  <w:vAlign w:val="center"/>
                </w:tcPr>
                <w:p>
                  <w:pPr>
                    <w:pStyle w:val="56"/>
                    <w:spacing w:line="240" w:lineRule="auto"/>
                    <w:ind w:firstLine="0" w:firstLineChars="0"/>
                    <w:jc w:val="center"/>
                    <w:rPr>
                      <w:sz w:val="18"/>
                      <w:szCs w:val="18"/>
                    </w:rPr>
                  </w:pPr>
                </w:p>
              </w:tc>
              <w:tc>
                <w:tcPr>
                  <w:tcW w:w="657" w:type="dxa"/>
                  <w:vMerge w:val="restart"/>
                  <w:vAlign w:val="center"/>
                </w:tcPr>
                <w:p>
                  <w:pPr>
                    <w:pStyle w:val="56"/>
                    <w:spacing w:line="240" w:lineRule="auto"/>
                    <w:ind w:firstLine="0" w:firstLineChars="0"/>
                    <w:jc w:val="center"/>
                    <w:rPr>
                      <w:sz w:val="18"/>
                      <w:szCs w:val="18"/>
                    </w:rPr>
                  </w:pPr>
                  <w:r>
                    <w:rPr>
                      <w:rFonts w:hint="eastAsia"/>
                      <w:sz w:val="18"/>
                      <w:szCs w:val="18"/>
                    </w:rPr>
                    <w:t>低速</w:t>
                  </w:r>
                  <w:r>
                    <w:rPr>
                      <w:sz w:val="18"/>
                      <w:szCs w:val="18"/>
                    </w:rPr>
                    <w:t>搅拌机</w:t>
                  </w:r>
                </w:p>
              </w:tc>
              <w:tc>
                <w:tcPr>
                  <w:tcW w:w="719" w:type="dxa"/>
                  <w:vMerge w:val="restart"/>
                  <w:vAlign w:val="center"/>
                </w:tcPr>
                <w:p>
                  <w:pPr>
                    <w:pStyle w:val="56"/>
                    <w:spacing w:line="240" w:lineRule="auto"/>
                    <w:ind w:firstLine="0" w:firstLineChars="0"/>
                    <w:jc w:val="center"/>
                    <w:rPr>
                      <w:sz w:val="18"/>
                      <w:szCs w:val="18"/>
                    </w:rPr>
                  </w:pPr>
                  <w:r>
                    <w:rPr>
                      <w:rFonts w:hint="eastAsia"/>
                      <w:sz w:val="18"/>
                      <w:szCs w:val="18"/>
                    </w:rPr>
                    <w:t>75</w:t>
                  </w:r>
                </w:p>
              </w:tc>
              <w:tc>
                <w:tcPr>
                  <w:tcW w:w="611" w:type="dxa"/>
                  <w:vMerge w:val="continue"/>
                  <w:vAlign w:val="center"/>
                </w:tcPr>
                <w:p>
                  <w:pPr>
                    <w:pStyle w:val="56"/>
                    <w:spacing w:line="240" w:lineRule="auto"/>
                    <w:ind w:firstLine="0" w:firstLineChars="0"/>
                    <w:jc w:val="center"/>
                    <w:rPr>
                      <w:sz w:val="18"/>
                      <w:szCs w:val="18"/>
                    </w:rPr>
                  </w:pPr>
                </w:p>
              </w:tc>
              <w:tc>
                <w:tcPr>
                  <w:tcW w:w="491" w:type="dxa"/>
                  <w:vMerge w:val="restart"/>
                  <w:vAlign w:val="center"/>
                </w:tcPr>
                <w:p>
                  <w:pPr>
                    <w:pStyle w:val="56"/>
                    <w:spacing w:line="240" w:lineRule="auto"/>
                    <w:ind w:firstLine="0" w:firstLineChars="0"/>
                    <w:jc w:val="center"/>
                    <w:rPr>
                      <w:sz w:val="18"/>
                      <w:szCs w:val="18"/>
                    </w:rPr>
                  </w:pPr>
                  <w:r>
                    <w:rPr>
                      <w:rFonts w:hint="eastAsia"/>
                      <w:sz w:val="18"/>
                      <w:szCs w:val="18"/>
                    </w:rPr>
                    <w:t>-20</w:t>
                  </w:r>
                </w:p>
              </w:tc>
              <w:tc>
                <w:tcPr>
                  <w:tcW w:w="534" w:type="dxa"/>
                  <w:vMerge w:val="restart"/>
                  <w:vAlign w:val="center"/>
                </w:tcPr>
                <w:p>
                  <w:pPr>
                    <w:pStyle w:val="56"/>
                    <w:spacing w:line="240" w:lineRule="auto"/>
                    <w:ind w:firstLine="0" w:firstLineChars="0"/>
                    <w:jc w:val="center"/>
                    <w:rPr>
                      <w:sz w:val="18"/>
                      <w:szCs w:val="18"/>
                    </w:rPr>
                  </w:pPr>
                  <w:r>
                    <w:rPr>
                      <w:rFonts w:hint="eastAsia"/>
                      <w:sz w:val="18"/>
                      <w:szCs w:val="18"/>
                    </w:rPr>
                    <w:t>0</w:t>
                  </w:r>
                </w:p>
              </w:tc>
              <w:tc>
                <w:tcPr>
                  <w:tcW w:w="536" w:type="dxa"/>
                  <w:vMerge w:val="restart"/>
                  <w:vAlign w:val="center"/>
                </w:tcPr>
                <w:p>
                  <w:pPr>
                    <w:pStyle w:val="56"/>
                    <w:spacing w:line="240" w:lineRule="auto"/>
                    <w:ind w:firstLine="0" w:firstLineChars="0"/>
                    <w:jc w:val="center"/>
                    <w:rPr>
                      <w:sz w:val="18"/>
                      <w:szCs w:val="18"/>
                    </w:rPr>
                  </w:pPr>
                  <w:r>
                    <w:rPr>
                      <w:rFonts w:hint="eastAsia"/>
                      <w:sz w:val="18"/>
                      <w:szCs w:val="18"/>
                    </w:rPr>
                    <w:t>0.5</w:t>
                  </w:r>
                </w:p>
              </w:tc>
              <w:tc>
                <w:tcPr>
                  <w:tcW w:w="419" w:type="dxa"/>
                  <w:vAlign w:val="center"/>
                </w:tcPr>
                <w:p>
                  <w:pPr>
                    <w:pStyle w:val="56"/>
                    <w:spacing w:line="240" w:lineRule="auto"/>
                    <w:ind w:firstLine="0" w:firstLineChars="0"/>
                    <w:jc w:val="center"/>
                    <w:rPr>
                      <w:sz w:val="18"/>
                      <w:szCs w:val="18"/>
                    </w:rPr>
                  </w:pPr>
                  <w:r>
                    <w:rPr>
                      <w:rFonts w:hint="eastAsia"/>
                      <w:sz w:val="18"/>
                      <w:szCs w:val="18"/>
                    </w:rPr>
                    <w:t>东</w:t>
                  </w:r>
                </w:p>
              </w:tc>
              <w:tc>
                <w:tcPr>
                  <w:tcW w:w="544" w:type="dxa"/>
                  <w:vAlign w:val="center"/>
                </w:tcPr>
                <w:p>
                  <w:pPr>
                    <w:pStyle w:val="56"/>
                    <w:spacing w:line="240" w:lineRule="auto"/>
                    <w:ind w:firstLine="0" w:firstLineChars="0"/>
                    <w:jc w:val="center"/>
                    <w:rPr>
                      <w:sz w:val="18"/>
                      <w:szCs w:val="18"/>
                    </w:rPr>
                  </w:pPr>
                  <w:r>
                    <w:rPr>
                      <w:rFonts w:hint="eastAsia"/>
                      <w:sz w:val="18"/>
                      <w:szCs w:val="18"/>
                    </w:rPr>
                    <w:t>44</w:t>
                  </w:r>
                </w:p>
              </w:tc>
              <w:tc>
                <w:tcPr>
                  <w:tcW w:w="721" w:type="dxa"/>
                  <w:vAlign w:val="center"/>
                </w:tcPr>
                <w:p>
                  <w:pPr>
                    <w:pStyle w:val="56"/>
                    <w:spacing w:line="240" w:lineRule="auto"/>
                    <w:ind w:firstLine="0" w:firstLineChars="0"/>
                    <w:jc w:val="center"/>
                    <w:rPr>
                      <w:sz w:val="18"/>
                      <w:szCs w:val="18"/>
                    </w:rPr>
                  </w:pPr>
                  <w:r>
                    <w:rPr>
                      <w:rFonts w:hint="eastAsia"/>
                      <w:sz w:val="18"/>
                      <w:szCs w:val="18"/>
                    </w:rPr>
                    <w:t>42.13</w:t>
                  </w:r>
                </w:p>
              </w:tc>
              <w:tc>
                <w:tcPr>
                  <w:tcW w:w="669" w:type="dxa"/>
                  <w:vMerge w:val="restart"/>
                  <w:vAlign w:val="center"/>
                </w:tcPr>
                <w:p>
                  <w:pPr>
                    <w:pStyle w:val="56"/>
                    <w:spacing w:line="240" w:lineRule="auto"/>
                    <w:ind w:firstLine="0" w:firstLineChars="0"/>
                    <w:jc w:val="center"/>
                    <w:rPr>
                      <w:rFonts w:hAnsi="宋体"/>
                      <w:sz w:val="18"/>
                      <w:szCs w:val="18"/>
                    </w:rPr>
                  </w:pPr>
                  <w:r>
                    <w:rPr>
                      <w:sz w:val="18"/>
                      <w:szCs w:val="18"/>
                    </w:rPr>
                    <w:t>9</w:t>
                  </w:r>
                  <w:r>
                    <w:rPr>
                      <w:rFonts w:hint="eastAsia"/>
                      <w:sz w:val="18"/>
                      <w:szCs w:val="18"/>
                    </w:rPr>
                    <w:t>:00-</w:t>
                  </w:r>
                  <w:r>
                    <w:rPr>
                      <w:sz w:val="18"/>
                      <w:szCs w:val="18"/>
                    </w:rPr>
                    <w:t>18</w:t>
                  </w:r>
                  <w:r>
                    <w:rPr>
                      <w:rFonts w:hint="eastAsia"/>
                      <w:sz w:val="18"/>
                      <w:szCs w:val="18"/>
                    </w:rPr>
                    <w:t>:00</w:t>
                  </w:r>
                </w:p>
              </w:tc>
              <w:tc>
                <w:tcPr>
                  <w:tcW w:w="721" w:type="dxa"/>
                  <w:vMerge w:val="restart"/>
                  <w:vAlign w:val="center"/>
                </w:tcPr>
                <w:p>
                  <w:pPr>
                    <w:pStyle w:val="56"/>
                    <w:spacing w:line="240" w:lineRule="auto"/>
                    <w:ind w:firstLine="0" w:firstLineChars="0"/>
                    <w:jc w:val="center"/>
                    <w:rPr>
                      <w:rFonts w:hAnsi="宋体"/>
                      <w:sz w:val="18"/>
                      <w:szCs w:val="18"/>
                    </w:rPr>
                  </w:pPr>
                  <w:r>
                    <w:rPr>
                      <w:rFonts w:hAnsi="宋体"/>
                      <w:sz w:val="18"/>
                      <w:szCs w:val="18"/>
                    </w:rPr>
                    <w:t>10</w:t>
                  </w:r>
                </w:p>
              </w:tc>
              <w:tc>
                <w:tcPr>
                  <w:tcW w:w="721" w:type="dxa"/>
                  <w:vAlign w:val="center"/>
                </w:tcPr>
                <w:p>
                  <w:pPr>
                    <w:pStyle w:val="56"/>
                    <w:spacing w:line="240" w:lineRule="auto"/>
                    <w:ind w:firstLine="0" w:firstLineChars="0"/>
                    <w:jc w:val="center"/>
                    <w:rPr>
                      <w:sz w:val="18"/>
                      <w:szCs w:val="18"/>
                    </w:rPr>
                  </w:pPr>
                  <w:r>
                    <w:rPr>
                      <w:rFonts w:hint="eastAsia"/>
                      <w:sz w:val="18"/>
                      <w:szCs w:val="18"/>
                    </w:rPr>
                    <w:t>32.13</w:t>
                  </w:r>
                </w:p>
              </w:tc>
              <w:tc>
                <w:tcPr>
                  <w:tcW w:w="576" w:type="dxa"/>
                  <w:vAlign w:val="center"/>
                </w:tcPr>
                <w:p>
                  <w:pPr>
                    <w:pStyle w:val="56"/>
                    <w:spacing w:line="240" w:lineRule="auto"/>
                    <w:ind w:firstLine="0" w:firstLineChars="0"/>
                    <w:jc w:val="center"/>
                    <w:rPr>
                      <w:sz w:val="18"/>
                      <w:szCs w:val="18"/>
                    </w:rPr>
                  </w:pPr>
                  <w:r>
                    <w:rPr>
                      <w:rFonts w:hint="eastAsia"/>
                      <w:sz w:val="18"/>
                      <w:szCs w:val="18"/>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425" w:type="dxa"/>
                  <w:vMerge w:val="continue"/>
                  <w:vAlign w:val="center"/>
                </w:tcPr>
                <w:p>
                  <w:pPr>
                    <w:pStyle w:val="56"/>
                    <w:spacing w:line="240" w:lineRule="auto"/>
                    <w:ind w:firstLine="0" w:firstLineChars="0"/>
                    <w:jc w:val="center"/>
                    <w:rPr>
                      <w:rFonts w:hAnsi="宋体"/>
                      <w:sz w:val="18"/>
                      <w:szCs w:val="18"/>
                    </w:rPr>
                  </w:pPr>
                </w:p>
              </w:tc>
              <w:tc>
                <w:tcPr>
                  <w:tcW w:w="438" w:type="dxa"/>
                  <w:vMerge w:val="continue"/>
                  <w:vAlign w:val="center"/>
                </w:tcPr>
                <w:p>
                  <w:pPr>
                    <w:pStyle w:val="56"/>
                    <w:spacing w:line="240" w:lineRule="auto"/>
                    <w:ind w:firstLine="0" w:firstLineChars="0"/>
                    <w:jc w:val="center"/>
                    <w:rPr>
                      <w:sz w:val="18"/>
                      <w:szCs w:val="18"/>
                    </w:rPr>
                  </w:pPr>
                </w:p>
              </w:tc>
              <w:tc>
                <w:tcPr>
                  <w:tcW w:w="657" w:type="dxa"/>
                  <w:vMerge w:val="continue"/>
                  <w:vAlign w:val="center"/>
                </w:tcPr>
                <w:p>
                  <w:pPr>
                    <w:pStyle w:val="56"/>
                    <w:spacing w:line="240" w:lineRule="auto"/>
                    <w:ind w:firstLine="0" w:firstLineChars="0"/>
                    <w:jc w:val="center"/>
                    <w:rPr>
                      <w:sz w:val="18"/>
                      <w:szCs w:val="18"/>
                    </w:rPr>
                  </w:pPr>
                </w:p>
              </w:tc>
              <w:tc>
                <w:tcPr>
                  <w:tcW w:w="719" w:type="dxa"/>
                  <w:vMerge w:val="continue"/>
                  <w:vAlign w:val="center"/>
                </w:tcPr>
                <w:p>
                  <w:pPr>
                    <w:pStyle w:val="56"/>
                    <w:spacing w:line="240" w:lineRule="auto"/>
                    <w:ind w:firstLine="0" w:firstLineChars="0"/>
                    <w:jc w:val="center"/>
                    <w:rPr>
                      <w:sz w:val="18"/>
                      <w:szCs w:val="18"/>
                    </w:rPr>
                  </w:pPr>
                </w:p>
              </w:tc>
              <w:tc>
                <w:tcPr>
                  <w:tcW w:w="611" w:type="dxa"/>
                  <w:vMerge w:val="continue"/>
                  <w:vAlign w:val="center"/>
                </w:tcPr>
                <w:p>
                  <w:pPr>
                    <w:pStyle w:val="56"/>
                    <w:spacing w:line="240" w:lineRule="auto"/>
                    <w:ind w:firstLine="0" w:firstLineChars="0"/>
                    <w:jc w:val="center"/>
                    <w:rPr>
                      <w:sz w:val="18"/>
                      <w:szCs w:val="18"/>
                    </w:rPr>
                  </w:pPr>
                </w:p>
              </w:tc>
              <w:tc>
                <w:tcPr>
                  <w:tcW w:w="491" w:type="dxa"/>
                  <w:vMerge w:val="continue"/>
                  <w:vAlign w:val="center"/>
                </w:tcPr>
                <w:p>
                  <w:pPr>
                    <w:pStyle w:val="56"/>
                    <w:spacing w:line="240" w:lineRule="auto"/>
                    <w:ind w:firstLine="0" w:firstLineChars="0"/>
                    <w:jc w:val="center"/>
                    <w:rPr>
                      <w:sz w:val="18"/>
                      <w:szCs w:val="18"/>
                    </w:rPr>
                  </w:pPr>
                </w:p>
              </w:tc>
              <w:tc>
                <w:tcPr>
                  <w:tcW w:w="534" w:type="dxa"/>
                  <w:vMerge w:val="continue"/>
                  <w:vAlign w:val="center"/>
                </w:tcPr>
                <w:p>
                  <w:pPr>
                    <w:pStyle w:val="56"/>
                    <w:spacing w:line="240" w:lineRule="auto"/>
                    <w:ind w:firstLine="0" w:firstLineChars="0"/>
                    <w:jc w:val="center"/>
                    <w:rPr>
                      <w:sz w:val="18"/>
                      <w:szCs w:val="18"/>
                    </w:rPr>
                  </w:pPr>
                </w:p>
              </w:tc>
              <w:tc>
                <w:tcPr>
                  <w:tcW w:w="536" w:type="dxa"/>
                  <w:vMerge w:val="continue"/>
                  <w:vAlign w:val="center"/>
                </w:tcPr>
                <w:p>
                  <w:pPr>
                    <w:pStyle w:val="56"/>
                    <w:spacing w:line="240" w:lineRule="auto"/>
                    <w:ind w:firstLine="0" w:firstLineChars="0"/>
                    <w:jc w:val="center"/>
                    <w:rPr>
                      <w:sz w:val="18"/>
                      <w:szCs w:val="18"/>
                    </w:rPr>
                  </w:pPr>
                </w:p>
              </w:tc>
              <w:tc>
                <w:tcPr>
                  <w:tcW w:w="419" w:type="dxa"/>
                  <w:vAlign w:val="center"/>
                </w:tcPr>
                <w:p>
                  <w:pPr>
                    <w:pStyle w:val="56"/>
                    <w:spacing w:line="240" w:lineRule="auto"/>
                    <w:ind w:firstLine="0" w:firstLineChars="0"/>
                    <w:jc w:val="center"/>
                    <w:rPr>
                      <w:sz w:val="18"/>
                      <w:szCs w:val="18"/>
                    </w:rPr>
                  </w:pPr>
                  <w:r>
                    <w:rPr>
                      <w:rFonts w:hint="eastAsia"/>
                      <w:sz w:val="18"/>
                      <w:szCs w:val="18"/>
                    </w:rPr>
                    <w:t>南</w:t>
                  </w:r>
                </w:p>
              </w:tc>
              <w:tc>
                <w:tcPr>
                  <w:tcW w:w="544" w:type="dxa"/>
                  <w:vAlign w:val="center"/>
                </w:tcPr>
                <w:p>
                  <w:pPr>
                    <w:pStyle w:val="56"/>
                    <w:spacing w:line="240" w:lineRule="auto"/>
                    <w:ind w:firstLine="0" w:firstLineChars="0"/>
                    <w:jc w:val="center"/>
                    <w:rPr>
                      <w:sz w:val="18"/>
                      <w:szCs w:val="18"/>
                    </w:rPr>
                  </w:pPr>
                  <w:r>
                    <w:rPr>
                      <w:rFonts w:hint="eastAsia"/>
                      <w:sz w:val="18"/>
                      <w:szCs w:val="18"/>
                    </w:rPr>
                    <w:t>2</w:t>
                  </w:r>
                  <w:r>
                    <w:rPr>
                      <w:sz w:val="18"/>
                      <w:szCs w:val="18"/>
                    </w:rPr>
                    <w:t>5</w:t>
                  </w:r>
                </w:p>
              </w:tc>
              <w:tc>
                <w:tcPr>
                  <w:tcW w:w="721" w:type="dxa"/>
                  <w:vAlign w:val="center"/>
                </w:tcPr>
                <w:p>
                  <w:pPr>
                    <w:pStyle w:val="56"/>
                    <w:spacing w:line="240" w:lineRule="auto"/>
                    <w:ind w:firstLine="0" w:firstLineChars="0"/>
                    <w:jc w:val="center"/>
                    <w:rPr>
                      <w:sz w:val="18"/>
                      <w:szCs w:val="18"/>
                    </w:rPr>
                  </w:pPr>
                  <w:r>
                    <w:rPr>
                      <w:sz w:val="18"/>
                      <w:szCs w:val="18"/>
                    </w:rPr>
                    <w:t>47.04</w:t>
                  </w:r>
                </w:p>
              </w:tc>
              <w:tc>
                <w:tcPr>
                  <w:tcW w:w="669" w:type="dxa"/>
                  <w:vMerge w:val="continue"/>
                  <w:vAlign w:val="center"/>
                </w:tcPr>
                <w:p>
                  <w:pPr>
                    <w:pStyle w:val="56"/>
                    <w:spacing w:line="240" w:lineRule="auto"/>
                    <w:ind w:firstLine="0" w:firstLineChars="0"/>
                    <w:jc w:val="center"/>
                    <w:rPr>
                      <w:rFonts w:hAnsi="宋体"/>
                      <w:sz w:val="18"/>
                      <w:szCs w:val="18"/>
                    </w:rPr>
                  </w:pPr>
                </w:p>
              </w:tc>
              <w:tc>
                <w:tcPr>
                  <w:tcW w:w="721" w:type="dxa"/>
                  <w:vMerge w:val="continue"/>
                  <w:vAlign w:val="center"/>
                </w:tcPr>
                <w:p>
                  <w:pPr>
                    <w:pStyle w:val="56"/>
                    <w:spacing w:line="240" w:lineRule="auto"/>
                    <w:ind w:firstLine="0" w:firstLineChars="0"/>
                    <w:jc w:val="center"/>
                    <w:rPr>
                      <w:rFonts w:hAnsi="宋体"/>
                      <w:sz w:val="18"/>
                      <w:szCs w:val="18"/>
                    </w:rPr>
                  </w:pPr>
                </w:p>
              </w:tc>
              <w:tc>
                <w:tcPr>
                  <w:tcW w:w="721" w:type="dxa"/>
                  <w:vAlign w:val="center"/>
                </w:tcPr>
                <w:p>
                  <w:pPr>
                    <w:pStyle w:val="56"/>
                    <w:spacing w:line="240" w:lineRule="auto"/>
                    <w:ind w:firstLine="0" w:firstLineChars="0"/>
                    <w:jc w:val="center"/>
                    <w:rPr>
                      <w:sz w:val="18"/>
                      <w:szCs w:val="18"/>
                    </w:rPr>
                  </w:pPr>
                  <w:r>
                    <w:rPr>
                      <w:rFonts w:hint="eastAsia"/>
                      <w:sz w:val="18"/>
                      <w:szCs w:val="18"/>
                    </w:rPr>
                    <w:t>37.04</w:t>
                  </w:r>
                </w:p>
              </w:tc>
              <w:tc>
                <w:tcPr>
                  <w:tcW w:w="576" w:type="dxa"/>
                  <w:vAlign w:val="center"/>
                </w:tcPr>
                <w:p>
                  <w:pPr>
                    <w:pStyle w:val="56"/>
                    <w:spacing w:line="240" w:lineRule="auto"/>
                    <w:ind w:firstLine="0" w:firstLineChars="0"/>
                    <w:jc w:val="center"/>
                    <w:rPr>
                      <w:sz w:val="18"/>
                      <w:szCs w:val="18"/>
                    </w:rPr>
                  </w:pPr>
                  <w:r>
                    <w:rPr>
                      <w:rFonts w:hint="eastAsia"/>
                      <w:sz w:val="18"/>
                      <w:szCs w:val="18"/>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 w:hRule="atLeast"/>
                <w:jc w:val="center"/>
              </w:trPr>
              <w:tc>
                <w:tcPr>
                  <w:tcW w:w="425" w:type="dxa"/>
                  <w:vMerge w:val="continue"/>
                  <w:vAlign w:val="center"/>
                </w:tcPr>
                <w:p>
                  <w:pPr>
                    <w:pStyle w:val="56"/>
                    <w:spacing w:line="240" w:lineRule="auto"/>
                    <w:ind w:firstLine="0" w:firstLineChars="0"/>
                    <w:jc w:val="center"/>
                    <w:rPr>
                      <w:rFonts w:hAnsi="宋体"/>
                      <w:sz w:val="18"/>
                      <w:szCs w:val="18"/>
                    </w:rPr>
                  </w:pPr>
                </w:p>
              </w:tc>
              <w:tc>
                <w:tcPr>
                  <w:tcW w:w="438" w:type="dxa"/>
                  <w:vMerge w:val="continue"/>
                  <w:vAlign w:val="center"/>
                </w:tcPr>
                <w:p>
                  <w:pPr>
                    <w:pStyle w:val="56"/>
                    <w:spacing w:line="240" w:lineRule="auto"/>
                    <w:ind w:firstLine="0" w:firstLineChars="0"/>
                    <w:jc w:val="center"/>
                    <w:rPr>
                      <w:sz w:val="18"/>
                      <w:szCs w:val="18"/>
                    </w:rPr>
                  </w:pPr>
                </w:p>
              </w:tc>
              <w:tc>
                <w:tcPr>
                  <w:tcW w:w="657" w:type="dxa"/>
                  <w:vMerge w:val="continue"/>
                  <w:vAlign w:val="center"/>
                </w:tcPr>
                <w:p>
                  <w:pPr>
                    <w:pStyle w:val="56"/>
                    <w:spacing w:line="240" w:lineRule="auto"/>
                    <w:ind w:firstLine="0" w:firstLineChars="0"/>
                    <w:jc w:val="center"/>
                    <w:rPr>
                      <w:sz w:val="18"/>
                      <w:szCs w:val="18"/>
                    </w:rPr>
                  </w:pPr>
                </w:p>
              </w:tc>
              <w:tc>
                <w:tcPr>
                  <w:tcW w:w="719" w:type="dxa"/>
                  <w:vMerge w:val="continue"/>
                  <w:vAlign w:val="center"/>
                </w:tcPr>
                <w:p>
                  <w:pPr>
                    <w:pStyle w:val="56"/>
                    <w:spacing w:line="240" w:lineRule="auto"/>
                    <w:ind w:firstLine="0" w:firstLineChars="0"/>
                    <w:jc w:val="center"/>
                    <w:rPr>
                      <w:sz w:val="18"/>
                      <w:szCs w:val="18"/>
                    </w:rPr>
                  </w:pPr>
                </w:p>
              </w:tc>
              <w:tc>
                <w:tcPr>
                  <w:tcW w:w="611" w:type="dxa"/>
                  <w:vMerge w:val="continue"/>
                  <w:vAlign w:val="center"/>
                </w:tcPr>
                <w:p>
                  <w:pPr>
                    <w:pStyle w:val="56"/>
                    <w:spacing w:line="240" w:lineRule="auto"/>
                    <w:ind w:firstLine="0" w:firstLineChars="0"/>
                    <w:jc w:val="center"/>
                    <w:rPr>
                      <w:sz w:val="18"/>
                      <w:szCs w:val="18"/>
                    </w:rPr>
                  </w:pPr>
                </w:p>
              </w:tc>
              <w:tc>
                <w:tcPr>
                  <w:tcW w:w="491" w:type="dxa"/>
                  <w:vMerge w:val="continue"/>
                  <w:vAlign w:val="center"/>
                </w:tcPr>
                <w:p>
                  <w:pPr>
                    <w:pStyle w:val="56"/>
                    <w:spacing w:line="240" w:lineRule="auto"/>
                    <w:ind w:firstLine="0" w:firstLineChars="0"/>
                    <w:jc w:val="center"/>
                    <w:rPr>
                      <w:sz w:val="18"/>
                      <w:szCs w:val="18"/>
                    </w:rPr>
                  </w:pPr>
                </w:p>
              </w:tc>
              <w:tc>
                <w:tcPr>
                  <w:tcW w:w="534" w:type="dxa"/>
                  <w:vMerge w:val="continue"/>
                  <w:vAlign w:val="center"/>
                </w:tcPr>
                <w:p>
                  <w:pPr>
                    <w:pStyle w:val="56"/>
                    <w:spacing w:line="240" w:lineRule="auto"/>
                    <w:ind w:firstLine="0" w:firstLineChars="0"/>
                    <w:jc w:val="center"/>
                    <w:rPr>
                      <w:sz w:val="18"/>
                      <w:szCs w:val="18"/>
                    </w:rPr>
                  </w:pPr>
                </w:p>
              </w:tc>
              <w:tc>
                <w:tcPr>
                  <w:tcW w:w="536" w:type="dxa"/>
                  <w:vMerge w:val="continue"/>
                  <w:vAlign w:val="center"/>
                </w:tcPr>
                <w:p>
                  <w:pPr>
                    <w:pStyle w:val="56"/>
                    <w:spacing w:line="240" w:lineRule="auto"/>
                    <w:ind w:firstLine="0" w:firstLineChars="0"/>
                    <w:jc w:val="center"/>
                    <w:rPr>
                      <w:sz w:val="18"/>
                      <w:szCs w:val="18"/>
                    </w:rPr>
                  </w:pPr>
                </w:p>
              </w:tc>
              <w:tc>
                <w:tcPr>
                  <w:tcW w:w="419" w:type="dxa"/>
                  <w:vAlign w:val="center"/>
                </w:tcPr>
                <w:p>
                  <w:pPr>
                    <w:pStyle w:val="56"/>
                    <w:spacing w:line="240" w:lineRule="auto"/>
                    <w:ind w:firstLine="0" w:firstLineChars="0"/>
                    <w:jc w:val="center"/>
                    <w:rPr>
                      <w:sz w:val="18"/>
                      <w:szCs w:val="18"/>
                    </w:rPr>
                  </w:pPr>
                  <w:r>
                    <w:rPr>
                      <w:rFonts w:hint="eastAsia"/>
                      <w:sz w:val="18"/>
                      <w:szCs w:val="18"/>
                    </w:rPr>
                    <w:t>西</w:t>
                  </w:r>
                </w:p>
              </w:tc>
              <w:tc>
                <w:tcPr>
                  <w:tcW w:w="544" w:type="dxa"/>
                  <w:vAlign w:val="center"/>
                </w:tcPr>
                <w:p>
                  <w:pPr>
                    <w:pStyle w:val="56"/>
                    <w:spacing w:line="240" w:lineRule="auto"/>
                    <w:ind w:firstLine="0" w:firstLineChars="0"/>
                    <w:jc w:val="center"/>
                    <w:rPr>
                      <w:sz w:val="18"/>
                      <w:szCs w:val="18"/>
                    </w:rPr>
                  </w:pPr>
                  <w:r>
                    <w:rPr>
                      <w:sz w:val="18"/>
                      <w:szCs w:val="18"/>
                    </w:rPr>
                    <w:t>6</w:t>
                  </w:r>
                </w:p>
              </w:tc>
              <w:tc>
                <w:tcPr>
                  <w:tcW w:w="721" w:type="dxa"/>
                  <w:vAlign w:val="center"/>
                </w:tcPr>
                <w:p>
                  <w:pPr>
                    <w:pStyle w:val="56"/>
                    <w:spacing w:line="240" w:lineRule="auto"/>
                    <w:ind w:firstLine="0" w:firstLineChars="0"/>
                    <w:jc w:val="center"/>
                    <w:rPr>
                      <w:sz w:val="18"/>
                      <w:szCs w:val="18"/>
                    </w:rPr>
                  </w:pPr>
                  <w:r>
                    <w:rPr>
                      <w:sz w:val="18"/>
                      <w:szCs w:val="18"/>
                    </w:rPr>
                    <w:t>59.43</w:t>
                  </w:r>
                </w:p>
              </w:tc>
              <w:tc>
                <w:tcPr>
                  <w:tcW w:w="669" w:type="dxa"/>
                  <w:vMerge w:val="continue"/>
                  <w:vAlign w:val="center"/>
                </w:tcPr>
                <w:p>
                  <w:pPr>
                    <w:pStyle w:val="56"/>
                    <w:spacing w:line="240" w:lineRule="auto"/>
                    <w:ind w:firstLine="0" w:firstLineChars="0"/>
                    <w:jc w:val="center"/>
                    <w:rPr>
                      <w:rFonts w:hAnsi="宋体"/>
                      <w:sz w:val="18"/>
                      <w:szCs w:val="18"/>
                    </w:rPr>
                  </w:pPr>
                </w:p>
              </w:tc>
              <w:tc>
                <w:tcPr>
                  <w:tcW w:w="721" w:type="dxa"/>
                  <w:vMerge w:val="continue"/>
                  <w:vAlign w:val="center"/>
                </w:tcPr>
                <w:p>
                  <w:pPr>
                    <w:pStyle w:val="56"/>
                    <w:spacing w:line="240" w:lineRule="auto"/>
                    <w:ind w:firstLine="0" w:firstLineChars="0"/>
                    <w:jc w:val="center"/>
                    <w:rPr>
                      <w:rFonts w:hAnsi="宋体"/>
                      <w:sz w:val="18"/>
                      <w:szCs w:val="18"/>
                    </w:rPr>
                  </w:pPr>
                </w:p>
              </w:tc>
              <w:tc>
                <w:tcPr>
                  <w:tcW w:w="721" w:type="dxa"/>
                  <w:vAlign w:val="center"/>
                </w:tcPr>
                <w:p>
                  <w:pPr>
                    <w:pStyle w:val="56"/>
                    <w:spacing w:line="240" w:lineRule="auto"/>
                    <w:ind w:firstLine="0" w:firstLineChars="0"/>
                    <w:jc w:val="center"/>
                    <w:rPr>
                      <w:sz w:val="18"/>
                      <w:szCs w:val="18"/>
                    </w:rPr>
                  </w:pPr>
                  <w:r>
                    <w:rPr>
                      <w:sz w:val="18"/>
                      <w:szCs w:val="18"/>
                    </w:rPr>
                    <w:t>49.43</w:t>
                  </w:r>
                </w:p>
              </w:tc>
              <w:tc>
                <w:tcPr>
                  <w:tcW w:w="576" w:type="dxa"/>
                  <w:vAlign w:val="center"/>
                </w:tcPr>
                <w:p>
                  <w:pPr>
                    <w:pStyle w:val="56"/>
                    <w:spacing w:line="240" w:lineRule="auto"/>
                    <w:ind w:firstLine="0" w:firstLineChars="0"/>
                    <w:jc w:val="center"/>
                    <w:rPr>
                      <w:sz w:val="18"/>
                      <w:szCs w:val="18"/>
                    </w:rPr>
                  </w:pPr>
                  <w:r>
                    <w:rPr>
                      <w:rFonts w:hint="eastAsia"/>
                      <w:sz w:val="18"/>
                      <w:szCs w:val="18"/>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425" w:type="dxa"/>
                  <w:vMerge w:val="continue"/>
                  <w:vAlign w:val="center"/>
                </w:tcPr>
                <w:p>
                  <w:pPr>
                    <w:pStyle w:val="56"/>
                    <w:spacing w:line="240" w:lineRule="auto"/>
                    <w:ind w:firstLine="0" w:firstLineChars="0"/>
                    <w:jc w:val="center"/>
                    <w:rPr>
                      <w:rFonts w:hAnsi="宋体"/>
                      <w:sz w:val="18"/>
                      <w:szCs w:val="18"/>
                    </w:rPr>
                  </w:pPr>
                </w:p>
              </w:tc>
              <w:tc>
                <w:tcPr>
                  <w:tcW w:w="438" w:type="dxa"/>
                  <w:vMerge w:val="continue"/>
                  <w:vAlign w:val="center"/>
                </w:tcPr>
                <w:p>
                  <w:pPr>
                    <w:pStyle w:val="56"/>
                    <w:spacing w:line="240" w:lineRule="auto"/>
                    <w:ind w:firstLine="0" w:firstLineChars="0"/>
                    <w:jc w:val="center"/>
                    <w:rPr>
                      <w:sz w:val="18"/>
                      <w:szCs w:val="18"/>
                    </w:rPr>
                  </w:pPr>
                </w:p>
              </w:tc>
              <w:tc>
                <w:tcPr>
                  <w:tcW w:w="657" w:type="dxa"/>
                  <w:vMerge w:val="continue"/>
                  <w:vAlign w:val="center"/>
                </w:tcPr>
                <w:p>
                  <w:pPr>
                    <w:pStyle w:val="56"/>
                    <w:spacing w:line="240" w:lineRule="auto"/>
                    <w:ind w:firstLine="0" w:firstLineChars="0"/>
                    <w:jc w:val="center"/>
                    <w:rPr>
                      <w:sz w:val="18"/>
                      <w:szCs w:val="18"/>
                    </w:rPr>
                  </w:pPr>
                </w:p>
              </w:tc>
              <w:tc>
                <w:tcPr>
                  <w:tcW w:w="719" w:type="dxa"/>
                  <w:vMerge w:val="continue"/>
                  <w:vAlign w:val="center"/>
                </w:tcPr>
                <w:p>
                  <w:pPr>
                    <w:pStyle w:val="56"/>
                    <w:spacing w:line="240" w:lineRule="auto"/>
                    <w:ind w:firstLine="0" w:firstLineChars="0"/>
                    <w:jc w:val="center"/>
                    <w:rPr>
                      <w:sz w:val="18"/>
                      <w:szCs w:val="18"/>
                    </w:rPr>
                  </w:pPr>
                </w:p>
              </w:tc>
              <w:tc>
                <w:tcPr>
                  <w:tcW w:w="611" w:type="dxa"/>
                  <w:vMerge w:val="continue"/>
                  <w:vAlign w:val="center"/>
                </w:tcPr>
                <w:p>
                  <w:pPr>
                    <w:pStyle w:val="56"/>
                    <w:spacing w:line="240" w:lineRule="auto"/>
                    <w:ind w:firstLine="0" w:firstLineChars="0"/>
                    <w:jc w:val="center"/>
                    <w:rPr>
                      <w:sz w:val="18"/>
                      <w:szCs w:val="18"/>
                    </w:rPr>
                  </w:pPr>
                </w:p>
              </w:tc>
              <w:tc>
                <w:tcPr>
                  <w:tcW w:w="491" w:type="dxa"/>
                  <w:vMerge w:val="continue"/>
                  <w:vAlign w:val="center"/>
                </w:tcPr>
                <w:p>
                  <w:pPr>
                    <w:pStyle w:val="56"/>
                    <w:spacing w:line="240" w:lineRule="auto"/>
                    <w:ind w:firstLine="0" w:firstLineChars="0"/>
                    <w:jc w:val="center"/>
                    <w:rPr>
                      <w:sz w:val="18"/>
                      <w:szCs w:val="18"/>
                    </w:rPr>
                  </w:pPr>
                </w:p>
              </w:tc>
              <w:tc>
                <w:tcPr>
                  <w:tcW w:w="534" w:type="dxa"/>
                  <w:vMerge w:val="continue"/>
                  <w:vAlign w:val="center"/>
                </w:tcPr>
                <w:p>
                  <w:pPr>
                    <w:pStyle w:val="56"/>
                    <w:spacing w:line="240" w:lineRule="auto"/>
                    <w:ind w:firstLine="0" w:firstLineChars="0"/>
                    <w:jc w:val="center"/>
                    <w:rPr>
                      <w:sz w:val="18"/>
                      <w:szCs w:val="18"/>
                    </w:rPr>
                  </w:pPr>
                </w:p>
              </w:tc>
              <w:tc>
                <w:tcPr>
                  <w:tcW w:w="536" w:type="dxa"/>
                  <w:vMerge w:val="continue"/>
                  <w:vAlign w:val="center"/>
                </w:tcPr>
                <w:p>
                  <w:pPr>
                    <w:pStyle w:val="56"/>
                    <w:spacing w:line="240" w:lineRule="auto"/>
                    <w:ind w:firstLine="0" w:firstLineChars="0"/>
                    <w:jc w:val="center"/>
                    <w:rPr>
                      <w:sz w:val="18"/>
                      <w:szCs w:val="18"/>
                    </w:rPr>
                  </w:pPr>
                </w:p>
              </w:tc>
              <w:tc>
                <w:tcPr>
                  <w:tcW w:w="419" w:type="dxa"/>
                  <w:vAlign w:val="center"/>
                </w:tcPr>
                <w:p>
                  <w:pPr>
                    <w:pStyle w:val="56"/>
                    <w:spacing w:line="240" w:lineRule="auto"/>
                    <w:ind w:firstLine="0" w:firstLineChars="0"/>
                    <w:jc w:val="center"/>
                    <w:rPr>
                      <w:sz w:val="18"/>
                      <w:szCs w:val="18"/>
                    </w:rPr>
                  </w:pPr>
                  <w:r>
                    <w:rPr>
                      <w:rFonts w:hint="eastAsia"/>
                      <w:sz w:val="18"/>
                      <w:szCs w:val="18"/>
                    </w:rPr>
                    <w:t>北</w:t>
                  </w:r>
                </w:p>
              </w:tc>
              <w:tc>
                <w:tcPr>
                  <w:tcW w:w="544" w:type="dxa"/>
                  <w:vAlign w:val="center"/>
                </w:tcPr>
                <w:p>
                  <w:pPr>
                    <w:pStyle w:val="56"/>
                    <w:spacing w:line="240" w:lineRule="auto"/>
                    <w:ind w:firstLine="0" w:firstLineChars="0"/>
                    <w:jc w:val="center"/>
                    <w:rPr>
                      <w:sz w:val="18"/>
                      <w:szCs w:val="18"/>
                    </w:rPr>
                  </w:pPr>
                  <w:r>
                    <w:rPr>
                      <w:rFonts w:hint="eastAsia"/>
                      <w:sz w:val="18"/>
                      <w:szCs w:val="18"/>
                    </w:rPr>
                    <w:t>17</w:t>
                  </w:r>
                </w:p>
              </w:tc>
              <w:tc>
                <w:tcPr>
                  <w:tcW w:w="721" w:type="dxa"/>
                  <w:vAlign w:val="center"/>
                </w:tcPr>
                <w:p>
                  <w:pPr>
                    <w:pStyle w:val="56"/>
                    <w:spacing w:line="240" w:lineRule="auto"/>
                    <w:ind w:firstLine="0" w:firstLineChars="0"/>
                    <w:jc w:val="center"/>
                    <w:rPr>
                      <w:sz w:val="18"/>
                      <w:szCs w:val="18"/>
                    </w:rPr>
                  </w:pPr>
                  <w:r>
                    <w:rPr>
                      <w:rFonts w:hint="eastAsia"/>
                      <w:sz w:val="18"/>
                      <w:szCs w:val="18"/>
                    </w:rPr>
                    <w:t>50.39</w:t>
                  </w:r>
                </w:p>
              </w:tc>
              <w:tc>
                <w:tcPr>
                  <w:tcW w:w="669" w:type="dxa"/>
                  <w:vMerge w:val="continue"/>
                  <w:vAlign w:val="center"/>
                </w:tcPr>
                <w:p>
                  <w:pPr>
                    <w:pStyle w:val="56"/>
                    <w:spacing w:line="240" w:lineRule="auto"/>
                    <w:ind w:firstLine="0" w:firstLineChars="0"/>
                    <w:jc w:val="center"/>
                    <w:rPr>
                      <w:rFonts w:hAnsi="宋体"/>
                      <w:sz w:val="18"/>
                      <w:szCs w:val="18"/>
                    </w:rPr>
                  </w:pPr>
                </w:p>
              </w:tc>
              <w:tc>
                <w:tcPr>
                  <w:tcW w:w="721" w:type="dxa"/>
                  <w:vMerge w:val="continue"/>
                  <w:vAlign w:val="center"/>
                </w:tcPr>
                <w:p>
                  <w:pPr>
                    <w:pStyle w:val="56"/>
                    <w:spacing w:line="240" w:lineRule="auto"/>
                    <w:ind w:firstLine="0" w:firstLineChars="0"/>
                    <w:jc w:val="center"/>
                    <w:rPr>
                      <w:rFonts w:hAnsi="宋体"/>
                      <w:sz w:val="18"/>
                      <w:szCs w:val="18"/>
                    </w:rPr>
                  </w:pPr>
                </w:p>
              </w:tc>
              <w:tc>
                <w:tcPr>
                  <w:tcW w:w="721" w:type="dxa"/>
                  <w:vAlign w:val="center"/>
                </w:tcPr>
                <w:p>
                  <w:pPr>
                    <w:pStyle w:val="56"/>
                    <w:spacing w:line="240" w:lineRule="auto"/>
                    <w:ind w:firstLine="0" w:firstLineChars="0"/>
                    <w:jc w:val="center"/>
                    <w:rPr>
                      <w:sz w:val="18"/>
                      <w:szCs w:val="18"/>
                    </w:rPr>
                  </w:pPr>
                  <w:r>
                    <w:rPr>
                      <w:rFonts w:hint="eastAsia"/>
                      <w:sz w:val="18"/>
                      <w:szCs w:val="18"/>
                    </w:rPr>
                    <w:t>40.39</w:t>
                  </w:r>
                </w:p>
              </w:tc>
              <w:tc>
                <w:tcPr>
                  <w:tcW w:w="576" w:type="dxa"/>
                  <w:vAlign w:val="center"/>
                </w:tcPr>
                <w:p>
                  <w:pPr>
                    <w:pStyle w:val="56"/>
                    <w:spacing w:line="240" w:lineRule="auto"/>
                    <w:ind w:firstLine="0" w:firstLineChars="0"/>
                    <w:jc w:val="center"/>
                    <w:rPr>
                      <w:sz w:val="18"/>
                      <w:szCs w:val="18"/>
                    </w:rPr>
                  </w:pPr>
                  <w:r>
                    <w:rPr>
                      <w:rFonts w:hint="eastAsia"/>
                      <w:sz w:val="18"/>
                      <w:szCs w:val="18"/>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7" w:hRule="atLeast"/>
                <w:jc w:val="center"/>
              </w:trPr>
              <w:tc>
                <w:tcPr>
                  <w:tcW w:w="425" w:type="dxa"/>
                  <w:vMerge w:val="restart"/>
                  <w:vAlign w:val="center"/>
                </w:tcPr>
                <w:p>
                  <w:pPr>
                    <w:pStyle w:val="56"/>
                    <w:spacing w:line="240" w:lineRule="auto"/>
                    <w:ind w:firstLine="0" w:firstLineChars="0"/>
                    <w:jc w:val="center"/>
                    <w:rPr>
                      <w:rFonts w:hAnsi="宋体"/>
                      <w:sz w:val="18"/>
                      <w:szCs w:val="18"/>
                    </w:rPr>
                  </w:pPr>
                  <w:r>
                    <w:rPr>
                      <w:rFonts w:hint="eastAsia" w:hAnsi="宋体"/>
                      <w:sz w:val="18"/>
                      <w:szCs w:val="18"/>
                    </w:rPr>
                    <w:t>3</w:t>
                  </w:r>
                </w:p>
              </w:tc>
              <w:tc>
                <w:tcPr>
                  <w:tcW w:w="438" w:type="dxa"/>
                  <w:vMerge w:val="continue"/>
                  <w:vAlign w:val="center"/>
                </w:tcPr>
                <w:p>
                  <w:pPr>
                    <w:pStyle w:val="56"/>
                    <w:spacing w:line="240" w:lineRule="auto"/>
                    <w:ind w:firstLine="0" w:firstLineChars="0"/>
                    <w:jc w:val="center"/>
                    <w:rPr>
                      <w:sz w:val="18"/>
                      <w:szCs w:val="18"/>
                    </w:rPr>
                  </w:pPr>
                </w:p>
              </w:tc>
              <w:tc>
                <w:tcPr>
                  <w:tcW w:w="657" w:type="dxa"/>
                  <w:vMerge w:val="restart"/>
                  <w:vAlign w:val="center"/>
                </w:tcPr>
                <w:p>
                  <w:pPr>
                    <w:pStyle w:val="56"/>
                    <w:spacing w:line="240" w:lineRule="auto"/>
                    <w:ind w:firstLine="0" w:firstLineChars="0"/>
                    <w:jc w:val="center"/>
                    <w:rPr>
                      <w:sz w:val="18"/>
                      <w:szCs w:val="18"/>
                    </w:rPr>
                  </w:pPr>
                  <w:r>
                    <w:rPr>
                      <w:rFonts w:hint="eastAsia"/>
                      <w:sz w:val="18"/>
                      <w:szCs w:val="18"/>
                    </w:rPr>
                    <w:t>低速</w:t>
                  </w:r>
                  <w:r>
                    <w:rPr>
                      <w:sz w:val="18"/>
                      <w:szCs w:val="18"/>
                    </w:rPr>
                    <w:t>搅拌机</w:t>
                  </w:r>
                </w:p>
              </w:tc>
              <w:tc>
                <w:tcPr>
                  <w:tcW w:w="719" w:type="dxa"/>
                  <w:vMerge w:val="restart"/>
                  <w:vAlign w:val="center"/>
                </w:tcPr>
                <w:p>
                  <w:pPr>
                    <w:pStyle w:val="56"/>
                    <w:spacing w:line="240" w:lineRule="auto"/>
                    <w:ind w:firstLine="0" w:firstLineChars="0"/>
                    <w:jc w:val="center"/>
                    <w:rPr>
                      <w:sz w:val="18"/>
                      <w:szCs w:val="18"/>
                    </w:rPr>
                  </w:pPr>
                  <w:r>
                    <w:rPr>
                      <w:rFonts w:hint="eastAsia"/>
                      <w:sz w:val="18"/>
                      <w:szCs w:val="18"/>
                    </w:rPr>
                    <w:t>75</w:t>
                  </w:r>
                </w:p>
              </w:tc>
              <w:tc>
                <w:tcPr>
                  <w:tcW w:w="611" w:type="dxa"/>
                  <w:vMerge w:val="continue"/>
                  <w:vAlign w:val="center"/>
                </w:tcPr>
                <w:p>
                  <w:pPr>
                    <w:pStyle w:val="56"/>
                    <w:spacing w:line="240" w:lineRule="auto"/>
                    <w:ind w:firstLine="0" w:firstLineChars="0"/>
                    <w:jc w:val="center"/>
                    <w:rPr>
                      <w:sz w:val="18"/>
                      <w:szCs w:val="18"/>
                    </w:rPr>
                  </w:pPr>
                </w:p>
              </w:tc>
              <w:tc>
                <w:tcPr>
                  <w:tcW w:w="491" w:type="dxa"/>
                  <w:vMerge w:val="restart"/>
                  <w:vAlign w:val="center"/>
                </w:tcPr>
                <w:p>
                  <w:pPr>
                    <w:pStyle w:val="56"/>
                    <w:spacing w:line="240" w:lineRule="auto"/>
                    <w:ind w:firstLine="0" w:firstLineChars="0"/>
                    <w:jc w:val="center"/>
                    <w:rPr>
                      <w:sz w:val="18"/>
                      <w:szCs w:val="18"/>
                    </w:rPr>
                  </w:pPr>
                  <w:r>
                    <w:rPr>
                      <w:rFonts w:hint="eastAsia"/>
                      <w:sz w:val="18"/>
                      <w:szCs w:val="18"/>
                    </w:rPr>
                    <w:t>-</w:t>
                  </w:r>
                  <w:r>
                    <w:rPr>
                      <w:sz w:val="18"/>
                      <w:szCs w:val="18"/>
                    </w:rPr>
                    <w:t>21</w:t>
                  </w:r>
                </w:p>
              </w:tc>
              <w:tc>
                <w:tcPr>
                  <w:tcW w:w="534" w:type="dxa"/>
                  <w:vMerge w:val="restart"/>
                  <w:vAlign w:val="center"/>
                </w:tcPr>
                <w:p>
                  <w:pPr>
                    <w:pStyle w:val="56"/>
                    <w:spacing w:line="240" w:lineRule="auto"/>
                    <w:ind w:firstLine="0" w:firstLineChars="0"/>
                    <w:jc w:val="center"/>
                    <w:rPr>
                      <w:sz w:val="18"/>
                      <w:szCs w:val="18"/>
                    </w:rPr>
                  </w:pPr>
                  <w:r>
                    <w:rPr>
                      <w:rFonts w:hint="eastAsia"/>
                      <w:sz w:val="18"/>
                      <w:szCs w:val="18"/>
                    </w:rPr>
                    <w:t>-5</w:t>
                  </w:r>
                </w:p>
              </w:tc>
              <w:tc>
                <w:tcPr>
                  <w:tcW w:w="536" w:type="dxa"/>
                  <w:vMerge w:val="restart"/>
                  <w:vAlign w:val="center"/>
                </w:tcPr>
                <w:p>
                  <w:pPr>
                    <w:pStyle w:val="56"/>
                    <w:spacing w:line="240" w:lineRule="auto"/>
                    <w:ind w:firstLine="0" w:firstLineChars="0"/>
                    <w:jc w:val="center"/>
                    <w:rPr>
                      <w:sz w:val="18"/>
                      <w:szCs w:val="18"/>
                    </w:rPr>
                  </w:pPr>
                  <w:r>
                    <w:rPr>
                      <w:rFonts w:hint="eastAsia"/>
                      <w:sz w:val="18"/>
                      <w:szCs w:val="18"/>
                    </w:rPr>
                    <w:t>0.5</w:t>
                  </w:r>
                </w:p>
              </w:tc>
              <w:tc>
                <w:tcPr>
                  <w:tcW w:w="419" w:type="dxa"/>
                  <w:tcBorders>
                    <w:bottom w:val="single" w:color="auto" w:sz="4" w:space="0"/>
                  </w:tcBorders>
                  <w:vAlign w:val="center"/>
                </w:tcPr>
                <w:p>
                  <w:pPr>
                    <w:pStyle w:val="56"/>
                    <w:spacing w:line="240" w:lineRule="auto"/>
                    <w:ind w:firstLine="0" w:firstLineChars="0"/>
                    <w:jc w:val="center"/>
                    <w:rPr>
                      <w:sz w:val="18"/>
                      <w:szCs w:val="18"/>
                    </w:rPr>
                  </w:pPr>
                  <w:r>
                    <w:rPr>
                      <w:rFonts w:hint="eastAsia"/>
                      <w:sz w:val="18"/>
                      <w:szCs w:val="18"/>
                    </w:rPr>
                    <w:t>东</w:t>
                  </w:r>
                </w:p>
              </w:tc>
              <w:tc>
                <w:tcPr>
                  <w:tcW w:w="544" w:type="dxa"/>
                  <w:tcBorders>
                    <w:bottom w:val="single" w:color="auto" w:sz="4" w:space="0"/>
                  </w:tcBorders>
                  <w:vAlign w:val="center"/>
                </w:tcPr>
                <w:p>
                  <w:pPr>
                    <w:pStyle w:val="56"/>
                    <w:spacing w:line="240" w:lineRule="auto"/>
                    <w:ind w:firstLine="0" w:firstLineChars="0"/>
                    <w:jc w:val="center"/>
                    <w:rPr>
                      <w:sz w:val="18"/>
                      <w:szCs w:val="18"/>
                    </w:rPr>
                  </w:pPr>
                  <w:r>
                    <w:rPr>
                      <w:rFonts w:hint="eastAsia"/>
                      <w:sz w:val="18"/>
                      <w:szCs w:val="18"/>
                    </w:rPr>
                    <w:t>44</w:t>
                  </w:r>
                </w:p>
              </w:tc>
              <w:tc>
                <w:tcPr>
                  <w:tcW w:w="721" w:type="dxa"/>
                  <w:tcBorders>
                    <w:bottom w:val="single" w:color="auto" w:sz="4" w:space="0"/>
                  </w:tcBorders>
                  <w:vAlign w:val="center"/>
                </w:tcPr>
                <w:p>
                  <w:pPr>
                    <w:pStyle w:val="56"/>
                    <w:spacing w:line="240" w:lineRule="auto"/>
                    <w:ind w:firstLine="0" w:firstLineChars="0"/>
                    <w:jc w:val="center"/>
                    <w:rPr>
                      <w:sz w:val="18"/>
                      <w:szCs w:val="18"/>
                    </w:rPr>
                  </w:pPr>
                  <w:r>
                    <w:rPr>
                      <w:rFonts w:hint="eastAsia"/>
                      <w:sz w:val="18"/>
                      <w:szCs w:val="18"/>
                    </w:rPr>
                    <w:t>42.13</w:t>
                  </w:r>
                </w:p>
              </w:tc>
              <w:tc>
                <w:tcPr>
                  <w:tcW w:w="669" w:type="dxa"/>
                  <w:vMerge w:val="restart"/>
                  <w:vAlign w:val="center"/>
                </w:tcPr>
                <w:p>
                  <w:pPr>
                    <w:pStyle w:val="56"/>
                    <w:spacing w:line="240" w:lineRule="auto"/>
                    <w:ind w:firstLine="0" w:firstLineChars="0"/>
                    <w:jc w:val="center"/>
                    <w:rPr>
                      <w:rFonts w:hAnsi="宋体"/>
                      <w:sz w:val="18"/>
                      <w:szCs w:val="18"/>
                    </w:rPr>
                  </w:pPr>
                  <w:r>
                    <w:rPr>
                      <w:sz w:val="18"/>
                      <w:szCs w:val="18"/>
                    </w:rPr>
                    <w:t>9</w:t>
                  </w:r>
                  <w:r>
                    <w:rPr>
                      <w:rFonts w:hint="eastAsia"/>
                      <w:sz w:val="18"/>
                      <w:szCs w:val="18"/>
                    </w:rPr>
                    <w:t>:00-</w:t>
                  </w:r>
                  <w:r>
                    <w:rPr>
                      <w:sz w:val="18"/>
                      <w:szCs w:val="18"/>
                    </w:rPr>
                    <w:t>18</w:t>
                  </w:r>
                  <w:r>
                    <w:rPr>
                      <w:rFonts w:hint="eastAsia"/>
                      <w:sz w:val="18"/>
                      <w:szCs w:val="18"/>
                    </w:rPr>
                    <w:t>:00</w:t>
                  </w:r>
                </w:p>
              </w:tc>
              <w:tc>
                <w:tcPr>
                  <w:tcW w:w="721" w:type="dxa"/>
                  <w:vMerge w:val="restart"/>
                  <w:vAlign w:val="center"/>
                </w:tcPr>
                <w:p>
                  <w:pPr>
                    <w:pStyle w:val="56"/>
                    <w:spacing w:line="240" w:lineRule="auto"/>
                    <w:ind w:firstLine="0" w:firstLineChars="0"/>
                    <w:jc w:val="center"/>
                    <w:rPr>
                      <w:rFonts w:hAnsi="宋体"/>
                      <w:sz w:val="18"/>
                      <w:szCs w:val="18"/>
                    </w:rPr>
                  </w:pPr>
                  <w:r>
                    <w:rPr>
                      <w:rFonts w:hint="eastAsia" w:hAnsi="宋体"/>
                      <w:sz w:val="18"/>
                      <w:szCs w:val="18"/>
                    </w:rPr>
                    <w:t>10</w:t>
                  </w:r>
                </w:p>
              </w:tc>
              <w:tc>
                <w:tcPr>
                  <w:tcW w:w="721" w:type="dxa"/>
                  <w:tcBorders>
                    <w:bottom w:val="single" w:color="auto" w:sz="4" w:space="0"/>
                  </w:tcBorders>
                  <w:vAlign w:val="center"/>
                </w:tcPr>
                <w:p>
                  <w:pPr>
                    <w:pStyle w:val="56"/>
                    <w:spacing w:line="240" w:lineRule="auto"/>
                    <w:ind w:firstLine="0" w:firstLineChars="0"/>
                    <w:jc w:val="center"/>
                    <w:rPr>
                      <w:sz w:val="18"/>
                      <w:szCs w:val="18"/>
                    </w:rPr>
                  </w:pPr>
                  <w:r>
                    <w:rPr>
                      <w:rFonts w:hint="eastAsia"/>
                      <w:sz w:val="18"/>
                      <w:szCs w:val="18"/>
                    </w:rPr>
                    <w:t>32.13</w:t>
                  </w:r>
                </w:p>
              </w:tc>
              <w:tc>
                <w:tcPr>
                  <w:tcW w:w="576" w:type="dxa"/>
                  <w:tcBorders>
                    <w:bottom w:val="single" w:color="auto" w:sz="4" w:space="0"/>
                  </w:tcBorders>
                  <w:vAlign w:val="center"/>
                </w:tcPr>
                <w:p>
                  <w:pPr>
                    <w:pStyle w:val="56"/>
                    <w:spacing w:line="240" w:lineRule="auto"/>
                    <w:ind w:firstLine="0" w:firstLineChars="0"/>
                    <w:jc w:val="center"/>
                    <w:rPr>
                      <w:sz w:val="18"/>
                      <w:szCs w:val="18"/>
                    </w:rPr>
                  </w:pPr>
                  <w:r>
                    <w:rPr>
                      <w:rFonts w:hint="eastAsia"/>
                      <w:sz w:val="18"/>
                      <w:szCs w:val="18"/>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7" w:hRule="atLeast"/>
                <w:jc w:val="center"/>
              </w:trPr>
              <w:tc>
                <w:tcPr>
                  <w:tcW w:w="425" w:type="dxa"/>
                  <w:vMerge w:val="continue"/>
                  <w:vAlign w:val="center"/>
                </w:tcPr>
                <w:p>
                  <w:pPr>
                    <w:pStyle w:val="56"/>
                    <w:spacing w:line="240" w:lineRule="auto"/>
                    <w:ind w:firstLine="0" w:firstLineChars="0"/>
                    <w:jc w:val="center"/>
                    <w:rPr>
                      <w:rFonts w:hAnsi="宋体"/>
                      <w:sz w:val="18"/>
                      <w:szCs w:val="18"/>
                    </w:rPr>
                  </w:pPr>
                </w:p>
              </w:tc>
              <w:tc>
                <w:tcPr>
                  <w:tcW w:w="438" w:type="dxa"/>
                  <w:vMerge w:val="continue"/>
                  <w:vAlign w:val="center"/>
                </w:tcPr>
                <w:p>
                  <w:pPr>
                    <w:pStyle w:val="56"/>
                    <w:spacing w:line="240" w:lineRule="auto"/>
                    <w:ind w:firstLine="0" w:firstLineChars="0"/>
                    <w:jc w:val="center"/>
                    <w:rPr>
                      <w:sz w:val="18"/>
                      <w:szCs w:val="18"/>
                    </w:rPr>
                  </w:pPr>
                </w:p>
              </w:tc>
              <w:tc>
                <w:tcPr>
                  <w:tcW w:w="657" w:type="dxa"/>
                  <w:vMerge w:val="continue"/>
                  <w:vAlign w:val="center"/>
                </w:tcPr>
                <w:p>
                  <w:pPr>
                    <w:pStyle w:val="56"/>
                    <w:spacing w:line="240" w:lineRule="auto"/>
                    <w:ind w:firstLine="0" w:firstLineChars="0"/>
                    <w:jc w:val="center"/>
                    <w:rPr>
                      <w:sz w:val="18"/>
                      <w:szCs w:val="18"/>
                    </w:rPr>
                  </w:pPr>
                </w:p>
              </w:tc>
              <w:tc>
                <w:tcPr>
                  <w:tcW w:w="719" w:type="dxa"/>
                  <w:vMerge w:val="continue"/>
                  <w:vAlign w:val="center"/>
                </w:tcPr>
                <w:p>
                  <w:pPr>
                    <w:pStyle w:val="56"/>
                    <w:spacing w:line="240" w:lineRule="auto"/>
                    <w:ind w:firstLine="0" w:firstLineChars="0"/>
                    <w:jc w:val="center"/>
                    <w:rPr>
                      <w:sz w:val="18"/>
                      <w:szCs w:val="18"/>
                    </w:rPr>
                  </w:pPr>
                </w:p>
              </w:tc>
              <w:tc>
                <w:tcPr>
                  <w:tcW w:w="611" w:type="dxa"/>
                  <w:vMerge w:val="continue"/>
                  <w:vAlign w:val="center"/>
                </w:tcPr>
                <w:p>
                  <w:pPr>
                    <w:pStyle w:val="56"/>
                    <w:spacing w:line="240" w:lineRule="auto"/>
                    <w:ind w:firstLine="0" w:firstLineChars="0"/>
                    <w:jc w:val="center"/>
                    <w:rPr>
                      <w:sz w:val="18"/>
                      <w:szCs w:val="18"/>
                    </w:rPr>
                  </w:pPr>
                </w:p>
              </w:tc>
              <w:tc>
                <w:tcPr>
                  <w:tcW w:w="491" w:type="dxa"/>
                  <w:vMerge w:val="continue"/>
                  <w:vAlign w:val="center"/>
                </w:tcPr>
                <w:p>
                  <w:pPr>
                    <w:pStyle w:val="56"/>
                    <w:spacing w:line="240" w:lineRule="auto"/>
                    <w:ind w:firstLine="0" w:firstLineChars="0"/>
                    <w:jc w:val="center"/>
                    <w:rPr>
                      <w:sz w:val="18"/>
                      <w:szCs w:val="18"/>
                    </w:rPr>
                  </w:pPr>
                </w:p>
              </w:tc>
              <w:tc>
                <w:tcPr>
                  <w:tcW w:w="534" w:type="dxa"/>
                  <w:vMerge w:val="continue"/>
                  <w:vAlign w:val="center"/>
                </w:tcPr>
                <w:p>
                  <w:pPr>
                    <w:pStyle w:val="56"/>
                    <w:spacing w:line="240" w:lineRule="auto"/>
                    <w:ind w:firstLine="0" w:firstLineChars="0"/>
                    <w:jc w:val="center"/>
                    <w:rPr>
                      <w:sz w:val="18"/>
                      <w:szCs w:val="18"/>
                    </w:rPr>
                  </w:pPr>
                </w:p>
              </w:tc>
              <w:tc>
                <w:tcPr>
                  <w:tcW w:w="536" w:type="dxa"/>
                  <w:vMerge w:val="continue"/>
                  <w:vAlign w:val="center"/>
                </w:tcPr>
                <w:p>
                  <w:pPr>
                    <w:pStyle w:val="56"/>
                    <w:spacing w:line="240" w:lineRule="auto"/>
                    <w:ind w:firstLine="0" w:firstLineChars="0"/>
                    <w:jc w:val="center"/>
                    <w:rPr>
                      <w:sz w:val="18"/>
                      <w:szCs w:val="18"/>
                    </w:rPr>
                  </w:pPr>
                </w:p>
              </w:tc>
              <w:tc>
                <w:tcPr>
                  <w:tcW w:w="419" w:type="dxa"/>
                  <w:tcBorders>
                    <w:top w:val="single" w:color="auto" w:sz="4" w:space="0"/>
                    <w:bottom w:val="single" w:color="auto" w:sz="4" w:space="0"/>
                  </w:tcBorders>
                  <w:vAlign w:val="center"/>
                </w:tcPr>
                <w:p>
                  <w:pPr>
                    <w:pStyle w:val="56"/>
                    <w:spacing w:line="240" w:lineRule="auto"/>
                    <w:ind w:firstLine="0" w:firstLineChars="0"/>
                    <w:jc w:val="center"/>
                    <w:rPr>
                      <w:sz w:val="18"/>
                      <w:szCs w:val="18"/>
                    </w:rPr>
                  </w:pPr>
                  <w:r>
                    <w:rPr>
                      <w:rFonts w:hint="eastAsia"/>
                      <w:sz w:val="18"/>
                      <w:szCs w:val="18"/>
                    </w:rPr>
                    <w:t>南</w:t>
                  </w:r>
                </w:p>
              </w:tc>
              <w:tc>
                <w:tcPr>
                  <w:tcW w:w="544" w:type="dxa"/>
                  <w:tcBorders>
                    <w:top w:val="single" w:color="auto" w:sz="4" w:space="0"/>
                    <w:bottom w:val="single" w:color="auto" w:sz="4" w:space="0"/>
                  </w:tcBorders>
                  <w:vAlign w:val="center"/>
                </w:tcPr>
                <w:p>
                  <w:pPr>
                    <w:pStyle w:val="56"/>
                    <w:spacing w:line="240" w:lineRule="auto"/>
                    <w:ind w:firstLine="0" w:firstLineChars="0"/>
                    <w:jc w:val="center"/>
                    <w:rPr>
                      <w:sz w:val="18"/>
                      <w:szCs w:val="18"/>
                    </w:rPr>
                  </w:pPr>
                  <w:r>
                    <w:rPr>
                      <w:sz w:val="18"/>
                      <w:szCs w:val="18"/>
                    </w:rPr>
                    <w:t>28</w:t>
                  </w:r>
                </w:p>
              </w:tc>
              <w:tc>
                <w:tcPr>
                  <w:tcW w:w="721" w:type="dxa"/>
                  <w:tcBorders>
                    <w:top w:val="single" w:color="auto" w:sz="4" w:space="0"/>
                    <w:bottom w:val="single" w:color="auto" w:sz="4" w:space="0"/>
                  </w:tcBorders>
                  <w:vAlign w:val="center"/>
                </w:tcPr>
                <w:p>
                  <w:pPr>
                    <w:pStyle w:val="56"/>
                    <w:spacing w:line="240" w:lineRule="auto"/>
                    <w:ind w:firstLine="0" w:firstLineChars="0"/>
                    <w:jc w:val="center"/>
                    <w:rPr>
                      <w:sz w:val="18"/>
                      <w:szCs w:val="18"/>
                    </w:rPr>
                  </w:pPr>
                  <w:r>
                    <w:rPr>
                      <w:rFonts w:hint="eastAsia"/>
                      <w:sz w:val="18"/>
                      <w:szCs w:val="18"/>
                    </w:rPr>
                    <w:t>46.05</w:t>
                  </w:r>
                </w:p>
              </w:tc>
              <w:tc>
                <w:tcPr>
                  <w:tcW w:w="669" w:type="dxa"/>
                  <w:vMerge w:val="continue"/>
                  <w:vAlign w:val="center"/>
                </w:tcPr>
                <w:p>
                  <w:pPr>
                    <w:pStyle w:val="56"/>
                    <w:spacing w:line="240" w:lineRule="auto"/>
                    <w:ind w:firstLine="0" w:firstLineChars="0"/>
                    <w:jc w:val="center"/>
                    <w:rPr>
                      <w:rFonts w:hAnsi="宋体"/>
                      <w:sz w:val="18"/>
                      <w:szCs w:val="18"/>
                    </w:rPr>
                  </w:pPr>
                </w:p>
              </w:tc>
              <w:tc>
                <w:tcPr>
                  <w:tcW w:w="721" w:type="dxa"/>
                  <w:vMerge w:val="continue"/>
                  <w:vAlign w:val="center"/>
                </w:tcPr>
                <w:p>
                  <w:pPr>
                    <w:pStyle w:val="56"/>
                    <w:spacing w:line="240" w:lineRule="auto"/>
                    <w:ind w:firstLine="0" w:firstLineChars="0"/>
                    <w:jc w:val="center"/>
                    <w:rPr>
                      <w:rFonts w:hAnsi="宋体"/>
                      <w:sz w:val="18"/>
                      <w:szCs w:val="18"/>
                    </w:rPr>
                  </w:pPr>
                </w:p>
              </w:tc>
              <w:tc>
                <w:tcPr>
                  <w:tcW w:w="721" w:type="dxa"/>
                  <w:tcBorders>
                    <w:top w:val="single" w:color="auto" w:sz="4" w:space="0"/>
                    <w:bottom w:val="single" w:color="auto" w:sz="4" w:space="0"/>
                  </w:tcBorders>
                  <w:vAlign w:val="center"/>
                </w:tcPr>
                <w:p>
                  <w:pPr>
                    <w:pStyle w:val="56"/>
                    <w:spacing w:line="240" w:lineRule="auto"/>
                    <w:ind w:firstLine="0" w:firstLineChars="0"/>
                    <w:jc w:val="center"/>
                    <w:rPr>
                      <w:sz w:val="18"/>
                      <w:szCs w:val="18"/>
                    </w:rPr>
                  </w:pPr>
                  <w:r>
                    <w:rPr>
                      <w:rFonts w:hint="eastAsia"/>
                      <w:sz w:val="18"/>
                      <w:szCs w:val="18"/>
                    </w:rPr>
                    <w:t>36.05</w:t>
                  </w:r>
                </w:p>
              </w:tc>
              <w:tc>
                <w:tcPr>
                  <w:tcW w:w="576" w:type="dxa"/>
                  <w:tcBorders>
                    <w:top w:val="single" w:color="auto" w:sz="4" w:space="0"/>
                    <w:bottom w:val="single" w:color="auto" w:sz="4" w:space="0"/>
                  </w:tcBorders>
                  <w:vAlign w:val="center"/>
                </w:tcPr>
                <w:p>
                  <w:pPr>
                    <w:pStyle w:val="56"/>
                    <w:spacing w:line="240" w:lineRule="auto"/>
                    <w:ind w:firstLine="0" w:firstLineChars="0"/>
                    <w:jc w:val="center"/>
                    <w:rPr>
                      <w:sz w:val="18"/>
                      <w:szCs w:val="18"/>
                    </w:rPr>
                  </w:pPr>
                  <w:r>
                    <w:rPr>
                      <w:rFonts w:hint="eastAsia"/>
                      <w:sz w:val="18"/>
                      <w:szCs w:val="18"/>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2" w:hRule="atLeast"/>
                <w:jc w:val="center"/>
              </w:trPr>
              <w:tc>
                <w:tcPr>
                  <w:tcW w:w="425" w:type="dxa"/>
                  <w:vMerge w:val="continue"/>
                  <w:vAlign w:val="center"/>
                </w:tcPr>
                <w:p>
                  <w:pPr>
                    <w:pStyle w:val="56"/>
                    <w:spacing w:line="240" w:lineRule="auto"/>
                    <w:ind w:firstLine="0" w:firstLineChars="0"/>
                    <w:jc w:val="center"/>
                    <w:rPr>
                      <w:rFonts w:hAnsi="宋体"/>
                      <w:sz w:val="18"/>
                      <w:szCs w:val="18"/>
                    </w:rPr>
                  </w:pPr>
                </w:p>
              </w:tc>
              <w:tc>
                <w:tcPr>
                  <w:tcW w:w="438" w:type="dxa"/>
                  <w:vMerge w:val="continue"/>
                  <w:vAlign w:val="center"/>
                </w:tcPr>
                <w:p>
                  <w:pPr>
                    <w:pStyle w:val="56"/>
                    <w:spacing w:line="240" w:lineRule="auto"/>
                    <w:ind w:firstLine="0" w:firstLineChars="0"/>
                    <w:jc w:val="center"/>
                    <w:rPr>
                      <w:sz w:val="18"/>
                      <w:szCs w:val="18"/>
                    </w:rPr>
                  </w:pPr>
                </w:p>
              </w:tc>
              <w:tc>
                <w:tcPr>
                  <w:tcW w:w="657" w:type="dxa"/>
                  <w:vMerge w:val="continue"/>
                  <w:vAlign w:val="center"/>
                </w:tcPr>
                <w:p>
                  <w:pPr>
                    <w:pStyle w:val="56"/>
                    <w:spacing w:line="240" w:lineRule="auto"/>
                    <w:ind w:firstLine="0" w:firstLineChars="0"/>
                    <w:jc w:val="center"/>
                    <w:rPr>
                      <w:sz w:val="18"/>
                      <w:szCs w:val="18"/>
                    </w:rPr>
                  </w:pPr>
                </w:p>
              </w:tc>
              <w:tc>
                <w:tcPr>
                  <w:tcW w:w="719" w:type="dxa"/>
                  <w:vMerge w:val="continue"/>
                  <w:vAlign w:val="center"/>
                </w:tcPr>
                <w:p>
                  <w:pPr>
                    <w:pStyle w:val="56"/>
                    <w:spacing w:line="240" w:lineRule="auto"/>
                    <w:ind w:firstLine="0" w:firstLineChars="0"/>
                    <w:jc w:val="center"/>
                    <w:rPr>
                      <w:sz w:val="18"/>
                      <w:szCs w:val="18"/>
                    </w:rPr>
                  </w:pPr>
                </w:p>
              </w:tc>
              <w:tc>
                <w:tcPr>
                  <w:tcW w:w="611" w:type="dxa"/>
                  <w:vMerge w:val="continue"/>
                  <w:vAlign w:val="center"/>
                </w:tcPr>
                <w:p>
                  <w:pPr>
                    <w:pStyle w:val="56"/>
                    <w:spacing w:line="240" w:lineRule="auto"/>
                    <w:ind w:firstLine="0" w:firstLineChars="0"/>
                    <w:jc w:val="center"/>
                    <w:rPr>
                      <w:sz w:val="18"/>
                      <w:szCs w:val="18"/>
                    </w:rPr>
                  </w:pPr>
                </w:p>
              </w:tc>
              <w:tc>
                <w:tcPr>
                  <w:tcW w:w="491" w:type="dxa"/>
                  <w:vMerge w:val="continue"/>
                  <w:vAlign w:val="center"/>
                </w:tcPr>
                <w:p>
                  <w:pPr>
                    <w:pStyle w:val="56"/>
                    <w:spacing w:line="240" w:lineRule="auto"/>
                    <w:ind w:firstLine="0" w:firstLineChars="0"/>
                    <w:jc w:val="center"/>
                    <w:rPr>
                      <w:sz w:val="18"/>
                      <w:szCs w:val="18"/>
                    </w:rPr>
                  </w:pPr>
                </w:p>
              </w:tc>
              <w:tc>
                <w:tcPr>
                  <w:tcW w:w="534" w:type="dxa"/>
                  <w:vMerge w:val="continue"/>
                  <w:vAlign w:val="center"/>
                </w:tcPr>
                <w:p>
                  <w:pPr>
                    <w:pStyle w:val="56"/>
                    <w:spacing w:line="240" w:lineRule="auto"/>
                    <w:ind w:firstLine="0" w:firstLineChars="0"/>
                    <w:jc w:val="center"/>
                    <w:rPr>
                      <w:sz w:val="18"/>
                      <w:szCs w:val="18"/>
                    </w:rPr>
                  </w:pPr>
                </w:p>
              </w:tc>
              <w:tc>
                <w:tcPr>
                  <w:tcW w:w="536" w:type="dxa"/>
                  <w:vMerge w:val="continue"/>
                  <w:vAlign w:val="center"/>
                </w:tcPr>
                <w:p>
                  <w:pPr>
                    <w:pStyle w:val="56"/>
                    <w:spacing w:line="240" w:lineRule="auto"/>
                    <w:ind w:firstLine="0" w:firstLineChars="0"/>
                    <w:jc w:val="center"/>
                    <w:rPr>
                      <w:sz w:val="18"/>
                      <w:szCs w:val="18"/>
                    </w:rPr>
                  </w:pPr>
                </w:p>
              </w:tc>
              <w:tc>
                <w:tcPr>
                  <w:tcW w:w="419" w:type="dxa"/>
                  <w:tcBorders>
                    <w:top w:val="single" w:color="auto" w:sz="4" w:space="0"/>
                    <w:bottom w:val="single" w:color="auto" w:sz="4" w:space="0"/>
                  </w:tcBorders>
                  <w:vAlign w:val="center"/>
                </w:tcPr>
                <w:p>
                  <w:pPr>
                    <w:pStyle w:val="56"/>
                    <w:spacing w:line="240" w:lineRule="auto"/>
                    <w:ind w:firstLine="0" w:firstLineChars="0"/>
                    <w:jc w:val="center"/>
                    <w:rPr>
                      <w:sz w:val="18"/>
                      <w:szCs w:val="18"/>
                    </w:rPr>
                  </w:pPr>
                  <w:r>
                    <w:rPr>
                      <w:rFonts w:hint="eastAsia"/>
                      <w:sz w:val="18"/>
                      <w:szCs w:val="18"/>
                    </w:rPr>
                    <w:t>西</w:t>
                  </w:r>
                </w:p>
              </w:tc>
              <w:tc>
                <w:tcPr>
                  <w:tcW w:w="544" w:type="dxa"/>
                  <w:tcBorders>
                    <w:top w:val="single" w:color="auto" w:sz="4" w:space="0"/>
                    <w:bottom w:val="single" w:color="auto" w:sz="4" w:space="0"/>
                  </w:tcBorders>
                  <w:vAlign w:val="center"/>
                </w:tcPr>
                <w:p>
                  <w:pPr>
                    <w:pStyle w:val="56"/>
                    <w:spacing w:line="240" w:lineRule="auto"/>
                    <w:ind w:firstLine="0" w:firstLineChars="0"/>
                    <w:jc w:val="center"/>
                    <w:rPr>
                      <w:sz w:val="18"/>
                      <w:szCs w:val="18"/>
                    </w:rPr>
                  </w:pPr>
                  <w:r>
                    <w:rPr>
                      <w:sz w:val="18"/>
                      <w:szCs w:val="18"/>
                    </w:rPr>
                    <w:t>6</w:t>
                  </w:r>
                </w:p>
              </w:tc>
              <w:tc>
                <w:tcPr>
                  <w:tcW w:w="721" w:type="dxa"/>
                  <w:tcBorders>
                    <w:top w:val="single" w:color="auto" w:sz="4" w:space="0"/>
                    <w:bottom w:val="single" w:color="auto" w:sz="4" w:space="0"/>
                  </w:tcBorders>
                  <w:vAlign w:val="center"/>
                </w:tcPr>
                <w:p>
                  <w:pPr>
                    <w:pStyle w:val="56"/>
                    <w:spacing w:line="240" w:lineRule="auto"/>
                    <w:ind w:firstLine="0" w:firstLineChars="0"/>
                    <w:jc w:val="center"/>
                    <w:rPr>
                      <w:sz w:val="18"/>
                      <w:szCs w:val="18"/>
                    </w:rPr>
                  </w:pPr>
                  <w:r>
                    <w:rPr>
                      <w:sz w:val="18"/>
                      <w:szCs w:val="18"/>
                    </w:rPr>
                    <w:t>59.43</w:t>
                  </w:r>
                </w:p>
              </w:tc>
              <w:tc>
                <w:tcPr>
                  <w:tcW w:w="669" w:type="dxa"/>
                  <w:vMerge w:val="continue"/>
                  <w:vAlign w:val="center"/>
                </w:tcPr>
                <w:p>
                  <w:pPr>
                    <w:pStyle w:val="56"/>
                    <w:spacing w:line="240" w:lineRule="auto"/>
                    <w:ind w:firstLine="0" w:firstLineChars="0"/>
                    <w:jc w:val="center"/>
                    <w:rPr>
                      <w:rFonts w:hAnsi="宋体"/>
                      <w:sz w:val="18"/>
                      <w:szCs w:val="18"/>
                    </w:rPr>
                  </w:pPr>
                </w:p>
              </w:tc>
              <w:tc>
                <w:tcPr>
                  <w:tcW w:w="721" w:type="dxa"/>
                  <w:vMerge w:val="continue"/>
                  <w:vAlign w:val="center"/>
                </w:tcPr>
                <w:p>
                  <w:pPr>
                    <w:pStyle w:val="56"/>
                    <w:spacing w:line="240" w:lineRule="auto"/>
                    <w:ind w:firstLine="0" w:firstLineChars="0"/>
                    <w:jc w:val="center"/>
                    <w:rPr>
                      <w:rFonts w:hAnsi="宋体"/>
                      <w:sz w:val="18"/>
                      <w:szCs w:val="18"/>
                    </w:rPr>
                  </w:pPr>
                </w:p>
              </w:tc>
              <w:tc>
                <w:tcPr>
                  <w:tcW w:w="721" w:type="dxa"/>
                  <w:tcBorders>
                    <w:top w:val="single" w:color="auto" w:sz="4" w:space="0"/>
                    <w:bottom w:val="single" w:color="auto" w:sz="4" w:space="0"/>
                  </w:tcBorders>
                  <w:vAlign w:val="center"/>
                </w:tcPr>
                <w:p>
                  <w:pPr>
                    <w:pStyle w:val="56"/>
                    <w:spacing w:line="240" w:lineRule="auto"/>
                    <w:ind w:firstLine="0" w:firstLineChars="0"/>
                    <w:jc w:val="center"/>
                    <w:rPr>
                      <w:sz w:val="18"/>
                      <w:szCs w:val="18"/>
                    </w:rPr>
                  </w:pPr>
                  <w:r>
                    <w:rPr>
                      <w:sz w:val="18"/>
                      <w:szCs w:val="18"/>
                    </w:rPr>
                    <w:t>49.43</w:t>
                  </w:r>
                </w:p>
              </w:tc>
              <w:tc>
                <w:tcPr>
                  <w:tcW w:w="576" w:type="dxa"/>
                  <w:tcBorders>
                    <w:top w:val="single" w:color="auto" w:sz="4" w:space="0"/>
                    <w:bottom w:val="single" w:color="auto" w:sz="4" w:space="0"/>
                  </w:tcBorders>
                  <w:vAlign w:val="center"/>
                </w:tcPr>
                <w:p>
                  <w:pPr>
                    <w:pStyle w:val="56"/>
                    <w:spacing w:line="240" w:lineRule="auto"/>
                    <w:ind w:firstLine="0" w:firstLineChars="0"/>
                    <w:jc w:val="center"/>
                    <w:rPr>
                      <w:sz w:val="18"/>
                      <w:szCs w:val="18"/>
                    </w:rPr>
                  </w:pPr>
                  <w:r>
                    <w:rPr>
                      <w:rFonts w:hint="eastAsia"/>
                      <w:sz w:val="18"/>
                      <w:szCs w:val="18"/>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425" w:type="dxa"/>
                  <w:vMerge w:val="continue"/>
                  <w:vAlign w:val="center"/>
                </w:tcPr>
                <w:p>
                  <w:pPr>
                    <w:pStyle w:val="56"/>
                    <w:spacing w:line="240" w:lineRule="auto"/>
                    <w:ind w:firstLine="0" w:firstLineChars="0"/>
                    <w:jc w:val="center"/>
                    <w:rPr>
                      <w:rFonts w:hAnsi="宋体"/>
                      <w:sz w:val="18"/>
                      <w:szCs w:val="18"/>
                    </w:rPr>
                  </w:pPr>
                </w:p>
              </w:tc>
              <w:tc>
                <w:tcPr>
                  <w:tcW w:w="438" w:type="dxa"/>
                  <w:vMerge w:val="continue"/>
                  <w:vAlign w:val="center"/>
                </w:tcPr>
                <w:p>
                  <w:pPr>
                    <w:pStyle w:val="56"/>
                    <w:spacing w:line="240" w:lineRule="auto"/>
                    <w:ind w:firstLine="0" w:firstLineChars="0"/>
                    <w:jc w:val="center"/>
                    <w:rPr>
                      <w:sz w:val="18"/>
                      <w:szCs w:val="18"/>
                    </w:rPr>
                  </w:pPr>
                </w:p>
              </w:tc>
              <w:tc>
                <w:tcPr>
                  <w:tcW w:w="657" w:type="dxa"/>
                  <w:vMerge w:val="continue"/>
                  <w:vAlign w:val="center"/>
                </w:tcPr>
                <w:p>
                  <w:pPr>
                    <w:pStyle w:val="56"/>
                    <w:spacing w:line="240" w:lineRule="auto"/>
                    <w:ind w:firstLine="0" w:firstLineChars="0"/>
                    <w:jc w:val="center"/>
                    <w:rPr>
                      <w:sz w:val="18"/>
                      <w:szCs w:val="18"/>
                    </w:rPr>
                  </w:pPr>
                </w:p>
              </w:tc>
              <w:tc>
                <w:tcPr>
                  <w:tcW w:w="719" w:type="dxa"/>
                  <w:vMerge w:val="continue"/>
                  <w:vAlign w:val="center"/>
                </w:tcPr>
                <w:p>
                  <w:pPr>
                    <w:pStyle w:val="56"/>
                    <w:spacing w:line="240" w:lineRule="auto"/>
                    <w:ind w:firstLine="0" w:firstLineChars="0"/>
                    <w:jc w:val="center"/>
                    <w:rPr>
                      <w:sz w:val="18"/>
                      <w:szCs w:val="18"/>
                    </w:rPr>
                  </w:pPr>
                </w:p>
              </w:tc>
              <w:tc>
                <w:tcPr>
                  <w:tcW w:w="611" w:type="dxa"/>
                  <w:vMerge w:val="continue"/>
                  <w:vAlign w:val="center"/>
                </w:tcPr>
                <w:p>
                  <w:pPr>
                    <w:pStyle w:val="56"/>
                    <w:spacing w:line="240" w:lineRule="auto"/>
                    <w:ind w:firstLine="0" w:firstLineChars="0"/>
                    <w:jc w:val="center"/>
                    <w:rPr>
                      <w:sz w:val="18"/>
                      <w:szCs w:val="18"/>
                    </w:rPr>
                  </w:pPr>
                </w:p>
              </w:tc>
              <w:tc>
                <w:tcPr>
                  <w:tcW w:w="491" w:type="dxa"/>
                  <w:vMerge w:val="continue"/>
                  <w:vAlign w:val="center"/>
                </w:tcPr>
                <w:p>
                  <w:pPr>
                    <w:pStyle w:val="56"/>
                    <w:spacing w:line="240" w:lineRule="auto"/>
                    <w:ind w:firstLine="0" w:firstLineChars="0"/>
                    <w:jc w:val="center"/>
                    <w:rPr>
                      <w:sz w:val="18"/>
                      <w:szCs w:val="18"/>
                    </w:rPr>
                  </w:pPr>
                </w:p>
              </w:tc>
              <w:tc>
                <w:tcPr>
                  <w:tcW w:w="534" w:type="dxa"/>
                  <w:vMerge w:val="continue"/>
                  <w:vAlign w:val="center"/>
                </w:tcPr>
                <w:p>
                  <w:pPr>
                    <w:pStyle w:val="56"/>
                    <w:spacing w:line="240" w:lineRule="auto"/>
                    <w:ind w:firstLine="0" w:firstLineChars="0"/>
                    <w:jc w:val="center"/>
                    <w:rPr>
                      <w:sz w:val="18"/>
                      <w:szCs w:val="18"/>
                    </w:rPr>
                  </w:pPr>
                </w:p>
              </w:tc>
              <w:tc>
                <w:tcPr>
                  <w:tcW w:w="536" w:type="dxa"/>
                  <w:vMerge w:val="continue"/>
                  <w:vAlign w:val="center"/>
                </w:tcPr>
                <w:p>
                  <w:pPr>
                    <w:pStyle w:val="56"/>
                    <w:spacing w:line="240" w:lineRule="auto"/>
                    <w:ind w:firstLine="0" w:firstLineChars="0"/>
                    <w:jc w:val="center"/>
                    <w:rPr>
                      <w:sz w:val="18"/>
                      <w:szCs w:val="18"/>
                    </w:rPr>
                  </w:pPr>
                </w:p>
              </w:tc>
              <w:tc>
                <w:tcPr>
                  <w:tcW w:w="419" w:type="dxa"/>
                  <w:tcBorders>
                    <w:top w:val="single" w:color="auto" w:sz="4" w:space="0"/>
                  </w:tcBorders>
                  <w:vAlign w:val="center"/>
                </w:tcPr>
                <w:p>
                  <w:pPr>
                    <w:pStyle w:val="56"/>
                    <w:spacing w:line="240" w:lineRule="auto"/>
                    <w:ind w:firstLine="0" w:firstLineChars="0"/>
                    <w:jc w:val="center"/>
                    <w:rPr>
                      <w:sz w:val="18"/>
                      <w:szCs w:val="18"/>
                    </w:rPr>
                  </w:pPr>
                  <w:r>
                    <w:rPr>
                      <w:rFonts w:hint="eastAsia"/>
                      <w:sz w:val="18"/>
                      <w:szCs w:val="18"/>
                    </w:rPr>
                    <w:t>北</w:t>
                  </w:r>
                </w:p>
              </w:tc>
              <w:tc>
                <w:tcPr>
                  <w:tcW w:w="544" w:type="dxa"/>
                  <w:tcBorders>
                    <w:top w:val="single" w:color="auto" w:sz="4" w:space="0"/>
                  </w:tcBorders>
                  <w:vAlign w:val="center"/>
                </w:tcPr>
                <w:p>
                  <w:pPr>
                    <w:pStyle w:val="56"/>
                    <w:spacing w:line="240" w:lineRule="auto"/>
                    <w:ind w:firstLine="0" w:firstLineChars="0"/>
                    <w:jc w:val="center"/>
                    <w:rPr>
                      <w:sz w:val="18"/>
                      <w:szCs w:val="18"/>
                    </w:rPr>
                  </w:pPr>
                  <w:r>
                    <w:rPr>
                      <w:rFonts w:hint="eastAsia"/>
                      <w:sz w:val="18"/>
                      <w:szCs w:val="18"/>
                    </w:rPr>
                    <w:t>14</w:t>
                  </w:r>
                </w:p>
              </w:tc>
              <w:tc>
                <w:tcPr>
                  <w:tcW w:w="721" w:type="dxa"/>
                  <w:tcBorders>
                    <w:top w:val="single" w:color="auto" w:sz="4" w:space="0"/>
                  </w:tcBorders>
                  <w:vAlign w:val="center"/>
                </w:tcPr>
                <w:p>
                  <w:pPr>
                    <w:pStyle w:val="56"/>
                    <w:spacing w:line="240" w:lineRule="auto"/>
                    <w:ind w:firstLine="0" w:firstLineChars="0"/>
                    <w:jc w:val="center"/>
                    <w:rPr>
                      <w:sz w:val="18"/>
                      <w:szCs w:val="18"/>
                    </w:rPr>
                  </w:pPr>
                  <w:r>
                    <w:rPr>
                      <w:rFonts w:hint="eastAsia"/>
                      <w:sz w:val="18"/>
                      <w:szCs w:val="18"/>
                    </w:rPr>
                    <w:t>52.07</w:t>
                  </w:r>
                </w:p>
              </w:tc>
              <w:tc>
                <w:tcPr>
                  <w:tcW w:w="669" w:type="dxa"/>
                  <w:vMerge w:val="continue"/>
                  <w:vAlign w:val="center"/>
                </w:tcPr>
                <w:p>
                  <w:pPr>
                    <w:pStyle w:val="56"/>
                    <w:spacing w:line="240" w:lineRule="auto"/>
                    <w:ind w:firstLine="0" w:firstLineChars="0"/>
                    <w:jc w:val="center"/>
                    <w:rPr>
                      <w:rFonts w:hAnsi="宋体"/>
                      <w:sz w:val="18"/>
                      <w:szCs w:val="18"/>
                    </w:rPr>
                  </w:pPr>
                </w:p>
              </w:tc>
              <w:tc>
                <w:tcPr>
                  <w:tcW w:w="721" w:type="dxa"/>
                  <w:vMerge w:val="continue"/>
                  <w:vAlign w:val="center"/>
                </w:tcPr>
                <w:p>
                  <w:pPr>
                    <w:pStyle w:val="56"/>
                    <w:spacing w:line="240" w:lineRule="auto"/>
                    <w:ind w:firstLine="0" w:firstLineChars="0"/>
                    <w:jc w:val="center"/>
                    <w:rPr>
                      <w:rFonts w:hAnsi="宋体"/>
                      <w:sz w:val="18"/>
                      <w:szCs w:val="18"/>
                    </w:rPr>
                  </w:pPr>
                </w:p>
              </w:tc>
              <w:tc>
                <w:tcPr>
                  <w:tcW w:w="721" w:type="dxa"/>
                  <w:tcBorders>
                    <w:top w:val="single" w:color="auto" w:sz="4" w:space="0"/>
                  </w:tcBorders>
                  <w:vAlign w:val="center"/>
                </w:tcPr>
                <w:p>
                  <w:pPr>
                    <w:pStyle w:val="56"/>
                    <w:spacing w:line="240" w:lineRule="auto"/>
                    <w:ind w:firstLine="0" w:firstLineChars="0"/>
                    <w:jc w:val="center"/>
                    <w:rPr>
                      <w:sz w:val="18"/>
                      <w:szCs w:val="18"/>
                    </w:rPr>
                  </w:pPr>
                  <w:r>
                    <w:rPr>
                      <w:rFonts w:hint="eastAsia"/>
                      <w:sz w:val="18"/>
                      <w:szCs w:val="18"/>
                    </w:rPr>
                    <w:t>42.07</w:t>
                  </w:r>
                </w:p>
              </w:tc>
              <w:tc>
                <w:tcPr>
                  <w:tcW w:w="576" w:type="dxa"/>
                  <w:tcBorders>
                    <w:top w:val="single" w:color="auto" w:sz="4" w:space="0"/>
                  </w:tcBorders>
                  <w:vAlign w:val="center"/>
                </w:tcPr>
                <w:p>
                  <w:pPr>
                    <w:pStyle w:val="56"/>
                    <w:spacing w:line="240" w:lineRule="auto"/>
                    <w:ind w:firstLine="0" w:firstLineChars="0"/>
                    <w:jc w:val="center"/>
                    <w:rPr>
                      <w:sz w:val="18"/>
                      <w:szCs w:val="18"/>
                    </w:rPr>
                  </w:pPr>
                  <w:r>
                    <w:rPr>
                      <w:rFonts w:hint="eastAsia"/>
                      <w:sz w:val="18"/>
                      <w:szCs w:val="18"/>
                    </w:rPr>
                    <w:t>1</w:t>
                  </w:r>
                </w:p>
              </w:tc>
            </w:tr>
          </w:tbl>
          <w:p>
            <w:pPr>
              <w:spacing w:before="120" w:beforeLines="50"/>
              <w:ind w:firstLine="480"/>
            </w:pPr>
            <w:r>
              <w:rPr>
                <w:rFonts w:hint="eastAsia"/>
              </w:rPr>
              <w:t>室内</w:t>
            </w:r>
            <w:r>
              <w:t>噪声源通过</w:t>
            </w:r>
            <w:r>
              <w:rPr>
                <w:rFonts w:hint="eastAsia"/>
              </w:rPr>
              <w:t>建筑</w:t>
            </w:r>
            <w:r>
              <w:t>隔声</w:t>
            </w:r>
            <w:r>
              <w:rPr>
                <w:rFonts w:hint="eastAsia"/>
              </w:rPr>
              <w:t>和</w:t>
            </w:r>
            <w:r>
              <w:t>设备基础减振可</w:t>
            </w:r>
            <w:r>
              <w:rPr>
                <w:bCs/>
                <w:szCs w:val="21"/>
              </w:rPr>
              <w:t>降低10</w:t>
            </w:r>
            <w:r>
              <w:t>dB（A）</w:t>
            </w:r>
            <w:r>
              <w:rPr>
                <w:rFonts w:hint="eastAsia"/>
              </w:rPr>
              <w:t>噪声</w:t>
            </w:r>
            <w:r>
              <w:t>值</w:t>
            </w:r>
            <w:r>
              <w:rPr>
                <w:rFonts w:hint="eastAsia"/>
              </w:rPr>
              <w:t>。</w:t>
            </w:r>
          </w:p>
          <w:p>
            <w:pPr>
              <w:ind w:firstLine="480"/>
              <w:rPr>
                <w:bCs/>
                <w:szCs w:val="21"/>
              </w:rPr>
            </w:pPr>
            <w:r>
              <w:rPr>
                <w:rFonts w:hint="eastAsia"/>
                <w:bCs/>
                <w:szCs w:val="21"/>
              </w:rPr>
              <w:t>根据《环境影响评价技术导则 声环境》（HJ 2.4-2021）的技术要求，本次评价采用导则推荐的预测模式。</w:t>
            </w:r>
          </w:p>
          <w:p>
            <w:pPr>
              <w:ind w:firstLine="480"/>
              <w:rPr>
                <w:bCs/>
                <w:szCs w:val="21"/>
              </w:rPr>
            </w:pPr>
            <w:r>
              <w:rPr>
                <w:rFonts w:hint="eastAsia"/>
                <w:bCs/>
                <w:szCs w:val="21"/>
              </w:rPr>
              <w:t>①室内声源等效室外声源计算</w:t>
            </w:r>
          </w:p>
          <w:p>
            <w:pPr>
              <w:ind w:firstLine="480"/>
              <w:rPr>
                <w:bCs/>
                <w:szCs w:val="21"/>
              </w:rPr>
            </w:pPr>
            <w:r>
              <w:rPr>
                <w:rFonts w:hint="eastAsia"/>
                <w:bCs/>
                <w:szCs w:val="21"/>
              </w:rPr>
              <w:t>1）按下式计算出所有室内声源在围护结构处产生的i倍频带叠加声压级：</w:t>
            </w:r>
          </w:p>
          <w:p>
            <w:pPr>
              <w:ind w:firstLine="480"/>
              <w:jc w:val="center"/>
              <w:rPr>
                <w:bCs/>
                <w:szCs w:val="21"/>
              </w:rPr>
            </w:pPr>
            <w:r>
              <w:rPr>
                <w:bCs/>
                <w:szCs w:val="21"/>
              </w:rPr>
              <w:drawing>
                <wp:inline distT="0" distB="0" distL="0" distR="0">
                  <wp:extent cx="1364615" cy="434975"/>
                  <wp:effectExtent l="0" t="0" r="6985" b="3175"/>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noChangeArrowheads="true"/>
                          </pic:cNvPicPr>
                        </pic:nvPicPr>
                        <pic:blipFill>
                          <a:blip r:embed="rId24">
                            <a:extLst>
                              <a:ext uri="{28A0092B-C50C-407E-A947-70E740481C1C}">
                                <a14:useLocalDpi xmlns:a14="http://schemas.microsoft.com/office/drawing/2010/main" val="false"/>
                              </a:ext>
                            </a:extLst>
                          </a:blip>
                          <a:srcRect/>
                          <a:stretch>
                            <a:fillRect/>
                          </a:stretch>
                        </pic:blipFill>
                        <pic:spPr>
                          <a:xfrm>
                            <a:off x="0" y="0"/>
                            <a:ext cx="1395214" cy="444960"/>
                          </a:xfrm>
                          <a:prstGeom prst="rect">
                            <a:avLst/>
                          </a:prstGeom>
                          <a:noFill/>
                          <a:ln>
                            <a:noFill/>
                          </a:ln>
                        </pic:spPr>
                      </pic:pic>
                    </a:graphicData>
                  </a:graphic>
                </wp:inline>
              </w:drawing>
            </w:r>
            <w:r>
              <w:rPr>
                <w:rFonts w:hint="eastAsia"/>
                <w:bCs/>
                <w:szCs w:val="21"/>
              </w:rPr>
              <w:t></w:t>
            </w:r>
          </w:p>
          <w:p>
            <w:pPr>
              <w:ind w:firstLine="480"/>
              <w:rPr>
                <w:bCs/>
                <w:szCs w:val="21"/>
              </w:rPr>
            </w:pPr>
            <w:r>
              <w:rPr>
                <w:rFonts w:hint="eastAsia"/>
                <w:bCs/>
                <w:szCs w:val="21"/>
              </w:rPr>
              <w:t>式中：L</w:t>
            </w:r>
            <w:r>
              <w:rPr>
                <w:rFonts w:hint="eastAsia"/>
                <w:bCs/>
                <w:szCs w:val="21"/>
                <w:vertAlign w:val="subscript"/>
              </w:rPr>
              <w:t>pli</w:t>
            </w:r>
            <w:r>
              <w:rPr>
                <w:rFonts w:hint="eastAsia"/>
                <w:bCs/>
                <w:szCs w:val="21"/>
              </w:rPr>
              <w:t>（T）</w:t>
            </w:r>
            <w:r>
              <w:rPr>
                <w:bCs/>
                <w:szCs w:val="21"/>
              </w:rPr>
              <w:t>—</w:t>
            </w:r>
            <w:r>
              <w:rPr>
                <w:rFonts w:hint="eastAsia"/>
                <w:bCs/>
                <w:szCs w:val="21"/>
              </w:rPr>
              <w:t>靠近厂界处室内</w:t>
            </w:r>
            <w:r>
              <w:rPr>
                <w:bCs/>
                <w:szCs w:val="21"/>
              </w:rPr>
              <w:t>N</w:t>
            </w:r>
            <w:r>
              <w:rPr>
                <w:rFonts w:hint="eastAsia"/>
                <w:bCs/>
                <w:szCs w:val="21"/>
              </w:rPr>
              <w:t>个声源</w:t>
            </w:r>
            <w:r>
              <w:rPr>
                <w:bCs/>
                <w:szCs w:val="21"/>
              </w:rPr>
              <w:t>i</w:t>
            </w:r>
            <w:r>
              <w:rPr>
                <w:rFonts w:hint="eastAsia"/>
                <w:bCs/>
                <w:szCs w:val="21"/>
              </w:rPr>
              <w:t>倍频带的叠加声压级</w:t>
            </w:r>
            <w:r>
              <w:rPr>
                <w:bCs/>
                <w:szCs w:val="21"/>
              </w:rPr>
              <w:t>dB</w:t>
            </w:r>
          </w:p>
          <w:p>
            <w:pPr>
              <w:ind w:firstLine="480"/>
              <w:rPr>
                <w:bCs/>
                <w:szCs w:val="21"/>
              </w:rPr>
            </w:pPr>
            <w:r>
              <w:rPr>
                <w:rFonts w:hint="eastAsia"/>
                <w:bCs/>
                <w:szCs w:val="21"/>
              </w:rPr>
              <w:t>L</w:t>
            </w:r>
            <w:r>
              <w:rPr>
                <w:rFonts w:hint="eastAsia"/>
                <w:bCs/>
                <w:szCs w:val="21"/>
                <w:vertAlign w:val="subscript"/>
              </w:rPr>
              <w:t>plij</w:t>
            </w:r>
            <w:r>
              <w:rPr>
                <w:bCs/>
                <w:szCs w:val="21"/>
              </w:rPr>
              <w:t>—</w:t>
            </w:r>
            <w:r>
              <w:rPr>
                <w:rFonts w:hint="eastAsia"/>
                <w:bCs/>
                <w:szCs w:val="21"/>
              </w:rPr>
              <w:t>室内</w:t>
            </w:r>
            <w:r>
              <w:rPr>
                <w:bCs/>
                <w:szCs w:val="21"/>
              </w:rPr>
              <w:t>j</w:t>
            </w:r>
            <w:r>
              <w:rPr>
                <w:rFonts w:hint="eastAsia"/>
                <w:bCs/>
                <w:szCs w:val="21"/>
              </w:rPr>
              <w:t>声源</w:t>
            </w:r>
            <w:r>
              <w:rPr>
                <w:bCs/>
                <w:szCs w:val="21"/>
              </w:rPr>
              <w:t>i</w:t>
            </w:r>
            <w:r>
              <w:rPr>
                <w:rFonts w:hint="eastAsia"/>
                <w:bCs/>
                <w:szCs w:val="21"/>
              </w:rPr>
              <w:t>倍频带的声压级，</w:t>
            </w:r>
            <w:r>
              <w:rPr>
                <w:bCs/>
                <w:szCs w:val="21"/>
              </w:rPr>
              <w:t xml:space="preserve">dB </w:t>
            </w:r>
          </w:p>
          <w:p>
            <w:pPr>
              <w:ind w:firstLine="480"/>
              <w:rPr>
                <w:bCs/>
                <w:szCs w:val="21"/>
              </w:rPr>
            </w:pPr>
            <w:r>
              <w:rPr>
                <w:bCs/>
                <w:szCs w:val="21"/>
              </w:rPr>
              <w:t>N—</w:t>
            </w:r>
            <w:r>
              <w:rPr>
                <w:rFonts w:hint="eastAsia"/>
                <w:bCs/>
                <w:szCs w:val="21"/>
              </w:rPr>
              <w:t>室内声源总数。</w:t>
            </w:r>
          </w:p>
          <w:p>
            <w:pPr>
              <w:ind w:firstLine="480"/>
              <w:rPr>
                <w:bCs/>
                <w:szCs w:val="21"/>
              </w:rPr>
            </w:pPr>
            <w:r>
              <w:rPr>
                <w:rFonts w:hint="eastAsia"/>
                <w:bCs/>
                <w:szCs w:val="21"/>
              </w:rPr>
              <w:t>2）声源所在室内声场为近似扩散声场，则室外的倍频带声压级可按下式近似求出：</w:t>
            </w:r>
          </w:p>
          <w:p>
            <w:pPr>
              <w:ind w:firstLine="480"/>
              <w:jc w:val="center"/>
              <w:rPr>
                <w:bCs/>
                <w:szCs w:val="21"/>
              </w:rPr>
            </w:pPr>
            <w:r>
              <w:rPr>
                <w:rFonts w:hint="eastAsia"/>
                <w:bCs/>
                <w:szCs w:val="21"/>
              </w:rPr>
              <w:t>L</w:t>
            </w:r>
            <w:r>
              <w:rPr>
                <w:rFonts w:hint="eastAsia"/>
                <w:bCs/>
                <w:szCs w:val="21"/>
                <w:vertAlign w:val="subscript"/>
              </w:rPr>
              <w:t>p2i</w:t>
            </w:r>
            <w:r>
              <w:rPr>
                <w:rFonts w:hint="eastAsia"/>
                <w:bCs/>
                <w:szCs w:val="21"/>
              </w:rPr>
              <w:t>（T）=L</w:t>
            </w:r>
            <w:r>
              <w:rPr>
                <w:rFonts w:hint="eastAsia"/>
                <w:bCs/>
                <w:szCs w:val="21"/>
                <w:vertAlign w:val="subscript"/>
              </w:rPr>
              <w:t>p1i</w:t>
            </w:r>
            <w:r>
              <w:rPr>
                <w:rFonts w:hint="eastAsia"/>
                <w:bCs/>
                <w:szCs w:val="21"/>
              </w:rPr>
              <w:t>（T）-（T</w:t>
            </w:r>
            <w:r>
              <w:rPr>
                <w:rFonts w:hint="eastAsia"/>
                <w:bCs/>
                <w:szCs w:val="21"/>
                <w:vertAlign w:val="subscript"/>
              </w:rPr>
              <w:t>Li</w:t>
            </w:r>
            <w:r>
              <w:rPr>
                <w:rFonts w:hint="eastAsia"/>
                <w:bCs/>
                <w:szCs w:val="21"/>
              </w:rPr>
              <w:t>+6）</w:t>
            </w:r>
          </w:p>
          <w:p>
            <w:pPr>
              <w:ind w:firstLine="480"/>
              <w:rPr>
                <w:bCs/>
                <w:szCs w:val="21"/>
              </w:rPr>
            </w:pPr>
            <w:r>
              <w:rPr>
                <w:rFonts w:hint="eastAsia"/>
                <w:bCs/>
                <w:szCs w:val="21"/>
              </w:rPr>
              <w:t>式中：</w:t>
            </w:r>
            <w:r>
              <w:rPr>
                <w:bCs/>
                <w:szCs w:val="21"/>
              </w:rPr>
              <w:t>L</w:t>
            </w:r>
            <w:r>
              <w:rPr>
                <w:rFonts w:hint="eastAsia"/>
                <w:bCs/>
                <w:szCs w:val="21"/>
                <w:vertAlign w:val="subscript"/>
              </w:rPr>
              <w:t>p</w:t>
            </w:r>
            <w:r>
              <w:rPr>
                <w:bCs/>
                <w:szCs w:val="21"/>
                <w:vertAlign w:val="subscript"/>
              </w:rPr>
              <w:t>1</w:t>
            </w:r>
            <w:r>
              <w:rPr>
                <w:rFonts w:hint="eastAsia"/>
                <w:bCs/>
                <w:szCs w:val="21"/>
                <w:vertAlign w:val="subscript"/>
              </w:rPr>
              <w:t>i</w:t>
            </w:r>
            <w:r>
              <w:rPr>
                <w:rFonts w:hint="eastAsia"/>
                <w:bCs/>
                <w:szCs w:val="21"/>
              </w:rPr>
              <w:t>（T）</w:t>
            </w:r>
            <w:r>
              <w:rPr>
                <w:bCs/>
                <w:szCs w:val="21"/>
              </w:rPr>
              <w:t>——</w:t>
            </w:r>
            <w:r>
              <w:rPr>
                <w:rFonts w:hint="eastAsia"/>
                <w:bCs/>
                <w:szCs w:val="21"/>
              </w:rPr>
              <w:t>靠近厂房处室内</w:t>
            </w:r>
            <w:r>
              <w:rPr>
                <w:bCs/>
                <w:szCs w:val="21"/>
              </w:rPr>
              <w:t>N</w:t>
            </w:r>
            <w:r>
              <w:rPr>
                <w:rFonts w:hint="eastAsia"/>
                <w:bCs/>
                <w:szCs w:val="21"/>
              </w:rPr>
              <w:t>个声源倍频带的叠加声压级，</w:t>
            </w:r>
            <w:r>
              <w:rPr>
                <w:bCs/>
                <w:szCs w:val="21"/>
              </w:rPr>
              <w:t>dB</w:t>
            </w:r>
            <w:r>
              <w:rPr>
                <w:rFonts w:hint="eastAsia"/>
                <w:bCs/>
                <w:szCs w:val="21"/>
              </w:rPr>
              <w:t>；</w:t>
            </w:r>
          </w:p>
          <w:p>
            <w:pPr>
              <w:ind w:firstLine="480"/>
              <w:rPr>
                <w:bCs/>
                <w:szCs w:val="21"/>
              </w:rPr>
            </w:pPr>
            <w:r>
              <w:rPr>
                <w:bCs/>
                <w:szCs w:val="21"/>
              </w:rPr>
              <w:t>L</w:t>
            </w:r>
            <w:r>
              <w:rPr>
                <w:bCs/>
                <w:szCs w:val="21"/>
                <w:vertAlign w:val="subscript"/>
              </w:rPr>
              <w:t>p2</w:t>
            </w:r>
            <w:r>
              <w:rPr>
                <w:rFonts w:hint="eastAsia"/>
                <w:bCs/>
                <w:szCs w:val="21"/>
                <w:vertAlign w:val="subscript"/>
              </w:rPr>
              <w:t>i</w:t>
            </w:r>
            <w:r>
              <w:rPr>
                <w:bCs/>
                <w:szCs w:val="21"/>
              </w:rPr>
              <w:t>——</w:t>
            </w:r>
            <w:r>
              <w:rPr>
                <w:rFonts w:hint="eastAsia"/>
                <w:bCs/>
                <w:szCs w:val="21"/>
              </w:rPr>
              <w:t>靠近厂房处室外</w:t>
            </w:r>
            <w:r>
              <w:rPr>
                <w:bCs/>
                <w:szCs w:val="21"/>
              </w:rPr>
              <w:t>N</w:t>
            </w:r>
            <w:r>
              <w:rPr>
                <w:rFonts w:hint="eastAsia"/>
                <w:bCs/>
                <w:szCs w:val="21"/>
              </w:rPr>
              <w:t>个声源倍频带的叠加声压级，</w:t>
            </w:r>
            <w:r>
              <w:rPr>
                <w:bCs/>
                <w:szCs w:val="21"/>
              </w:rPr>
              <w:t>dB</w:t>
            </w:r>
            <w:r>
              <w:rPr>
                <w:rFonts w:hint="eastAsia"/>
                <w:bCs/>
                <w:szCs w:val="21"/>
              </w:rPr>
              <w:t>；</w:t>
            </w:r>
          </w:p>
          <w:p>
            <w:pPr>
              <w:ind w:firstLine="480"/>
              <w:rPr>
                <w:bCs/>
                <w:szCs w:val="21"/>
              </w:rPr>
            </w:pPr>
            <w:r>
              <w:rPr>
                <w:bCs/>
                <w:szCs w:val="21"/>
              </w:rPr>
              <w:t>T</w:t>
            </w:r>
            <w:r>
              <w:rPr>
                <w:bCs/>
                <w:szCs w:val="21"/>
                <w:vertAlign w:val="subscript"/>
              </w:rPr>
              <w:t>L</w:t>
            </w:r>
            <w:r>
              <w:rPr>
                <w:rFonts w:hint="eastAsia"/>
                <w:bCs/>
                <w:szCs w:val="21"/>
                <w:vertAlign w:val="subscript"/>
              </w:rPr>
              <w:t>i</w:t>
            </w:r>
            <w:r>
              <w:rPr>
                <w:bCs/>
                <w:szCs w:val="21"/>
              </w:rPr>
              <w:t>——</w:t>
            </w:r>
            <w:r>
              <w:rPr>
                <w:rFonts w:hint="eastAsia"/>
                <w:bCs/>
                <w:szCs w:val="21"/>
              </w:rPr>
              <w:t>厂房i倍频带隔声量。</w:t>
            </w:r>
          </w:p>
          <w:p>
            <w:pPr>
              <w:ind w:firstLine="480"/>
              <w:rPr>
                <w:bCs/>
                <w:szCs w:val="21"/>
              </w:rPr>
            </w:pPr>
            <w:r>
              <w:rPr>
                <w:rFonts w:hint="eastAsia"/>
                <w:bCs/>
                <w:szCs w:val="21"/>
              </w:rPr>
              <w:t>②噪声衰减计算</w:t>
            </w:r>
          </w:p>
          <w:p>
            <w:pPr>
              <w:ind w:firstLine="480"/>
              <w:rPr>
                <w:bCs/>
                <w:szCs w:val="21"/>
              </w:rPr>
            </w:pPr>
            <w:r>
              <w:rPr>
                <w:rFonts w:hint="eastAsia"/>
                <w:bCs/>
                <w:szCs w:val="21"/>
              </w:rPr>
              <w:t>无指向性点声源几何发散衰减的基本公式是：</w:t>
            </w:r>
          </w:p>
          <w:p>
            <w:pPr>
              <w:ind w:firstLine="480"/>
              <w:jc w:val="center"/>
              <w:rPr>
                <w:bCs/>
                <w:szCs w:val="21"/>
              </w:rPr>
            </w:pPr>
            <w:r>
              <w:rPr>
                <w:rFonts w:hint="eastAsia"/>
                <w:bCs/>
                <w:szCs w:val="21"/>
              </w:rPr>
              <w:t>L</w:t>
            </w:r>
            <w:r>
              <w:rPr>
                <w:rFonts w:hint="eastAsia"/>
                <w:bCs/>
                <w:szCs w:val="21"/>
                <w:vertAlign w:val="subscript"/>
              </w:rPr>
              <w:t>p</w:t>
            </w:r>
            <w:r>
              <w:rPr>
                <w:rFonts w:hint="eastAsia"/>
                <w:bCs/>
                <w:szCs w:val="21"/>
              </w:rPr>
              <w:t>（r）=L</w:t>
            </w:r>
            <w:r>
              <w:rPr>
                <w:rFonts w:hint="eastAsia"/>
                <w:bCs/>
                <w:szCs w:val="21"/>
                <w:vertAlign w:val="subscript"/>
              </w:rPr>
              <w:t>p</w:t>
            </w:r>
            <w:r>
              <w:rPr>
                <w:rFonts w:hint="eastAsia"/>
                <w:bCs/>
                <w:szCs w:val="21"/>
              </w:rPr>
              <w:t>（r</w:t>
            </w:r>
            <w:r>
              <w:rPr>
                <w:rFonts w:hint="eastAsia"/>
                <w:bCs/>
                <w:szCs w:val="21"/>
                <w:vertAlign w:val="subscript"/>
              </w:rPr>
              <w:t>0</w:t>
            </w:r>
            <w:r>
              <w:rPr>
                <w:rFonts w:hint="eastAsia"/>
                <w:bCs/>
                <w:szCs w:val="21"/>
              </w:rPr>
              <w:t>）-20lg（r/r</w:t>
            </w:r>
            <w:r>
              <w:rPr>
                <w:rFonts w:hint="eastAsia"/>
                <w:bCs/>
                <w:szCs w:val="21"/>
                <w:vertAlign w:val="subscript"/>
              </w:rPr>
              <w:t>0</w:t>
            </w:r>
            <w:r>
              <w:rPr>
                <w:rFonts w:hint="eastAsia"/>
                <w:bCs/>
                <w:szCs w:val="21"/>
              </w:rPr>
              <w:t>）</w:t>
            </w:r>
          </w:p>
          <w:p>
            <w:pPr>
              <w:ind w:firstLine="480"/>
              <w:rPr>
                <w:bCs/>
                <w:szCs w:val="21"/>
              </w:rPr>
            </w:pPr>
            <w:r>
              <w:rPr>
                <w:rFonts w:hint="eastAsia"/>
                <w:bCs/>
                <w:szCs w:val="21"/>
              </w:rPr>
              <w:t>式中：L</w:t>
            </w:r>
            <w:r>
              <w:rPr>
                <w:rFonts w:hint="eastAsia"/>
                <w:bCs/>
                <w:szCs w:val="21"/>
                <w:vertAlign w:val="subscript"/>
              </w:rPr>
              <w:t>p</w:t>
            </w:r>
            <w:r>
              <w:rPr>
                <w:rFonts w:hint="eastAsia"/>
                <w:bCs/>
                <w:szCs w:val="21"/>
              </w:rPr>
              <w:t>（r）—预测点处声压级，dB；</w:t>
            </w:r>
          </w:p>
          <w:p>
            <w:pPr>
              <w:ind w:firstLine="480"/>
              <w:rPr>
                <w:bCs/>
                <w:szCs w:val="21"/>
              </w:rPr>
            </w:pPr>
            <w:r>
              <w:rPr>
                <w:bCs/>
                <w:szCs w:val="21"/>
              </w:rPr>
              <w:t>L</w:t>
            </w:r>
            <w:r>
              <w:rPr>
                <w:rFonts w:hint="eastAsia"/>
                <w:bCs/>
                <w:szCs w:val="21"/>
                <w:vertAlign w:val="subscript"/>
              </w:rPr>
              <w:t>p</w:t>
            </w:r>
            <w:r>
              <w:rPr>
                <w:rFonts w:hint="eastAsia"/>
                <w:bCs/>
                <w:szCs w:val="21"/>
              </w:rPr>
              <w:t>（r</w:t>
            </w:r>
            <w:r>
              <w:rPr>
                <w:bCs/>
                <w:szCs w:val="21"/>
                <w:vertAlign w:val="subscript"/>
              </w:rPr>
              <w:t>0</w:t>
            </w:r>
            <w:r>
              <w:rPr>
                <w:rFonts w:hint="eastAsia"/>
                <w:bCs/>
                <w:szCs w:val="21"/>
              </w:rPr>
              <w:t>）—参考位置r</w:t>
            </w:r>
            <w:r>
              <w:rPr>
                <w:bCs/>
                <w:szCs w:val="21"/>
                <w:vertAlign w:val="subscript"/>
              </w:rPr>
              <w:t>0</w:t>
            </w:r>
            <w:r>
              <w:rPr>
                <w:rFonts w:hint="eastAsia"/>
                <w:bCs/>
                <w:szCs w:val="21"/>
              </w:rPr>
              <w:t>处的声压级，dB；</w:t>
            </w:r>
          </w:p>
          <w:p>
            <w:pPr>
              <w:ind w:firstLine="480"/>
              <w:rPr>
                <w:bCs/>
                <w:szCs w:val="21"/>
              </w:rPr>
            </w:pPr>
            <w:r>
              <w:rPr>
                <w:rFonts w:hint="eastAsia"/>
                <w:bCs/>
                <w:szCs w:val="21"/>
              </w:rPr>
              <w:t>r—预测点距声源的距离，m；</w:t>
            </w:r>
          </w:p>
          <w:p>
            <w:pPr>
              <w:ind w:firstLine="480"/>
              <w:rPr>
                <w:bCs/>
                <w:szCs w:val="21"/>
              </w:rPr>
            </w:pPr>
            <w:r>
              <w:rPr>
                <w:rFonts w:hint="eastAsia"/>
                <w:bCs/>
                <w:szCs w:val="21"/>
              </w:rPr>
              <w:t>r</w:t>
            </w:r>
            <w:r>
              <w:rPr>
                <w:rFonts w:hint="eastAsia"/>
                <w:bCs/>
                <w:szCs w:val="21"/>
                <w:vertAlign w:val="subscript"/>
              </w:rPr>
              <w:t>0</w:t>
            </w:r>
            <w:r>
              <w:rPr>
                <w:rFonts w:hint="eastAsia"/>
                <w:bCs/>
                <w:szCs w:val="21"/>
              </w:rPr>
              <w:t>—参考位置距声源的距离，m；</w:t>
            </w:r>
          </w:p>
          <w:p>
            <w:pPr>
              <w:ind w:firstLine="480"/>
              <w:rPr>
                <w:bCs/>
                <w:szCs w:val="21"/>
              </w:rPr>
            </w:pPr>
            <w:r>
              <w:rPr>
                <w:rFonts w:hint="eastAsia"/>
                <w:bCs/>
                <w:szCs w:val="21"/>
              </w:rPr>
              <w:t>③噪声贡献值计算</w:t>
            </w:r>
          </w:p>
          <w:p>
            <w:pPr>
              <w:ind w:firstLine="480"/>
              <w:rPr>
                <w:bCs/>
                <w:szCs w:val="21"/>
              </w:rPr>
            </w:pPr>
            <w:r>
              <w:rPr>
                <w:rFonts w:hint="eastAsia"/>
                <w:bCs/>
                <w:szCs w:val="21"/>
              </w:rPr>
              <w:t>第</w:t>
            </w:r>
            <w:r>
              <w:rPr>
                <w:bCs/>
                <w:szCs w:val="21"/>
              </w:rPr>
              <w:t>i</w:t>
            </w:r>
            <w:r>
              <w:rPr>
                <w:rFonts w:hint="eastAsia"/>
                <w:bCs/>
                <w:szCs w:val="21"/>
              </w:rPr>
              <w:t>个室外声源在预测点产生的</w:t>
            </w:r>
            <w:r>
              <w:rPr>
                <w:bCs/>
                <w:szCs w:val="21"/>
              </w:rPr>
              <w:t>A</w:t>
            </w:r>
            <w:r>
              <w:rPr>
                <w:rFonts w:hint="eastAsia"/>
                <w:bCs/>
                <w:szCs w:val="21"/>
              </w:rPr>
              <w:t>声级为L</w:t>
            </w:r>
            <w:r>
              <w:rPr>
                <w:bCs/>
                <w:szCs w:val="21"/>
                <w:vertAlign w:val="subscript"/>
              </w:rPr>
              <w:t>A</w:t>
            </w:r>
            <w:r>
              <w:rPr>
                <w:rFonts w:hint="eastAsia"/>
                <w:bCs/>
                <w:szCs w:val="21"/>
                <w:vertAlign w:val="subscript"/>
              </w:rPr>
              <w:t>i</w:t>
            </w:r>
            <w:r>
              <w:rPr>
                <w:rFonts w:hint="eastAsia"/>
                <w:bCs/>
                <w:szCs w:val="21"/>
              </w:rPr>
              <w:t>，在</w:t>
            </w:r>
            <w:r>
              <w:rPr>
                <w:bCs/>
                <w:szCs w:val="21"/>
              </w:rPr>
              <w:t>T</w:t>
            </w:r>
            <w:r>
              <w:rPr>
                <w:rFonts w:hint="eastAsia"/>
                <w:bCs/>
                <w:szCs w:val="21"/>
              </w:rPr>
              <w:t>时间内该声源工作时间为t</w:t>
            </w:r>
            <w:r>
              <w:rPr>
                <w:rFonts w:hint="eastAsia"/>
                <w:bCs/>
                <w:szCs w:val="21"/>
                <w:vertAlign w:val="subscript"/>
              </w:rPr>
              <w:t>i</w:t>
            </w:r>
            <w:r>
              <w:rPr>
                <w:rFonts w:hint="eastAsia"/>
                <w:bCs/>
                <w:szCs w:val="21"/>
              </w:rPr>
              <w:t>；第</w:t>
            </w:r>
            <w:r>
              <w:rPr>
                <w:bCs/>
                <w:szCs w:val="21"/>
              </w:rPr>
              <w:t>j</w:t>
            </w:r>
            <w:r>
              <w:rPr>
                <w:rFonts w:hint="eastAsia"/>
                <w:bCs/>
                <w:szCs w:val="21"/>
              </w:rPr>
              <w:t>个等效室外声源在预测点产生的</w:t>
            </w:r>
            <w:r>
              <w:rPr>
                <w:bCs/>
                <w:szCs w:val="21"/>
              </w:rPr>
              <w:t>A</w:t>
            </w:r>
            <w:r>
              <w:rPr>
                <w:rFonts w:hint="eastAsia"/>
                <w:bCs/>
                <w:szCs w:val="21"/>
              </w:rPr>
              <w:t>声级为L</w:t>
            </w:r>
            <w:r>
              <w:rPr>
                <w:bCs/>
                <w:szCs w:val="21"/>
                <w:vertAlign w:val="subscript"/>
              </w:rPr>
              <w:t>A</w:t>
            </w:r>
            <w:r>
              <w:rPr>
                <w:rFonts w:hint="eastAsia"/>
                <w:bCs/>
                <w:szCs w:val="21"/>
                <w:vertAlign w:val="subscript"/>
              </w:rPr>
              <w:t>j</w:t>
            </w:r>
            <w:r>
              <w:rPr>
                <w:rFonts w:hint="eastAsia"/>
                <w:bCs/>
                <w:szCs w:val="21"/>
              </w:rPr>
              <w:t>，在</w:t>
            </w:r>
            <w:r>
              <w:rPr>
                <w:bCs/>
                <w:szCs w:val="21"/>
              </w:rPr>
              <w:t>T</w:t>
            </w:r>
            <w:r>
              <w:rPr>
                <w:rFonts w:hint="eastAsia"/>
                <w:bCs/>
                <w:szCs w:val="21"/>
              </w:rPr>
              <w:t>时间内该声源工作时间为t</w:t>
            </w:r>
            <w:r>
              <w:rPr>
                <w:rFonts w:hint="eastAsia"/>
                <w:bCs/>
                <w:szCs w:val="21"/>
                <w:vertAlign w:val="subscript"/>
              </w:rPr>
              <w:t>j</w:t>
            </w:r>
            <w:r>
              <w:rPr>
                <w:rFonts w:hint="eastAsia"/>
                <w:bCs/>
                <w:szCs w:val="21"/>
              </w:rPr>
              <w:t>，则拟建工程声源对预测点产生的贡献值（</w:t>
            </w:r>
            <w:r>
              <w:rPr>
                <w:bCs/>
                <w:szCs w:val="21"/>
              </w:rPr>
              <w:t>L</w:t>
            </w:r>
            <w:r>
              <w:rPr>
                <w:bCs/>
                <w:szCs w:val="21"/>
                <w:vertAlign w:val="subscript"/>
              </w:rPr>
              <w:t>eqg</w:t>
            </w:r>
            <w:r>
              <w:rPr>
                <w:rFonts w:hint="eastAsia"/>
                <w:bCs/>
                <w:szCs w:val="21"/>
              </w:rPr>
              <w:t>）为：</w:t>
            </w:r>
          </w:p>
          <w:p>
            <w:pPr>
              <w:ind w:firstLine="480"/>
              <w:rPr>
                <w:bCs/>
                <w:szCs w:val="21"/>
              </w:rPr>
            </w:pPr>
            <m:oMathPara>
              <m:oMath>
                <m:sSub>
                  <m:sSubPr>
                    <m:ctrlPr>
                      <w:rPr>
                        <w:rFonts w:ascii="Cambria Math" w:hAnsi="Cambria Math"/>
                        <w:bCs/>
                        <w:szCs w:val="21"/>
                      </w:rPr>
                    </m:ctrlPr>
                  </m:sSubPr>
                  <m:e>
                    <m:r>
                      <m:rPr/>
                      <w:rPr>
                        <w:rFonts w:ascii="Cambria Math" w:hAnsi="Cambria Math"/>
                        <w:szCs w:val="21"/>
                      </w:rPr>
                      <m:t>L</m:t>
                    </m:r>
                    <m:ctrlPr>
                      <w:rPr>
                        <w:rFonts w:ascii="Cambria Math" w:hAnsi="Cambria Math"/>
                        <w:bCs/>
                        <w:szCs w:val="21"/>
                      </w:rPr>
                    </m:ctrlPr>
                  </m:e>
                  <m:sub>
                    <m:r>
                      <m:rPr/>
                      <w:rPr>
                        <w:rFonts w:hint="eastAsia" w:ascii="Cambria Math" w:hAnsi="Cambria Math"/>
                        <w:szCs w:val="21"/>
                      </w:rPr>
                      <m:t>eqg</m:t>
                    </m:r>
                    <m:ctrlPr>
                      <w:rPr>
                        <w:rFonts w:ascii="Cambria Math" w:hAnsi="Cambria Math"/>
                        <w:bCs/>
                        <w:szCs w:val="21"/>
                      </w:rPr>
                    </m:ctrlPr>
                  </m:sub>
                </m:sSub>
                <m:r>
                  <m:rPr>
                    <m:sty m:val="p"/>
                  </m:rPr>
                  <w:rPr>
                    <w:rFonts w:hint="eastAsia" w:ascii="Cambria Math" w:hAnsi="Cambria Math"/>
                    <w:szCs w:val="21"/>
                  </w:rPr>
                  <m:t>=</m:t>
                </m:r>
                <m:r>
                  <m:rPr>
                    <m:sty m:val="p"/>
                  </m:rPr>
                  <w:rPr>
                    <w:rFonts w:ascii="Cambria Math" w:hAnsi="Cambria Math"/>
                    <w:szCs w:val="21"/>
                  </w:rPr>
                  <m:t>10lg⁡[</m:t>
                </m:r>
                <m:f>
                  <m:fPr>
                    <m:ctrlPr>
                      <w:rPr>
                        <w:rFonts w:ascii="Cambria Math" w:hAnsi="Cambria Math"/>
                        <w:bCs/>
                        <w:szCs w:val="21"/>
                      </w:rPr>
                    </m:ctrlPr>
                  </m:fPr>
                  <m:num>
                    <m:r>
                      <m:rPr/>
                      <w:rPr>
                        <w:rFonts w:ascii="Cambria Math" w:hAnsi="Cambria Math"/>
                        <w:szCs w:val="21"/>
                      </w:rPr>
                      <m:t>1</m:t>
                    </m:r>
                    <m:ctrlPr>
                      <w:rPr>
                        <w:rFonts w:ascii="Cambria Math" w:hAnsi="Cambria Math"/>
                        <w:bCs/>
                        <w:szCs w:val="21"/>
                      </w:rPr>
                    </m:ctrlPr>
                  </m:num>
                  <m:den>
                    <m:r>
                      <m:rPr/>
                      <w:rPr>
                        <w:rFonts w:ascii="Cambria Math" w:hAnsi="Cambria Math"/>
                        <w:szCs w:val="21"/>
                      </w:rPr>
                      <m:t>T</m:t>
                    </m:r>
                    <m:ctrlPr>
                      <w:rPr>
                        <w:rFonts w:ascii="Cambria Math" w:hAnsi="Cambria Math"/>
                        <w:bCs/>
                        <w:szCs w:val="21"/>
                      </w:rPr>
                    </m:ctrlPr>
                  </m:den>
                </m:f>
                <m:r>
                  <m:rPr/>
                  <w:rPr>
                    <w:rFonts w:hint="eastAsia" w:ascii="Cambria Math" w:hAnsi="Cambria Math"/>
                    <w:szCs w:val="21"/>
                  </w:rPr>
                  <m:t>（</m:t>
                </m:r>
                <m:nary>
                  <m:naryPr>
                    <m:chr m:val="∑"/>
                    <m:limLoc m:val="undOvr"/>
                    <m:ctrlPr>
                      <w:rPr>
                        <w:rFonts w:ascii="Cambria Math" w:hAnsi="Cambria Math"/>
                        <w:bCs/>
                        <w:i/>
                        <w:szCs w:val="21"/>
                      </w:rPr>
                    </m:ctrlPr>
                  </m:naryPr>
                  <m:sub>
                    <m:r>
                      <m:rPr/>
                      <w:rPr>
                        <w:rFonts w:hint="eastAsia" w:ascii="Cambria Math" w:hAnsi="Cambria Math"/>
                        <w:szCs w:val="21"/>
                      </w:rPr>
                      <m:t>i=</m:t>
                    </m:r>
                    <m:r>
                      <m:rPr/>
                      <w:rPr>
                        <w:rFonts w:ascii="Cambria Math" w:hAnsi="Cambria Math"/>
                        <w:szCs w:val="21"/>
                      </w:rPr>
                      <m:t>1</m:t>
                    </m:r>
                    <m:ctrlPr>
                      <w:rPr>
                        <w:rFonts w:ascii="Cambria Math" w:hAnsi="Cambria Math"/>
                        <w:bCs/>
                        <w:szCs w:val="21"/>
                      </w:rPr>
                    </m:ctrlPr>
                  </m:sub>
                  <m:sup>
                    <m:r>
                      <m:rPr/>
                      <w:rPr>
                        <w:rFonts w:ascii="Cambria Math" w:hAnsi="Cambria Math"/>
                        <w:szCs w:val="21"/>
                      </w:rPr>
                      <m:t>N</m:t>
                    </m:r>
                    <m:ctrlPr>
                      <w:rPr>
                        <w:rFonts w:ascii="Cambria Math" w:hAnsi="Cambria Math"/>
                        <w:bCs/>
                        <w:szCs w:val="21"/>
                      </w:rPr>
                    </m:ctrlPr>
                  </m:sup>
                  <m:e>
                    <m:sSub>
                      <m:sSubPr>
                        <m:ctrlPr>
                          <w:rPr>
                            <w:rFonts w:ascii="Cambria Math" w:hAnsi="Cambria Math"/>
                            <w:bCs/>
                            <w:i/>
                            <w:szCs w:val="21"/>
                          </w:rPr>
                        </m:ctrlPr>
                      </m:sSubPr>
                      <m:e>
                        <m:r>
                          <m:rPr/>
                          <w:rPr>
                            <w:rFonts w:hint="eastAsia" w:ascii="Cambria Math" w:hAnsi="Cambria Math"/>
                            <w:szCs w:val="21"/>
                          </w:rPr>
                          <m:t>t</m:t>
                        </m:r>
                        <m:ctrlPr>
                          <w:rPr>
                            <w:rFonts w:ascii="Cambria Math" w:hAnsi="Cambria Math"/>
                            <w:bCs/>
                            <w:szCs w:val="21"/>
                          </w:rPr>
                        </m:ctrlPr>
                      </m:e>
                      <m:sub>
                        <m:r>
                          <m:rPr/>
                          <w:rPr>
                            <w:rFonts w:hint="eastAsia" w:ascii="Cambria Math" w:hAnsi="Cambria Math"/>
                            <w:szCs w:val="21"/>
                          </w:rPr>
                          <m:t>i</m:t>
                        </m:r>
                        <m:ctrlPr>
                          <w:rPr>
                            <w:rFonts w:ascii="Cambria Math" w:hAnsi="Cambria Math"/>
                            <w:bCs/>
                            <w:szCs w:val="21"/>
                          </w:rPr>
                        </m:ctrlPr>
                      </m:sub>
                    </m:sSub>
                    <m:ctrlPr>
                      <w:rPr>
                        <w:rFonts w:ascii="Cambria Math" w:hAnsi="Cambria Math"/>
                        <w:bCs/>
                        <w:i/>
                        <w:szCs w:val="21"/>
                      </w:rPr>
                    </m:ctrlPr>
                  </m:e>
                </m:nary>
                <m:sSup>
                  <m:sSupPr>
                    <m:ctrlPr>
                      <w:rPr>
                        <w:rFonts w:ascii="Cambria Math" w:hAnsi="Cambria Math"/>
                        <w:bCs/>
                        <w:i/>
                        <w:szCs w:val="21"/>
                      </w:rPr>
                    </m:ctrlPr>
                  </m:sSupPr>
                  <m:e>
                    <m:r>
                      <m:rPr/>
                      <w:rPr>
                        <w:rFonts w:ascii="Cambria Math" w:hAnsi="Cambria Math"/>
                        <w:szCs w:val="21"/>
                      </w:rPr>
                      <m:t>10</m:t>
                    </m:r>
                    <m:ctrlPr>
                      <w:rPr>
                        <w:rFonts w:ascii="Cambria Math" w:hAnsi="Cambria Math"/>
                        <w:bCs/>
                        <w:i/>
                        <w:szCs w:val="21"/>
                      </w:rPr>
                    </m:ctrlPr>
                  </m:e>
                  <m:sup>
                    <m:r>
                      <m:rPr/>
                      <w:rPr>
                        <w:rFonts w:ascii="Cambria Math" w:hAnsi="Cambria Math"/>
                        <w:szCs w:val="21"/>
                      </w:rPr>
                      <m:t>0.1</m:t>
                    </m:r>
                    <m:sSub>
                      <m:sSubPr>
                        <m:ctrlPr>
                          <w:rPr>
                            <w:rFonts w:ascii="Cambria Math" w:hAnsi="Cambria Math"/>
                            <w:bCs/>
                            <w:i/>
                            <w:szCs w:val="21"/>
                          </w:rPr>
                        </m:ctrlPr>
                      </m:sSubPr>
                      <m:e>
                        <m:r>
                          <m:rPr/>
                          <w:rPr>
                            <w:rFonts w:ascii="Cambria Math" w:hAnsi="Cambria Math"/>
                            <w:szCs w:val="21"/>
                          </w:rPr>
                          <m:t>L</m:t>
                        </m:r>
                        <m:ctrlPr>
                          <w:rPr>
                            <w:rFonts w:ascii="Cambria Math" w:hAnsi="Cambria Math"/>
                            <w:bCs/>
                            <w:szCs w:val="21"/>
                          </w:rPr>
                        </m:ctrlPr>
                      </m:e>
                      <m:sub>
                        <m:r>
                          <m:rPr/>
                          <w:rPr>
                            <w:rFonts w:ascii="Cambria Math" w:hAnsi="Cambria Math"/>
                            <w:szCs w:val="21"/>
                          </w:rPr>
                          <m:t>A</m:t>
                        </m:r>
                        <m:r>
                          <m:rPr/>
                          <w:rPr>
                            <w:rFonts w:hint="eastAsia" w:ascii="Cambria Math" w:hAnsi="Cambria Math"/>
                            <w:szCs w:val="21"/>
                          </w:rPr>
                          <m:t>i</m:t>
                        </m:r>
                        <m:ctrlPr>
                          <w:rPr>
                            <w:rFonts w:ascii="Cambria Math" w:hAnsi="Cambria Math"/>
                            <w:bCs/>
                            <w:szCs w:val="21"/>
                          </w:rPr>
                        </m:ctrlPr>
                      </m:sub>
                    </m:sSub>
                    <m:ctrlPr>
                      <w:rPr>
                        <w:rFonts w:ascii="Cambria Math" w:hAnsi="Cambria Math"/>
                        <w:bCs/>
                        <w:i/>
                        <w:szCs w:val="21"/>
                      </w:rPr>
                    </m:ctrlPr>
                  </m:sup>
                </m:sSup>
                <m:r>
                  <m:rPr/>
                  <w:rPr>
                    <w:rFonts w:ascii="Cambria Math" w:hAnsi="Cambria Math"/>
                    <w:szCs w:val="21"/>
                  </w:rPr>
                  <m:t>+</m:t>
                </m:r>
                <m:nary>
                  <m:naryPr>
                    <m:chr m:val="∑"/>
                    <m:limLoc m:val="undOvr"/>
                    <m:ctrlPr>
                      <w:rPr>
                        <w:rFonts w:ascii="Cambria Math" w:hAnsi="Cambria Math"/>
                        <w:bCs/>
                        <w:i/>
                        <w:szCs w:val="21"/>
                      </w:rPr>
                    </m:ctrlPr>
                  </m:naryPr>
                  <m:sub>
                    <m:r>
                      <m:rPr/>
                      <w:rPr>
                        <w:rFonts w:hint="eastAsia" w:ascii="Cambria Math" w:hAnsi="Cambria Math"/>
                        <w:szCs w:val="21"/>
                      </w:rPr>
                      <m:t>j=</m:t>
                    </m:r>
                    <m:r>
                      <m:rPr/>
                      <w:rPr>
                        <w:rFonts w:ascii="Cambria Math" w:hAnsi="Cambria Math"/>
                        <w:szCs w:val="21"/>
                      </w:rPr>
                      <m:t>1</m:t>
                    </m:r>
                    <m:ctrlPr>
                      <w:rPr>
                        <w:rFonts w:ascii="Cambria Math" w:hAnsi="Cambria Math"/>
                        <w:bCs/>
                        <w:i/>
                        <w:szCs w:val="21"/>
                      </w:rPr>
                    </m:ctrlPr>
                  </m:sub>
                  <m:sup>
                    <m:r>
                      <m:rPr/>
                      <w:rPr>
                        <w:rFonts w:ascii="Cambria Math" w:hAnsi="Cambria Math"/>
                        <w:szCs w:val="21"/>
                      </w:rPr>
                      <m:t>M</m:t>
                    </m:r>
                    <m:ctrlPr>
                      <w:rPr>
                        <w:rFonts w:ascii="Cambria Math" w:hAnsi="Cambria Math"/>
                        <w:bCs/>
                        <w:i/>
                        <w:szCs w:val="21"/>
                      </w:rPr>
                    </m:ctrlPr>
                  </m:sup>
                  <m:e>
                    <m:sSub>
                      <m:sSubPr>
                        <m:ctrlPr>
                          <w:rPr>
                            <w:rFonts w:ascii="Cambria Math" w:hAnsi="Cambria Math"/>
                            <w:bCs/>
                            <w:i/>
                            <w:szCs w:val="21"/>
                          </w:rPr>
                        </m:ctrlPr>
                      </m:sSubPr>
                      <m:e>
                        <m:r>
                          <m:rPr/>
                          <w:rPr>
                            <w:rFonts w:hint="eastAsia" w:ascii="Cambria Math" w:hAnsi="Cambria Math"/>
                            <w:szCs w:val="21"/>
                          </w:rPr>
                          <m:t>t</m:t>
                        </m:r>
                        <m:ctrlPr>
                          <w:rPr>
                            <w:rFonts w:ascii="Cambria Math" w:hAnsi="Cambria Math"/>
                            <w:bCs/>
                            <w:szCs w:val="21"/>
                          </w:rPr>
                        </m:ctrlPr>
                      </m:e>
                      <m:sub>
                        <m:r>
                          <m:rPr/>
                          <w:rPr>
                            <w:rFonts w:hint="eastAsia" w:ascii="Cambria Math" w:hAnsi="Cambria Math"/>
                            <w:szCs w:val="21"/>
                          </w:rPr>
                          <m:t>j</m:t>
                        </m:r>
                        <m:ctrlPr>
                          <w:rPr>
                            <w:rFonts w:ascii="Cambria Math" w:hAnsi="Cambria Math"/>
                            <w:bCs/>
                            <w:szCs w:val="21"/>
                          </w:rPr>
                        </m:ctrlPr>
                      </m:sub>
                    </m:sSub>
                    <m:ctrlPr>
                      <w:rPr>
                        <w:rFonts w:ascii="Cambria Math" w:hAnsi="Cambria Math"/>
                        <w:bCs/>
                        <w:i/>
                        <w:szCs w:val="21"/>
                      </w:rPr>
                    </m:ctrlPr>
                  </m:e>
                </m:nary>
                <m:sSup>
                  <m:sSupPr>
                    <m:ctrlPr>
                      <w:rPr>
                        <w:rFonts w:ascii="Cambria Math" w:hAnsi="Cambria Math"/>
                        <w:bCs/>
                        <w:i/>
                        <w:szCs w:val="21"/>
                      </w:rPr>
                    </m:ctrlPr>
                  </m:sSupPr>
                  <m:e>
                    <m:r>
                      <m:rPr/>
                      <w:rPr>
                        <w:rFonts w:ascii="Cambria Math" w:hAnsi="Cambria Math"/>
                        <w:szCs w:val="21"/>
                      </w:rPr>
                      <m:t>10</m:t>
                    </m:r>
                    <m:ctrlPr>
                      <w:rPr>
                        <w:rFonts w:ascii="Cambria Math" w:hAnsi="Cambria Math"/>
                        <w:bCs/>
                        <w:i/>
                        <w:szCs w:val="21"/>
                      </w:rPr>
                    </m:ctrlPr>
                  </m:e>
                  <m:sup>
                    <m:r>
                      <m:rPr/>
                      <w:rPr>
                        <w:rFonts w:ascii="Cambria Math" w:hAnsi="Cambria Math"/>
                        <w:szCs w:val="21"/>
                      </w:rPr>
                      <m:t>0.1</m:t>
                    </m:r>
                    <m:sSub>
                      <m:sSubPr>
                        <m:ctrlPr>
                          <w:rPr>
                            <w:rFonts w:ascii="Cambria Math" w:hAnsi="Cambria Math"/>
                            <w:bCs/>
                            <w:i/>
                            <w:szCs w:val="21"/>
                          </w:rPr>
                        </m:ctrlPr>
                      </m:sSubPr>
                      <m:e>
                        <m:r>
                          <m:rPr/>
                          <w:rPr>
                            <w:rFonts w:ascii="Cambria Math" w:hAnsi="Cambria Math"/>
                            <w:szCs w:val="21"/>
                          </w:rPr>
                          <m:t>L</m:t>
                        </m:r>
                        <m:ctrlPr>
                          <w:rPr>
                            <w:rFonts w:ascii="Cambria Math" w:hAnsi="Cambria Math"/>
                            <w:bCs/>
                            <w:szCs w:val="21"/>
                          </w:rPr>
                        </m:ctrlPr>
                      </m:e>
                      <m:sub>
                        <m:r>
                          <m:rPr/>
                          <w:rPr>
                            <w:rFonts w:ascii="Cambria Math" w:hAnsi="Cambria Math"/>
                            <w:szCs w:val="21"/>
                          </w:rPr>
                          <m:t>A</m:t>
                        </m:r>
                        <m:r>
                          <m:rPr/>
                          <w:rPr>
                            <w:rFonts w:hint="eastAsia" w:ascii="Cambria Math" w:hAnsi="Cambria Math"/>
                            <w:szCs w:val="21"/>
                          </w:rPr>
                          <m:t>j</m:t>
                        </m:r>
                        <m:ctrlPr>
                          <w:rPr>
                            <w:rFonts w:ascii="Cambria Math" w:hAnsi="Cambria Math"/>
                            <w:bCs/>
                            <w:szCs w:val="21"/>
                          </w:rPr>
                        </m:ctrlPr>
                      </m:sub>
                    </m:sSub>
                    <m:ctrlPr>
                      <w:rPr>
                        <w:rFonts w:ascii="Cambria Math" w:hAnsi="Cambria Math"/>
                        <w:bCs/>
                        <w:i/>
                        <w:szCs w:val="21"/>
                      </w:rPr>
                    </m:ctrlPr>
                  </m:sup>
                </m:sSup>
                <m:r>
                  <m:rPr/>
                  <w:rPr>
                    <w:rFonts w:hint="eastAsia" w:ascii="Cambria Math" w:hAnsi="Cambria Math"/>
                    <w:szCs w:val="21"/>
                  </w:rPr>
                  <m:t>）</m:t>
                </m:r>
              </m:oMath>
            </m:oMathPara>
          </w:p>
          <w:p>
            <w:pPr>
              <w:ind w:firstLine="480"/>
              <w:rPr>
                <w:bCs/>
                <w:szCs w:val="21"/>
              </w:rPr>
            </w:pPr>
            <w:r>
              <w:rPr>
                <w:rFonts w:hint="eastAsia"/>
                <w:bCs/>
                <w:szCs w:val="21"/>
              </w:rPr>
              <w:t>式中：</w:t>
            </w:r>
            <w:r>
              <w:rPr>
                <w:bCs/>
                <w:szCs w:val="21"/>
              </w:rPr>
              <w:t>L</w:t>
            </w:r>
            <w:r>
              <w:rPr>
                <w:bCs/>
                <w:szCs w:val="21"/>
                <w:vertAlign w:val="subscript"/>
              </w:rPr>
              <w:t>eqg</w:t>
            </w:r>
            <w:r>
              <w:rPr>
                <w:bCs/>
                <w:szCs w:val="21"/>
              </w:rPr>
              <w:t>——</w:t>
            </w:r>
            <w:r>
              <w:rPr>
                <w:rFonts w:hint="eastAsia"/>
                <w:bCs/>
                <w:szCs w:val="21"/>
              </w:rPr>
              <w:t>建设项目声源在预测点产生的噪声贡献值，</w:t>
            </w:r>
            <w:r>
              <w:rPr>
                <w:bCs/>
                <w:szCs w:val="21"/>
              </w:rPr>
              <w:t>dB</w:t>
            </w:r>
            <w:r>
              <w:rPr>
                <w:rFonts w:hint="eastAsia"/>
                <w:bCs/>
                <w:szCs w:val="21"/>
              </w:rPr>
              <w:t>；</w:t>
            </w:r>
          </w:p>
          <w:p>
            <w:pPr>
              <w:ind w:firstLine="480"/>
              <w:rPr>
                <w:bCs/>
                <w:szCs w:val="21"/>
              </w:rPr>
            </w:pPr>
            <w:r>
              <w:rPr>
                <w:bCs/>
                <w:szCs w:val="21"/>
              </w:rPr>
              <w:t>T ——</w:t>
            </w:r>
            <w:r>
              <w:rPr>
                <w:rFonts w:hint="eastAsia"/>
                <w:bCs/>
                <w:szCs w:val="21"/>
              </w:rPr>
              <w:t>用于计算等效声级的时间，</w:t>
            </w:r>
            <w:r>
              <w:rPr>
                <w:bCs/>
                <w:szCs w:val="21"/>
              </w:rPr>
              <w:t>s</w:t>
            </w:r>
            <w:r>
              <w:rPr>
                <w:rFonts w:hint="eastAsia"/>
                <w:bCs/>
                <w:szCs w:val="21"/>
              </w:rPr>
              <w:t>；</w:t>
            </w:r>
          </w:p>
          <w:p>
            <w:pPr>
              <w:ind w:firstLine="480"/>
              <w:rPr>
                <w:bCs/>
                <w:szCs w:val="21"/>
              </w:rPr>
            </w:pPr>
            <w:r>
              <w:rPr>
                <w:bCs/>
                <w:szCs w:val="21"/>
              </w:rPr>
              <w:t>N ——</w:t>
            </w:r>
            <w:r>
              <w:rPr>
                <w:rFonts w:hint="eastAsia"/>
                <w:bCs/>
                <w:szCs w:val="21"/>
              </w:rPr>
              <w:t>室外声源个数；</w:t>
            </w:r>
          </w:p>
          <w:p>
            <w:pPr>
              <w:ind w:firstLine="480"/>
              <w:rPr>
                <w:bCs/>
                <w:szCs w:val="21"/>
              </w:rPr>
            </w:pPr>
            <w:r>
              <w:rPr>
                <w:rFonts w:hint="eastAsia"/>
                <w:bCs/>
                <w:szCs w:val="21"/>
              </w:rPr>
              <w:t>t</w:t>
            </w:r>
            <w:r>
              <w:rPr>
                <w:rFonts w:hint="eastAsia"/>
                <w:bCs/>
                <w:szCs w:val="21"/>
                <w:vertAlign w:val="subscript"/>
              </w:rPr>
              <w:t>i</w:t>
            </w:r>
            <w:r>
              <w:rPr>
                <w:bCs/>
                <w:szCs w:val="21"/>
              </w:rPr>
              <w:t>——</w:t>
            </w:r>
            <w:r>
              <w:rPr>
                <w:rFonts w:hint="eastAsia"/>
                <w:bCs/>
                <w:szCs w:val="21"/>
              </w:rPr>
              <w:t>在</w:t>
            </w:r>
            <w:r>
              <w:rPr>
                <w:bCs/>
                <w:szCs w:val="21"/>
              </w:rPr>
              <w:t>T</w:t>
            </w:r>
            <w:r>
              <w:rPr>
                <w:rFonts w:hint="eastAsia"/>
                <w:bCs/>
                <w:szCs w:val="21"/>
              </w:rPr>
              <w:t>时间内</w:t>
            </w:r>
            <w:r>
              <w:rPr>
                <w:bCs/>
                <w:szCs w:val="21"/>
              </w:rPr>
              <w:t>i</w:t>
            </w:r>
            <w:r>
              <w:rPr>
                <w:rFonts w:hint="eastAsia"/>
                <w:bCs/>
                <w:szCs w:val="21"/>
              </w:rPr>
              <w:t>声源工作时间，</w:t>
            </w:r>
            <w:r>
              <w:rPr>
                <w:bCs/>
                <w:szCs w:val="21"/>
              </w:rPr>
              <w:t>s</w:t>
            </w:r>
            <w:r>
              <w:rPr>
                <w:rFonts w:hint="eastAsia"/>
                <w:bCs/>
                <w:szCs w:val="21"/>
              </w:rPr>
              <w:t>；</w:t>
            </w:r>
          </w:p>
          <w:p>
            <w:pPr>
              <w:ind w:firstLine="480"/>
              <w:rPr>
                <w:bCs/>
                <w:szCs w:val="21"/>
              </w:rPr>
            </w:pPr>
            <w:r>
              <w:rPr>
                <w:bCs/>
                <w:szCs w:val="21"/>
              </w:rPr>
              <w:t>M ——</w:t>
            </w:r>
            <w:r>
              <w:rPr>
                <w:rFonts w:hint="eastAsia"/>
                <w:bCs/>
                <w:szCs w:val="21"/>
              </w:rPr>
              <w:t>等效室外声源个数；</w:t>
            </w:r>
          </w:p>
          <w:p>
            <w:pPr>
              <w:ind w:firstLine="480"/>
              <w:rPr>
                <w:bCs/>
                <w:szCs w:val="21"/>
              </w:rPr>
            </w:pPr>
            <w:r>
              <w:rPr>
                <w:rFonts w:hint="eastAsia"/>
                <w:bCs/>
                <w:szCs w:val="21"/>
              </w:rPr>
              <w:t>t</w:t>
            </w:r>
            <w:r>
              <w:rPr>
                <w:rFonts w:hint="eastAsia"/>
                <w:bCs/>
                <w:szCs w:val="21"/>
                <w:vertAlign w:val="subscript"/>
              </w:rPr>
              <w:t>j</w:t>
            </w:r>
            <w:r>
              <w:rPr>
                <w:bCs/>
                <w:szCs w:val="21"/>
              </w:rPr>
              <w:t>——</w:t>
            </w:r>
            <w:r>
              <w:rPr>
                <w:rFonts w:hint="eastAsia"/>
                <w:bCs/>
                <w:szCs w:val="21"/>
              </w:rPr>
              <w:t>在</w:t>
            </w:r>
            <w:r>
              <w:rPr>
                <w:bCs/>
                <w:szCs w:val="21"/>
              </w:rPr>
              <w:t>T</w:t>
            </w:r>
            <w:r>
              <w:rPr>
                <w:rFonts w:hint="eastAsia"/>
                <w:bCs/>
                <w:szCs w:val="21"/>
              </w:rPr>
              <w:t>时间内</w:t>
            </w:r>
            <w:r>
              <w:rPr>
                <w:bCs/>
                <w:szCs w:val="21"/>
              </w:rPr>
              <w:t>j</w:t>
            </w:r>
            <w:r>
              <w:rPr>
                <w:rFonts w:hint="eastAsia"/>
                <w:bCs/>
                <w:szCs w:val="21"/>
              </w:rPr>
              <w:t>声源工作时间，</w:t>
            </w:r>
            <w:r>
              <w:rPr>
                <w:bCs/>
                <w:szCs w:val="21"/>
              </w:rPr>
              <w:t>s</w:t>
            </w:r>
            <w:r>
              <w:rPr>
                <w:rFonts w:hint="eastAsia"/>
                <w:bCs/>
                <w:szCs w:val="21"/>
              </w:rPr>
              <w:t>。</w:t>
            </w:r>
          </w:p>
          <w:p>
            <w:pPr>
              <w:ind w:firstLine="480"/>
              <w:rPr>
                <w:bCs/>
                <w:szCs w:val="21"/>
              </w:rPr>
            </w:pPr>
            <w:r>
              <w:rPr>
                <w:rFonts w:hint="eastAsia"/>
                <w:bCs/>
                <w:szCs w:val="21"/>
              </w:rPr>
              <w:t>④噪声预测值计算</w:t>
            </w:r>
          </w:p>
          <w:p>
            <w:pPr>
              <w:ind w:firstLine="480"/>
              <w:rPr>
                <w:bCs/>
                <w:szCs w:val="21"/>
              </w:rPr>
            </w:pPr>
            <w:r>
              <w:rPr>
                <w:rFonts w:hint="eastAsia"/>
                <w:bCs/>
                <w:szCs w:val="21"/>
              </w:rPr>
              <w:t>预测点的贡献值和背景值按能量叠加方法计算得到的声级。</w:t>
            </w:r>
          </w:p>
          <w:p>
            <w:pPr>
              <w:ind w:firstLine="480"/>
              <w:rPr>
                <w:bCs/>
                <w:szCs w:val="21"/>
              </w:rPr>
            </w:pPr>
            <w:r>
              <w:rPr>
                <w:rFonts w:hint="eastAsia"/>
                <w:bCs/>
                <w:szCs w:val="21"/>
              </w:rPr>
              <w:t>噪声预测值（L</w:t>
            </w:r>
            <w:r>
              <w:rPr>
                <w:rFonts w:hint="eastAsia"/>
                <w:bCs/>
                <w:szCs w:val="21"/>
                <w:vertAlign w:val="subscript"/>
              </w:rPr>
              <w:t>eq</w:t>
            </w:r>
            <w:r>
              <w:rPr>
                <w:rFonts w:hint="eastAsia"/>
                <w:bCs/>
                <w:szCs w:val="21"/>
              </w:rPr>
              <w:t>）计算公式为：</w:t>
            </w:r>
          </w:p>
          <w:p>
            <w:pPr>
              <w:ind w:firstLine="480"/>
              <w:jc w:val="center"/>
              <w:rPr>
                <w:bCs/>
                <w:szCs w:val="21"/>
              </w:rPr>
            </w:pPr>
            <w:r>
              <w:rPr>
                <w:rFonts w:hint="eastAsia"/>
                <w:bCs/>
                <w:szCs w:val="21"/>
              </w:rPr>
              <w:t>L</w:t>
            </w:r>
            <w:r>
              <w:rPr>
                <w:rFonts w:hint="eastAsia"/>
                <w:bCs/>
                <w:szCs w:val="21"/>
                <w:vertAlign w:val="subscript"/>
              </w:rPr>
              <w:t>eq</w:t>
            </w:r>
            <w:r>
              <w:rPr>
                <w:rFonts w:hint="eastAsia"/>
                <w:bCs/>
                <w:szCs w:val="21"/>
              </w:rPr>
              <w:t>=</w:t>
            </w:r>
            <w:r>
              <w:rPr>
                <w:bCs/>
                <w:szCs w:val="21"/>
              </w:rPr>
              <w:t>10</w:t>
            </w:r>
            <w:r>
              <w:rPr>
                <w:rFonts w:hint="eastAsia"/>
                <w:bCs/>
                <w:szCs w:val="21"/>
              </w:rPr>
              <w:t>lg（1</w:t>
            </w:r>
            <w:r>
              <w:rPr>
                <w:bCs/>
                <w:szCs w:val="21"/>
              </w:rPr>
              <w:t>0</w:t>
            </w:r>
            <w:r>
              <w:rPr>
                <w:bCs/>
                <w:szCs w:val="21"/>
                <w:vertAlign w:val="superscript"/>
              </w:rPr>
              <w:t>0.1L</w:t>
            </w:r>
            <w:r>
              <w:rPr>
                <w:rFonts w:hint="eastAsia"/>
                <w:bCs/>
                <w:szCs w:val="21"/>
                <w:vertAlign w:val="superscript"/>
              </w:rPr>
              <w:t>eqg</w:t>
            </w:r>
            <w:r>
              <w:rPr>
                <w:bCs/>
                <w:szCs w:val="21"/>
              </w:rPr>
              <w:t>+</w:t>
            </w:r>
            <w:r>
              <w:rPr>
                <w:rFonts w:hint="eastAsia"/>
                <w:bCs/>
                <w:szCs w:val="21"/>
              </w:rPr>
              <w:t>1</w:t>
            </w:r>
            <w:r>
              <w:rPr>
                <w:bCs/>
                <w:szCs w:val="21"/>
              </w:rPr>
              <w:t>0</w:t>
            </w:r>
            <w:r>
              <w:rPr>
                <w:bCs/>
                <w:szCs w:val="21"/>
                <w:vertAlign w:val="superscript"/>
              </w:rPr>
              <w:t>0.1L</w:t>
            </w:r>
            <w:r>
              <w:rPr>
                <w:rFonts w:hint="eastAsia"/>
                <w:bCs/>
                <w:szCs w:val="21"/>
                <w:vertAlign w:val="superscript"/>
              </w:rPr>
              <w:t>eqb</w:t>
            </w:r>
            <w:r>
              <w:rPr>
                <w:rFonts w:hint="eastAsia"/>
                <w:bCs/>
                <w:szCs w:val="21"/>
              </w:rPr>
              <w:t>）</w:t>
            </w:r>
          </w:p>
          <w:p>
            <w:pPr>
              <w:ind w:firstLine="480"/>
              <w:rPr>
                <w:bCs/>
                <w:szCs w:val="21"/>
              </w:rPr>
            </w:pPr>
            <w:r>
              <w:rPr>
                <w:rFonts w:hint="eastAsia"/>
                <w:bCs/>
                <w:szCs w:val="21"/>
              </w:rPr>
              <w:t>式中：L</w:t>
            </w:r>
            <w:r>
              <w:rPr>
                <w:rFonts w:hint="eastAsia"/>
                <w:bCs/>
                <w:szCs w:val="21"/>
                <w:vertAlign w:val="subscript"/>
              </w:rPr>
              <w:t>eq</w:t>
            </w:r>
            <w:r>
              <w:rPr>
                <w:bCs/>
                <w:szCs w:val="21"/>
              </w:rPr>
              <w:t>——</w:t>
            </w:r>
            <w:r>
              <w:rPr>
                <w:rFonts w:hint="eastAsia"/>
                <w:bCs/>
                <w:szCs w:val="21"/>
              </w:rPr>
              <w:t>预测点的噪声预测值，</w:t>
            </w:r>
            <w:r>
              <w:rPr>
                <w:bCs/>
                <w:szCs w:val="21"/>
              </w:rPr>
              <w:t>dB</w:t>
            </w:r>
            <w:r>
              <w:rPr>
                <w:rFonts w:hint="eastAsia"/>
                <w:bCs/>
                <w:szCs w:val="21"/>
              </w:rPr>
              <w:t>；</w:t>
            </w:r>
          </w:p>
          <w:p>
            <w:pPr>
              <w:ind w:firstLine="480"/>
              <w:rPr>
                <w:bCs/>
                <w:szCs w:val="21"/>
              </w:rPr>
            </w:pPr>
            <w:r>
              <w:rPr>
                <w:rFonts w:hint="eastAsia"/>
                <w:bCs/>
                <w:szCs w:val="21"/>
              </w:rPr>
              <w:t>L</w:t>
            </w:r>
            <w:r>
              <w:rPr>
                <w:rFonts w:hint="eastAsia"/>
                <w:bCs/>
                <w:szCs w:val="21"/>
                <w:vertAlign w:val="subscript"/>
              </w:rPr>
              <w:t>eqg</w:t>
            </w:r>
            <w:r>
              <w:rPr>
                <w:bCs/>
                <w:szCs w:val="21"/>
              </w:rPr>
              <w:t>——</w:t>
            </w:r>
            <w:r>
              <w:rPr>
                <w:rFonts w:hint="eastAsia"/>
                <w:bCs/>
                <w:szCs w:val="21"/>
              </w:rPr>
              <w:t>建设项目声源在预测点产生的噪声贡献值，</w:t>
            </w:r>
            <w:r>
              <w:rPr>
                <w:bCs/>
                <w:szCs w:val="21"/>
              </w:rPr>
              <w:t>dB</w:t>
            </w:r>
            <w:r>
              <w:rPr>
                <w:rFonts w:hint="eastAsia"/>
                <w:bCs/>
                <w:szCs w:val="21"/>
              </w:rPr>
              <w:t>；</w:t>
            </w:r>
          </w:p>
          <w:p>
            <w:pPr>
              <w:ind w:firstLine="480"/>
              <w:rPr>
                <w:bCs/>
                <w:szCs w:val="21"/>
              </w:rPr>
            </w:pPr>
            <w:r>
              <w:rPr>
                <w:rFonts w:hint="eastAsia"/>
                <w:bCs/>
                <w:szCs w:val="21"/>
              </w:rPr>
              <w:t>L</w:t>
            </w:r>
            <w:r>
              <w:rPr>
                <w:rFonts w:hint="eastAsia"/>
                <w:bCs/>
                <w:szCs w:val="21"/>
                <w:vertAlign w:val="subscript"/>
              </w:rPr>
              <w:t>eqb</w:t>
            </w:r>
            <w:r>
              <w:rPr>
                <w:bCs/>
                <w:szCs w:val="21"/>
              </w:rPr>
              <w:t>——</w:t>
            </w:r>
            <w:r>
              <w:rPr>
                <w:rFonts w:hint="eastAsia"/>
                <w:bCs/>
                <w:szCs w:val="21"/>
              </w:rPr>
              <w:t>预测点的背景噪声值，</w:t>
            </w:r>
            <w:r>
              <w:rPr>
                <w:bCs/>
                <w:szCs w:val="21"/>
              </w:rPr>
              <w:t>dB</w:t>
            </w:r>
            <w:r>
              <w:rPr>
                <w:rFonts w:hint="eastAsia"/>
                <w:bCs/>
                <w:szCs w:val="21"/>
              </w:rPr>
              <w:t>。</w:t>
            </w:r>
          </w:p>
          <w:p>
            <w:pPr>
              <w:ind w:firstLine="480"/>
              <w:jc w:val="center"/>
              <w:rPr>
                <w:bCs/>
                <w:szCs w:val="21"/>
              </w:rPr>
            </w:pPr>
            <w:r>
              <w:rPr>
                <w:bCs/>
                <w:szCs w:val="21"/>
              </w:rPr>
              <w:drawing>
                <wp:inline distT="0" distB="0" distL="0" distR="0">
                  <wp:extent cx="1924050" cy="238125"/>
                  <wp:effectExtent l="0" t="0" r="0" b="9525"/>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noChangeArrowheads="true"/>
                          </pic:cNvPicPr>
                        </pic:nvPicPr>
                        <pic:blipFill>
                          <a:blip r:embed="rId25" cstate="print">
                            <a:extLst>
                              <a:ext uri="{28A0092B-C50C-407E-A947-70E740481C1C}">
                                <a14:useLocalDpi xmlns:a14="http://schemas.microsoft.com/office/drawing/2010/main" val="false"/>
                              </a:ext>
                            </a:extLst>
                          </a:blip>
                          <a:srcRect/>
                          <a:stretch>
                            <a:fillRect/>
                          </a:stretch>
                        </pic:blipFill>
                        <pic:spPr>
                          <a:xfrm>
                            <a:off x="0" y="0"/>
                            <a:ext cx="1924050" cy="238125"/>
                          </a:xfrm>
                          <a:prstGeom prst="rect">
                            <a:avLst/>
                          </a:prstGeom>
                          <a:noFill/>
                          <a:ln>
                            <a:noFill/>
                          </a:ln>
                        </pic:spPr>
                      </pic:pic>
                    </a:graphicData>
                  </a:graphic>
                </wp:inline>
              </w:drawing>
            </w:r>
          </w:p>
          <w:p>
            <w:pPr>
              <w:ind w:firstLine="480"/>
              <w:rPr>
                <w:bCs/>
                <w:szCs w:val="21"/>
              </w:rPr>
            </w:pPr>
            <w:r>
              <w:rPr>
                <w:bCs/>
                <w:szCs w:val="21"/>
              </w:rPr>
              <w:t>式中：</w:t>
            </w:r>
            <w:r>
              <w:rPr>
                <w:bCs/>
                <w:i/>
                <w:szCs w:val="21"/>
              </w:rPr>
              <w:t>L</w:t>
            </w:r>
            <w:r>
              <w:rPr>
                <w:bCs/>
                <w:i/>
                <w:szCs w:val="21"/>
                <w:vertAlign w:val="subscript"/>
              </w:rPr>
              <w:t>r</w:t>
            </w:r>
            <w:r>
              <w:rPr>
                <w:bCs/>
                <w:szCs w:val="21"/>
              </w:rPr>
              <w:t>——噪声受点r处的等效声级，dB；</w:t>
            </w:r>
          </w:p>
          <w:p>
            <w:pPr>
              <w:ind w:firstLine="480"/>
              <w:rPr>
                <w:bCs/>
                <w:szCs w:val="21"/>
              </w:rPr>
            </w:pPr>
            <w:r>
              <w:rPr>
                <w:bCs/>
                <w:i/>
                <w:szCs w:val="21"/>
              </w:rPr>
              <w:t>L</w:t>
            </w:r>
            <w:r>
              <w:rPr>
                <w:bCs/>
                <w:i/>
                <w:szCs w:val="21"/>
                <w:vertAlign w:val="subscript"/>
              </w:rPr>
              <w:t>r0</w:t>
            </w:r>
            <w:r>
              <w:rPr>
                <w:bCs/>
                <w:szCs w:val="21"/>
              </w:rPr>
              <w:t>——噪声受点r</w:t>
            </w:r>
            <w:r>
              <w:rPr>
                <w:bCs/>
                <w:szCs w:val="21"/>
                <w:vertAlign w:val="subscript"/>
              </w:rPr>
              <w:t>0</w:t>
            </w:r>
            <w:r>
              <w:rPr>
                <w:bCs/>
                <w:szCs w:val="21"/>
              </w:rPr>
              <w:t>处的等效声级，dB；</w:t>
            </w:r>
          </w:p>
          <w:p>
            <w:pPr>
              <w:ind w:firstLine="480"/>
              <w:rPr>
                <w:bCs/>
                <w:szCs w:val="21"/>
              </w:rPr>
            </w:pPr>
            <w:r>
              <w:rPr>
                <w:bCs/>
                <w:i/>
                <w:szCs w:val="21"/>
              </w:rPr>
              <w:t>r</w:t>
            </w:r>
            <w:r>
              <w:rPr>
                <w:bCs/>
                <w:szCs w:val="21"/>
              </w:rPr>
              <w:t>——噪声受点r处与噪声源的距离，m；</w:t>
            </w:r>
          </w:p>
          <w:p>
            <w:pPr>
              <w:ind w:firstLine="480"/>
              <w:rPr>
                <w:bCs/>
                <w:szCs w:val="21"/>
              </w:rPr>
            </w:pPr>
            <w:r>
              <w:rPr>
                <w:bCs/>
                <w:i/>
                <w:szCs w:val="21"/>
              </w:rPr>
              <w:t>r</w:t>
            </w:r>
            <w:r>
              <w:rPr>
                <w:bCs/>
                <w:i/>
                <w:szCs w:val="21"/>
                <w:vertAlign w:val="subscript"/>
              </w:rPr>
              <w:t>0</w:t>
            </w:r>
            <w:r>
              <w:rPr>
                <w:bCs/>
                <w:szCs w:val="21"/>
              </w:rPr>
              <w:t>——噪声受点r</w:t>
            </w:r>
            <w:r>
              <w:rPr>
                <w:bCs/>
                <w:szCs w:val="21"/>
                <w:vertAlign w:val="subscript"/>
              </w:rPr>
              <w:t>0</w:t>
            </w:r>
            <w:r>
              <w:rPr>
                <w:bCs/>
                <w:szCs w:val="21"/>
              </w:rPr>
              <w:t>处与噪声源的距离，m；</w:t>
            </w:r>
          </w:p>
          <w:p>
            <w:pPr>
              <w:ind w:firstLine="480"/>
              <w:rPr>
                <w:bCs/>
                <w:szCs w:val="21"/>
              </w:rPr>
            </w:pPr>
            <w:r>
              <w:rPr>
                <w:bCs/>
                <w:i/>
                <w:szCs w:val="21"/>
              </w:rPr>
              <w:t>ΔL</w:t>
            </w:r>
            <w:r>
              <w:rPr>
                <w:bCs/>
                <w:szCs w:val="21"/>
              </w:rPr>
              <w:t>——各种因素引起的衰减量，dB。</w:t>
            </w:r>
          </w:p>
          <w:p>
            <w:pPr>
              <w:ind w:firstLine="480"/>
              <w:rPr>
                <w:bCs/>
                <w:szCs w:val="21"/>
              </w:rPr>
            </w:pPr>
            <w:r>
              <w:rPr>
                <w:bCs/>
                <w:szCs w:val="21"/>
              </w:rPr>
              <w:t>叠加计算式：</w:t>
            </w:r>
          </w:p>
          <w:p>
            <w:pPr>
              <w:ind w:firstLine="480"/>
              <w:jc w:val="center"/>
              <w:rPr>
                <w:bCs/>
                <w:szCs w:val="21"/>
              </w:rPr>
            </w:pPr>
            <w:r>
              <w:rPr>
                <w:bCs/>
                <w:szCs w:val="21"/>
              </w:rPr>
              <w:drawing>
                <wp:inline distT="0" distB="0" distL="0" distR="0">
                  <wp:extent cx="1268730" cy="389890"/>
                  <wp:effectExtent l="0" t="0" r="7620"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noChangeArrowheads="true"/>
                          </pic:cNvPicPr>
                        </pic:nvPicPr>
                        <pic:blipFill>
                          <a:blip r:embed="rId26" cstate="print">
                            <a:extLst>
                              <a:ext uri="{28A0092B-C50C-407E-A947-70E740481C1C}">
                                <a14:useLocalDpi xmlns:a14="http://schemas.microsoft.com/office/drawing/2010/main" val="false"/>
                              </a:ext>
                            </a:extLst>
                          </a:blip>
                          <a:srcRect/>
                          <a:stretch>
                            <a:fillRect/>
                          </a:stretch>
                        </pic:blipFill>
                        <pic:spPr>
                          <a:xfrm>
                            <a:off x="0" y="0"/>
                            <a:ext cx="1285258" cy="394818"/>
                          </a:xfrm>
                          <a:prstGeom prst="rect">
                            <a:avLst/>
                          </a:prstGeom>
                          <a:noFill/>
                          <a:ln>
                            <a:noFill/>
                          </a:ln>
                        </pic:spPr>
                      </pic:pic>
                    </a:graphicData>
                  </a:graphic>
                </wp:inline>
              </w:drawing>
            </w:r>
          </w:p>
          <w:p>
            <w:pPr>
              <w:ind w:firstLine="480"/>
              <w:rPr>
                <w:bCs/>
                <w:szCs w:val="21"/>
              </w:rPr>
            </w:pPr>
            <w:r>
              <w:rPr>
                <w:bCs/>
                <w:szCs w:val="21"/>
              </w:rPr>
              <w:t>式中：</w:t>
            </w:r>
            <w:r>
              <w:rPr>
                <w:bCs/>
                <w:i/>
                <w:szCs w:val="21"/>
              </w:rPr>
              <w:t>L</w:t>
            </w:r>
            <w:r>
              <w:rPr>
                <w:bCs/>
                <w:i/>
                <w:szCs w:val="21"/>
                <w:vertAlign w:val="subscript"/>
              </w:rPr>
              <w:t>（总）</w:t>
            </w:r>
            <w:r>
              <w:rPr>
                <w:bCs/>
                <w:szCs w:val="21"/>
              </w:rPr>
              <w:t>——复合声压级，dB；</w:t>
            </w:r>
          </w:p>
          <w:p>
            <w:pPr>
              <w:spacing w:before="120" w:beforeLines="50"/>
              <w:ind w:firstLine="480"/>
            </w:pPr>
            <w:r>
              <w:rPr>
                <w:bCs/>
                <w:i/>
                <w:szCs w:val="21"/>
              </w:rPr>
              <w:t>L</w:t>
            </w:r>
            <w:r>
              <w:rPr>
                <w:bCs/>
                <w:i/>
                <w:szCs w:val="21"/>
                <w:vertAlign w:val="subscript"/>
              </w:rPr>
              <w:t>i</w:t>
            </w:r>
            <w:r>
              <w:rPr>
                <w:bCs/>
                <w:szCs w:val="21"/>
              </w:rPr>
              <w:t>——背景声压级或各个噪声源的影响声压级，dB。</w:t>
            </w:r>
          </w:p>
          <w:p>
            <w:pPr>
              <w:spacing w:before="120" w:beforeLines="50"/>
              <w:ind w:firstLine="480"/>
              <w:rPr>
                <w:szCs w:val="21"/>
              </w:rPr>
            </w:pPr>
            <w:r>
              <w:rPr>
                <w:szCs w:val="21"/>
              </w:rPr>
              <w:t>（2）噪声达标情况分析</w:t>
            </w:r>
          </w:p>
          <w:p>
            <w:pPr>
              <w:spacing w:before="120" w:beforeLines="50"/>
              <w:ind w:firstLine="480"/>
              <w:rPr>
                <w:szCs w:val="21"/>
              </w:rPr>
            </w:pPr>
            <w:r>
              <w:rPr>
                <w:bCs/>
                <w:szCs w:val="21"/>
              </w:rPr>
              <w:t>根据现场踏勘，</w:t>
            </w:r>
            <w:r>
              <w:rPr>
                <w:szCs w:val="21"/>
              </w:rPr>
              <w:t>项目</w:t>
            </w:r>
            <w:r>
              <w:rPr>
                <w:rFonts w:hint="eastAsia"/>
                <w:szCs w:val="21"/>
              </w:rPr>
              <w:t>使用</w:t>
            </w:r>
            <w:r>
              <w:rPr>
                <w:szCs w:val="21"/>
              </w:rPr>
              <w:t>范围</w:t>
            </w:r>
            <w:r>
              <w:rPr>
                <w:rFonts w:hint="eastAsia"/>
                <w:szCs w:val="21"/>
              </w:rPr>
              <w:t>厂界</w:t>
            </w:r>
            <w:r>
              <w:rPr>
                <w:szCs w:val="21"/>
              </w:rPr>
              <w:t>外</w:t>
            </w:r>
            <w:r>
              <w:rPr>
                <w:rFonts w:hint="eastAsia"/>
                <w:szCs w:val="21"/>
              </w:rPr>
              <w:t>50</w:t>
            </w:r>
            <w:r>
              <w:rPr>
                <w:szCs w:val="21"/>
              </w:rPr>
              <w:t>m内无</w:t>
            </w:r>
            <w:r>
              <w:rPr>
                <w:rFonts w:hint="eastAsia"/>
                <w:szCs w:val="21"/>
              </w:rPr>
              <w:t>声</w:t>
            </w:r>
            <w:r>
              <w:rPr>
                <w:szCs w:val="21"/>
              </w:rPr>
              <w:t>环境保护目标</w:t>
            </w:r>
            <w:r>
              <w:rPr>
                <w:rFonts w:hint="eastAsia"/>
                <w:szCs w:val="21"/>
              </w:rPr>
              <w:t>，</w:t>
            </w:r>
            <w:r>
              <w:rPr>
                <w:szCs w:val="21"/>
              </w:rPr>
              <w:t>四周均为工业企业</w:t>
            </w:r>
            <w:r>
              <w:rPr>
                <w:rFonts w:hint="eastAsia"/>
                <w:szCs w:val="21"/>
              </w:rPr>
              <w:t>，本项目</w:t>
            </w:r>
            <w:r>
              <w:rPr>
                <w:szCs w:val="21"/>
              </w:rPr>
              <w:t>东侧和北侧紧邻其他企业车间，</w:t>
            </w:r>
            <w:r>
              <w:rPr>
                <w:rFonts w:hint="eastAsia"/>
                <w:szCs w:val="21"/>
              </w:rPr>
              <w:t>本次</w:t>
            </w:r>
            <w:r>
              <w:rPr>
                <w:bCs/>
                <w:szCs w:val="21"/>
              </w:rPr>
              <w:t>预测噪声</w:t>
            </w:r>
            <w:r>
              <w:rPr>
                <w:rFonts w:hint="eastAsia"/>
                <w:bCs/>
                <w:szCs w:val="21"/>
              </w:rPr>
              <w:t>源对项目西</w:t>
            </w:r>
            <w:r>
              <w:rPr>
                <w:bCs/>
                <w:szCs w:val="21"/>
              </w:rPr>
              <w:t>侧和北侧厂界的贡献值</w:t>
            </w:r>
            <w:r>
              <w:rPr>
                <w:rFonts w:hint="eastAsia"/>
                <w:bCs/>
                <w:szCs w:val="21"/>
              </w:rPr>
              <w:t>，预测</w:t>
            </w:r>
            <w:r>
              <w:rPr>
                <w:bCs/>
                <w:szCs w:val="21"/>
              </w:rPr>
              <w:t>结果如下表。</w:t>
            </w:r>
          </w:p>
          <w:p>
            <w:pPr>
              <w:pStyle w:val="33"/>
              <w:spacing w:before="120"/>
            </w:pPr>
            <w:r>
              <w:t>表4-5  厂界噪声预测结果    单位：dB（A）</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56"/>
              <w:gridCol w:w="1928"/>
              <w:gridCol w:w="1624"/>
              <w:gridCol w:w="1631"/>
              <w:gridCol w:w="22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4" w:type="pct"/>
                  <w:vMerge w:val="restart"/>
                  <w:vAlign w:val="center"/>
                </w:tcPr>
                <w:p>
                  <w:pPr>
                    <w:pStyle w:val="34"/>
                    <w:jc w:val="center"/>
                  </w:pPr>
                  <w:r>
                    <w:t>预测点</w:t>
                  </w:r>
                </w:p>
              </w:tc>
              <w:tc>
                <w:tcPr>
                  <w:tcW w:w="1071" w:type="pct"/>
                  <w:vMerge w:val="restart"/>
                  <w:vAlign w:val="center"/>
                </w:tcPr>
                <w:p>
                  <w:pPr>
                    <w:pStyle w:val="34"/>
                    <w:jc w:val="center"/>
                  </w:pPr>
                  <w:r>
                    <w:t>预测结果</w:t>
                  </w:r>
                </w:p>
              </w:tc>
              <w:tc>
                <w:tcPr>
                  <w:tcW w:w="1808" w:type="pct"/>
                  <w:gridSpan w:val="2"/>
                  <w:vAlign w:val="center"/>
                </w:tcPr>
                <w:p>
                  <w:pPr>
                    <w:pStyle w:val="34"/>
                    <w:jc w:val="center"/>
                  </w:pPr>
                  <w:r>
                    <w:t>标准</w:t>
                  </w:r>
                </w:p>
              </w:tc>
              <w:tc>
                <w:tcPr>
                  <w:tcW w:w="1257" w:type="pct"/>
                  <w:vMerge w:val="restart"/>
                  <w:vAlign w:val="center"/>
                </w:tcPr>
                <w:p>
                  <w:pPr>
                    <w:pStyle w:val="34"/>
                    <w:jc w:val="center"/>
                  </w:pPr>
                  <w: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4" w:type="pct"/>
                  <w:vMerge w:val="continue"/>
                  <w:vAlign w:val="center"/>
                </w:tcPr>
                <w:p>
                  <w:pPr>
                    <w:pStyle w:val="34"/>
                    <w:jc w:val="center"/>
                  </w:pPr>
                </w:p>
              </w:tc>
              <w:tc>
                <w:tcPr>
                  <w:tcW w:w="1071" w:type="pct"/>
                  <w:vMerge w:val="continue"/>
                  <w:vAlign w:val="center"/>
                </w:tcPr>
                <w:p>
                  <w:pPr>
                    <w:pStyle w:val="34"/>
                    <w:jc w:val="center"/>
                  </w:pPr>
                </w:p>
              </w:tc>
              <w:tc>
                <w:tcPr>
                  <w:tcW w:w="902" w:type="pct"/>
                  <w:vAlign w:val="center"/>
                </w:tcPr>
                <w:p>
                  <w:pPr>
                    <w:pStyle w:val="34"/>
                    <w:jc w:val="center"/>
                  </w:pPr>
                  <w:r>
                    <w:t>昼间</w:t>
                  </w:r>
                </w:p>
              </w:tc>
              <w:tc>
                <w:tcPr>
                  <w:tcW w:w="906" w:type="pct"/>
                  <w:vAlign w:val="center"/>
                </w:tcPr>
                <w:p>
                  <w:pPr>
                    <w:pStyle w:val="34"/>
                    <w:jc w:val="center"/>
                  </w:pPr>
                  <w:r>
                    <w:rPr>
                      <w:rFonts w:hint="eastAsia"/>
                    </w:rPr>
                    <w:t>夜间</w:t>
                  </w:r>
                </w:p>
              </w:tc>
              <w:tc>
                <w:tcPr>
                  <w:tcW w:w="1257" w:type="pct"/>
                  <w:vMerge w:val="continue"/>
                  <w:vAlign w:val="center"/>
                </w:tcPr>
                <w:p>
                  <w:pPr>
                    <w:pStyle w:val="34"/>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4" w:type="pct"/>
                  <w:vAlign w:val="center"/>
                </w:tcPr>
                <w:p>
                  <w:pPr>
                    <w:pStyle w:val="34"/>
                    <w:jc w:val="center"/>
                  </w:pPr>
                  <w:r>
                    <w:t>西厂界</w:t>
                  </w:r>
                </w:p>
              </w:tc>
              <w:tc>
                <w:tcPr>
                  <w:tcW w:w="1071" w:type="pct"/>
                  <w:vAlign w:val="center"/>
                </w:tcPr>
                <w:p>
                  <w:pPr>
                    <w:pStyle w:val="34"/>
                    <w:jc w:val="center"/>
                  </w:pPr>
                  <w:r>
                    <w:t>54.2</w:t>
                  </w:r>
                </w:p>
              </w:tc>
              <w:tc>
                <w:tcPr>
                  <w:tcW w:w="902" w:type="pct"/>
                  <w:vMerge w:val="restart"/>
                  <w:vAlign w:val="center"/>
                </w:tcPr>
                <w:p>
                  <w:pPr>
                    <w:pStyle w:val="34"/>
                    <w:jc w:val="center"/>
                  </w:pPr>
                  <w:r>
                    <w:t>65</w:t>
                  </w:r>
                </w:p>
              </w:tc>
              <w:tc>
                <w:tcPr>
                  <w:tcW w:w="906" w:type="pct"/>
                  <w:vMerge w:val="restart"/>
                  <w:vAlign w:val="center"/>
                </w:tcPr>
                <w:p>
                  <w:pPr>
                    <w:pStyle w:val="34"/>
                    <w:jc w:val="center"/>
                  </w:pPr>
                  <w:r>
                    <w:rPr>
                      <w:rFonts w:hint="eastAsia"/>
                    </w:rPr>
                    <w:t>55</w:t>
                  </w:r>
                </w:p>
              </w:tc>
              <w:tc>
                <w:tcPr>
                  <w:tcW w:w="1257" w:type="pct"/>
                  <w:vAlign w:val="center"/>
                </w:tcPr>
                <w:p>
                  <w:pPr>
                    <w:pStyle w:val="34"/>
                    <w:jc w:val="center"/>
                  </w:pPr>
                  <w: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4" w:type="pct"/>
                  <w:vAlign w:val="center"/>
                </w:tcPr>
                <w:p>
                  <w:pPr>
                    <w:pStyle w:val="34"/>
                    <w:jc w:val="center"/>
                  </w:pPr>
                  <w:r>
                    <w:t>北厂界</w:t>
                  </w:r>
                </w:p>
              </w:tc>
              <w:tc>
                <w:tcPr>
                  <w:tcW w:w="1071" w:type="pct"/>
                  <w:vAlign w:val="center"/>
                </w:tcPr>
                <w:p>
                  <w:pPr>
                    <w:pStyle w:val="34"/>
                    <w:jc w:val="center"/>
                  </w:pPr>
                  <w:r>
                    <w:t>45.3</w:t>
                  </w:r>
                </w:p>
              </w:tc>
              <w:tc>
                <w:tcPr>
                  <w:tcW w:w="902" w:type="pct"/>
                  <w:vMerge w:val="continue"/>
                  <w:vAlign w:val="center"/>
                </w:tcPr>
                <w:p>
                  <w:pPr>
                    <w:pStyle w:val="34"/>
                    <w:jc w:val="center"/>
                  </w:pPr>
                </w:p>
              </w:tc>
              <w:tc>
                <w:tcPr>
                  <w:tcW w:w="906" w:type="pct"/>
                  <w:vMerge w:val="continue"/>
                  <w:vAlign w:val="center"/>
                </w:tcPr>
                <w:p>
                  <w:pPr>
                    <w:pStyle w:val="34"/>
                    <w:jc w:val="center"/>
                  </w:pPr>
                </w:p>
              </w:tc>
              <w:tc>
                <w:tcPr>
                  <w:tcW w:w="1257" w:type="pct"/>
                  <w:vAlign w:val="center"/>
                </w:tcPr>
                <w:p>
                  <w:pPr>
                    <w:pStyle w:val="34"/>
                    <w:jc w:val="center"/>
                  </w:pPr>
                  <w:r>
                    <w:t>达标</w:t>
                  </w:r>
                </w:p>
              </w:tc>
            </w:tr>
          </w:tbl>
          <w:p>
            <w:pPr>
              <w:spacing w:before="120" w:beforeLines="50"/>
              <w:ind w:firstLine="480"/>
              <w:rPr>
                <w:szCs w:val="21"/>
              </w:rPr>
            </w:pPr>
            <w:r>
              <w:rPr>
                <w:szCs w:val="21"/>
              </w:rPr>
              <w:t>根据预测结果可知，项目噪声对厂界昼</w:t>
            </w:r>
            <w:r>
              <w:rPr>
                <w:rFonts w:hint="eastAsia"/>
                <w:szCs w:val="21"/>
              </w:rPr>
              <w:t>、</w:t>
            </w:r>
            <w:r>
              <w:rPr>
                <w:szCs w:val="21"/>
              </w:rPr>
              <w:t>夜间噪声贡献值能满足</w:t>
            </w:r>
            <w:r>
              <w:rPr>
                <w:kern w:val="0"/>
                <w:szCs w:val="21"/>
              </w:rPr>
              <w:t>《工业企业厂界环境噪声排放标准》（GB12348-2008）中3类标准</w:t>
            </w:r>
            <w:r>
              <w:rPr>
                <w:rFonts w:hint="eastAsia"/>
                <w:kern w:val="0"/>
                <w:szCs w:val="21"/>
              </w:rPr>
              <w:t>，</w:t>
            </w:r>
            <w:r>
              <w:rPr>
                <w:kern w:val="0"/>
                <w:szCs w:val="21"/>
              </w:rPr>
              <w:t>根据生产班制，项目夜间不生产，项目生产噪声对环境的影响较小。</w:t>
            </w:r>
          </w:p>
          <w:p>
            <w:pPr>
              <w:ind w:firstLine="480"/>
              <w:rPr>
                <w:kern w:val="0"/>
                <w:szCs w:val="21"/>
              </w:rPr>
            </w:pPr>
            <w:r>
              <w:rPr>
                <w:szCs w:val="21"/>
              </w:rPr>
              <w:t>（3）</w:t>
            </w:r>
            <w:r>
              <w:rPr>
                <w:kern w:val="0"/>
                <w:szCs w:val="21"/>
              </w:rPr>
              <w:t>监测要求</w:t>
            </w:r>
          </w:p>
          <w:p>
            <w:pPr>
              <w:ind w:firstLine="480"/>
            </w:pPr>
            <w:r>
              <w:rPr>
                <w:kern w:val="0"/>
                <w:szCs w:val="21"/>
              </w:rPr>
              <w:t>本项目噪声监测要求如下</w:t>
            </w:r>
            <w:r>
              <w:t>：</w:t>
            </w:r>
          </w:p>
          <w:p>
            <w:pPr>
              <w:pStyle w:val="33"/>
              <w:spacing w:before="120"/>
            </w:pPr>
            <w:r>
              <w:t>表4-6  监测点位、监测项目及监测频率一览表</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12"/>
              <w:gridCol w:w="1984"/>
              <w:gridCol w:w="1982"/>
              <w:gridCol w:w="30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7" w:type="pct"/>
                  <w:vAlign w:val="center"/>
                </w:tcPr>
                <w:p>
                  <w:pPr>
                    <w:pStyle w:val="34"/>
                    <w:jc w:val="center"/>
                  </w:pPr>
                  <w:r>
                    <w:t>监测点位</w:t>
                  </w:r>
                </w:p>
              </w:tc>
              <w:tc>
                <w:tcPr>
                  <w:tcW w:w="1102" w:type="pct"/>
                  <w:vAlign w:val="center"/>
                </w:tcPr>
                <w:p>
                  <w:pPr>
                    <w:pStyle w:val="34"/>
                    <w:jc w:val="center"/>
                  </w:pPr>
                  <w:r>
                    <w:t>监测项目</w:t>
                  </w:r>
                </w:p>
              </w:tc>
              <w:tc>
                <w:tcPr>
                  <w:tcW w:w="1101" w:type="pct"/>
                  <w:vAlign w:val="center"/>
                </w:tcPr>
                <w:p>
                  <w:pPr>
                    <w:pStyle w:val="34"/>
                    <w:jc w:val="center"/>
                  </w:pPr>
                  <w:r>
                    <w:t>监测频率</w:t>
                  </w:r>
                </w:p>
              </w:tc>
              <w:tc>
                <w:tcPr>
                  <w:tcW w:w="1679" w:type="pct"/>
                  <w:vAlign w:val="center"/>
                </w:tcPr>
                <w:p>
                  <w:pPr>
                    <w:pStyle w:val="34"/>
                    <w:jc w:val="center"/>
                  </w:pPr>
                  <w: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7" w:type="pct"/>
                  <w:vAlign w:val="center"/>
                </w:tcPr>
                <w:p>
                  <w:pPr>
                    <w:pStyle w:val="34"/>
                    <w:jc w:val="center"/>
                  </w:pPr>
                  <w:r>
                    <w:t>西、北厂界外1m处</w:t>
                  </w:r>
                </w:p>
              </w:tc>
              <w:tc>
                <w:tcPr>
                  <w:tcW w:w="1102" w:type="pct"/>
                  <w:vAlign w:val="center"/>
                </w:tcPr>
                <w:p>
                  <w:pPr>
                    <w:pStyle w:val="34"/>
                    <w:jc w:val="center"/>
                  </w:pPr>
                  <w:r>
                    <w:rPr>
                      <w:kern w:val="0"/>
                    </w:rPr>
                    <w:t>昼夜等效声级</w:t>
                  </w:r>
                </w:p>
              </w:tc>
              <w:tc>
                <w:tcPr>
                  <w:tcW w:w="1101" w:type="pct"/>
                  <w:vAlign w:val="center"/>
                </w:tcPr>
                <w:p>
                  <w:pPr>
                    <w:pStyle w:val="34"/>
                    <w:jc w:val="center"/>
                  </w:pPr>
                  <w:r>
                    <w:rPr>
                      <w:snapToGrid w:val="0"/>
                    </w:rPr>
                    <w:t>1次/季度</w:t>
                  </w:r>
                </w:p>
              </w:tc>
              <w:tc>
                <w:tcPr>
                  <w:tcW w:w="1679" w:type="pct"/>
                  <w:vAlign w:val="center"/>
                </w:tcPr>
                <w:p>
                  <w:pPr>
                    <w:pStyle w:val="34"/>
                    <w:jc w:val="center"/>
                    <w:rPr>
                      <w:snapToGrid w:val="0"/>
                    </w:rPr>
                  </w:pPr>
                  <w:r>
                    <w:rPr>
                      <w:kern w:val="0"/>
                    </w:rPr>
                    <w:t>《工业企业厂界环境噪声排放标准》（GB12348-2008）中3类标准</w:t>
                  </w:r>
                </w:p>
              </w:tc>
            </w:tr>
          </w:tbl>
          <w:p>
            <w:pPr>
              <w:spacing w:before="120" w:beforeLines="50"/>
              <w:ind w:firstLine="482"/>
              <w:rPr>
                <w:b/>
                <w:kern w:val="0"/>
                <w:szCs w:val="21"/>
              </w:rPr>
            </w:pPr>
          </w:p>
          <w:p>
            <w:pPr>
              <w:spacing w:before="120" w:beforeLines="50"/>
              <w:ind w:firstLine="482"/>
              <w:rPr>
                <w:b/>
                <w:kern w:val="0"/>
                <w:szCs w:val="21"/>
              </w:rPr>
            </w:pPr>
          </w:p>
          <w:p>
            <w:pPr>
              <w:spacing w:before="120" w:beforeLines="50"/>
              <w:ind w:firstLine="482"/>
              <w:rPr>
                <w:b/>
                <w:kern w:val="0"/>
                <w:szCs w:val="21"/>
              </w:rPr>
            </w:pPr>
            <w:r>
              <w:rPr>
                <w:b/>
                <w:kern w:val="0"/>
                <w:szCs w:val="21"/>
              </w:rPr>
              <w:t>4、固体废物</w:t>
            </w:r>
          </w:p>
          <w:p>
            <w:pPr>
              <w:ind w:firstLine="480"/>
              <w:rPr>
                <w:bCs/>
                <w:szCs w:val="21"/>
              </w:rPr>
            </w:pPr>
            <w:r>
              <w:rPr>
                <w:bCs/>
                <w:szCs w:val="21"/>
              </w:rPr>
              <w:t>（1）固体废物产排情况</w:t>
            </w:r>
          </w:p>
          <w:p>
            <w:pPr>
              <w:ind w:firstLine="480"/>
              <w:rPr>
                <w:bCs/>
                <w:szCs w:val="21"/>
              </w:rPr>
            </w:pPr>
            <w:r>
              <w:rPr>
                <w:bCs/>
                <w:szCs w:val="21"/>
              </w:rPr>
              <w:t>生活垃圾</w:t>
            </w:r>
          </w:p>
          <w:p>
            <w:pPr>
              <w:ind w:firstLine="480"/>
              <w:rPr>
                <w:bCs/>
                <w:szCs w:val="21"/>
              </w:rPr>
            </w:pPr>
            <w:r>
              <w:rPr>
                <w:bCs/>
                <w:szCs w:val="21"/>
              </w:rPr>
              <w:t>员工30人，生活垃圾产生系数以0.5kg/人•d 计，企业年生产300d，则生活垃圾产生量约4.5t/a，由环卫部门统一清运。</w:t>
            </w:r>
          </w:p>
          <w:p>
            <w:pPr>
              <w:ind w:firstLine="480"/>
              <w:rPr>
                <w:bCs/>
                <w:szCs w:val="21"/>
              </w:rPr>
            </w:pPr>
            <w:r>
              <w:rPr>
                <w:bCs/>
                <w:szCs w:val="21"/>
              </w:rPr>
              <w:t>一般固体废物：</w:t>
            </w:r>
          </w:p>
          <w:p>
            <w:pPr>
              <w:ind w:firstLine="480"/>
              <w:rPr>
                <w:bCs/>
                <w:szCs w:val="21"/>
              </w:rPr>
            </w:pPr>
            <w:r>
              <w:rPr>
                <w:rFonts w:hint="eastAsia" w:ascii="宋体" w:hAnsi="宋体" w:cs="宋体"/>
                <w:bCs/>
                <w:szCs w:val="21"/>
              </w:rPr>
              <w:t>①</w:t>
            </w:r>
            <w:r>
              <w:rPr>
                <w:bCs/>
                <w:szCs w:val="21"/>
              </w:rPr>
              <w:t>废包装材料：项目在包装工序中有废包装材料产生，产生量约2.0t/a，定期</w:t>
            </w:r>
            <w:r>
              <w:rPr>
                <w:rFonts w:hint="eastAsia"/>
                <w:bCs/>
                <w:szCs w:val="21"/>
              </w:rPr>
              <w:t>外售</w:t>
            </w:r>
            <w:r>
              <w:rPr>
                <w:bCs/>
                <w:szCs w:val="21"/>
              </w:rPr>
              <w:t>给</w:t>
            </w:r>
            <w:r>
              <w:rPr>
                <w:rFonts w:hint="eastAsia"/>
                <w:bCs/>
                <w:szCs w:val="21"/>
              </w:rPr>
              <w:t>物资回收</w:t>
            </w:r>
            <w:r>
              <w:rPr>
                <w:bCs/>
                <w:szCs w:val="21"/>
              </w:rPr>
              <w:t>单位。</w:t>
            </w:r>
          </w:p>
          <w:p>
            <w:pPr>
              <w:ind w:firstLine="480"/>
              <w:rPr>
                <w:bCs/>
                <w:szCs w:val="21"/>
              </w:rPr>
            </w:pPr>
            <w:r>
              <w:rPr>
                <w:rFonts w:hint="eastAsia" w:ascii="宋体" w:hAnsi="宋体" w:cs="宋体"/>
                <w:bCs/>
                <w:szCs w:val="21"/>
              </w:rPr>
              <w:t>②边角料</w:t>
            </w:r>
            <w:r>
              <w:rPr>
                <w:bCs/>
                <w:szCs w:val="21"/>
              </w:rPr>
              <w:t>：</w:t>
            </w:r>
            <w:r>
              <w:rPr>
                <w:rFonts w:hint="eastAsia"/>
                <w:bCs/>
                <w:szCs w:val="21"/>
              </w:rPr>
              <w:t>根据企业</w:t>
            </w:r>
            <w:r>
              <w:rPr>
                <w:bCs/>
                <w:szCs w:val="21"/>
              </w:rPr>
              <w:t>提供资料，</w:t>
            </w:r>
            <w:r>
              <w:rPr>
                <w:rFonts w:hint="eastAsia"/>
                <w:bCs/>
                <w:szCs w:val="21"/>
              </w:rPr>
              <w:t>苕皮</w:t>
            </w:r>
            <w:r>
              <w:rPr>
                <w:bCs/>
                <w:szCs w:val="21"/>
              </w:rPr>
              <w:t>分切会产生少量边角料，</w:t>
            </w:r>
            <w:r>
              <w:rPr>
                <w:rFonts w:hint="eastAsia"/>
                <w:bCs/>
                <w:szCs w:val="21"/>
              </w:rPr>
              <w:t>产生量</w:t>
            </w:r>
            <w:r>
              <w:rPr>
                <w:bCs/>
                <w:szCs w:val="21"/>
              </w:rPr>
              <w:t>约</w:t>
            </w:r>
            <w:r>
              <w:rPr>
                <w:rFonts w:hint="eastAsia"/>
                <w:bCs/>
                <w:szCs w:val="21"/>
              </w:rPr>
              <w:t>产品</w:t>
            </w:r>
            <w:r>
              <w:rPr>
                <w:bCs/>
                <w:szCs w:val="21"/>
              </w:rPr>
              <w:t>的</w:t>
            </w:r>
            <w:r>
              <w:rPr>
                <w:rFonts w:hint="eastAsia"/>
                <w:bCs/>
                <w:szCs w:val="21"/>
              </w:rPr>
              <w:t>1</w:t>
            </w:r>
            <w:r>
              <w:rPr>
                <w:bCs/>
                <w:szCs w:val="21"/>
              </w:rPr>
              <w:t>‰</w:t>
            </w:r>
            <w:r>
              <w:rPr>
                <w:rFonts w:hint="eastAsia"/>
                <w:bCs/>
                <w:szCs w:val="21"/>
              </w:rPr>
              <w:t>，即</w:t>
            </w:r>
            <w:r>
              <w:rPr>
                <w:bCs/>
                <w:szCs w:val="21"/>
              </w:rPr>
              <w:t>为3</w:t>
            </w:r>
            <w:r>
              <w:rPr>
                <w:rFonts w:hint="eastAsia"/>
                <w:bCs/>
                <w:szCs w:val="21"/>
              </w:rPr>
              <w:t>.0</w:t>
            </w:r>
            <w:r>
              <w:rPr>
                <w:bCs/>
                <w:szCs w:val="21"/>
              </w:rPr>
              <w:t>t/a，</w:t>
            </w:r>
            <w:r>
              <w:rPr>
                <w:rFonts w:hint="eastAsia"/>
                <w:bCs/>
                <w:szCs w:val="21"/>
              </w:rPr>
              <w:t>交</w:t>
            </w:r>
            <w:r>
              <w:rPr>
                <w:bCs/>
                <w:szCs w:val="21"/>
              </w:rPr>
              <w:t>餐厨垃圾回收单位处理</w:t>
            </w:r>
            <w:r>
              <w:rPr>
                <w:rFonts w:hint="eastAsia"/>
                <w:bCs/>
                <w:szCs w:val="21"/>
              </w:rPr>
              <w:t>。</w:t>
            </w:r>
          </w:p>
          <w:p>
            <w:pPr>
              <w:ind w:firstLine="480"/>
              <w:rPr>
                <w:rFonts w:ascii="宋体" w:hAnsi="宋体" w:cs="宋体"/>
                <w:bCs/>
                <w:szCs w:val="21"/>
              </w:rPr>
            </w:pPr>
            <w:r>
              <w:rPr>
                <w:rFonts w:hint="eastAsia" w:ascii="宋体" w:hAnsi="宋体" w:cs="宋体"/>
                <w:bCs/>
                <w:szCs w:val="21"/>
              </w:rPr>
              <w:t>③检验</w:t>
            </w:r>
            <w:r>
              <w:rPr>
                <w:rFonts w:ascii="宋体" w:hAnsi="宋体" w:cs="宋体"/>
                <w:bCs/>
                <w:szCs w:val="21"/>
              </w:rPr>
              <w:t>废品</w:t>
            </w:r>
            <w:r>
              <w:rPr>
                <w:rFonts w:hint="eastAsia" w:ascii="宋体" w:hAnsi="宋体" w:cs="宋体"/>
                <w:bCs/>
                <w:szCs w:val="21"/>
              </w:rPr>
              <w:t>：检验</w:t>
            </w:r>
            <w:r>
              <w:rPr>
                <w:rFonts w:ascii="宋体" w:hAnsi="宋体" w:cs="宋体"/>
                <w:bCs/>
                <w:szCs w:val="21"/>
              </w:rPr>
              <w:t>过程产生的废品为烘干后的苕皮，产量量约</w:t>
            </w:r>
            <w:r>
              <w:rPr>
                <w:bCs/>
                <w:szCs w:val="21"/>
              </w:rPr>
              <w:t>0.1t/a</w:t>
            </w:r>
            <w:r>
              <w:rPr>
                <w:rFonts w:hint="eastAsia"/>
                <w:bCs/>
                <w:szCs w:val="21"/>
              </w:rPr>
              <w:t>，交</w:t>
            </w:r>
            <w:r>
              <w:rPr>
                <w:bCs/>
                <w:szCs w:val="21"/>
              </w:rPr>
              <w:t>餐厨垃圾回收单位处理</w:t>
            </w:r>
            <w:r>
              <w:rPr>
                <w:rFonts w:hint="eastAsia"/>
                <w:bCs/>
                <w:szCs w:val="21"/>
              </w:rPr>
              <w:t>。</w:t>
            </w:r>
          </w:p>
          <w:p>
            <w:pPr>
              <w:ind w:firstLine="480"/>
              <w:rPr>
                <w:bCs/>
                <w:szCs w:val="21"/>
              </w:rPr>
            </w:pPr>
            <w:r>
              <w:rPr>
                <w:rFonts w:hint="eastAsia" w:ascii="宋体" w:hAnsi="宋体" w:cs="宋体"/>
                <w:bCs/>
                <w:szCs w:val="21"/>
              </w:rPr>
              <w:t>④</w:t>
            </w:r>
            <w:r>
              <w:rPr>
                <w:rFonts w:hint="eastAsia"/>
                <w:bCs/>
                <w:szCs w:val="21"/>
              </w:rPr>
              <w:t>破损</w:t>
            </w:r>
            <w:r>
              <w:rPr>
                <w:bCs/>
                <w:szCs w:val="21"/>
              </w:rPr>
              <w:t>豆干：</w:t>
            </w:r>
            <w:r>
              <w:rPr>
                <w:rFonts w:hint="eastAsia"/>
                <w:bCs/>
                <w:szCs w:val="21"/>
              </w:rPr>
              <w:t>豆干包装</w:t>
            </w:r>
            <w:r>
              <w:rPr>
                <w:bCs/>
                <w:szCs w:val="21"/>
              </w:rPr>
              <w:t>时</w:t>
            </w:r>
            <w:r>
              <w:rPr>
                <w:rFonts w:hint="eastAsia"/>
                <w:bCs/>
                <w:szCs w:val="21"/>
              </w:rPr>
              <w:t>可能</w:t>
            </w:r>
            <w:r>
              <w:rPr>
                <w:bCs/>
                <w:szCs w:val="21"/>
              </w:rPr>
              <w:t>产生破碎的产品，</w:t>
            </w:r>
            <w:r>
              <w:rPr>
                <w:rFonts w:hint="eastAsia"/>
                <w:bCs/>
                <w:szCs w:val="21"/>
              </w:rPr>
              <w:t>作</w:t>
            </w:r>
            <w:r>
              <w:rPr>
                <w:bCs/>
                <w:szCs w:val="21"/>
              </w:rPr>
              <w:t>废物处理</w:t>
            </w:r>
            <w:r>
              <w:rPr>
                <w:rFonts w:hint="eastAsia"/>
                <w:bCs/>
                <w:szCs w:val="21"/>
              </w:rPr>
              <w:t>。根据</w:t>
            </w:r>
            <w:r>
              <w:rPr>
                <w:bCs/>
                <w:szCs w:val="21"/>
              </w:rPr>
              <w:t>建设单位提供资料，废品的产生量按照产品的</w:t>
            </w:r>
            <w:r>
              <w:rPr>
                <w:rFonts w:hint="eastAsia"/>
                <w:bCs/>
                <w:szCs w:val="21"/>
              </w:rPr>
              <w:t>1</w:t>
            </w:r>
            <w:r>
              <w:rPr>
                <w:bCs/>
                <w:szCs w:val="21"/>
              </w:rPr>
              <w:t>‰</w:t>
            </w:r>
            <w:r>
              <w:rPr>
                <w:rFonts w:hint="eastAsia"/>
                <w:bCs/>
                <w:szCs w:val="21"/>
              </w:rPr>
              <w:t>，，即</w:t>
            </w:r>
            <w:r>
              <w:rPr>
                <w:bCs/>
                <w:szCs w:val="21"/>
              </w:rPr>
              <w:t>0.3t/a</w:t>
            </w:r>
            <w:r>
              <w:rPr>
                <w:rFonts w:hint="eastAsia"/>
                <w:bCs/>
                <w:szCs w:val="21"/>
              </w:rPr>
              <w:t>。</w:t>
            </w:r>
          </w:p>
          <w:p>
            <w:pPr>
              <w:ind w:firstLine="480"/>
              <w:rPr>
                <w:bCs/>
                <w:szCs w:val="21"/>
              </w:rPr>
            </w:pPr>
            <w:r>
              <w:rPr>
                <w:rFonts w:hint="eastAsia"/>
                <w:bCs/>
                <w:szCs w:val="21"/>
              </w:rPr>
              <w:t>⑤</w:t>
            </w:r>
            <w:r>
              <w:rPr>
                <w:rFonts w:hint="eastAsia" w:ascii="宋体" w:hAnsi="宋体" w:cs="宋体"/>
                <w:bCs/>
                <w:szCs w:val="21"/>
              </w:rPr>
              <w:t>废水</w:t>
            </w:r>
            <w:r>
              <w:rPr>
                <w:rFonts w:hint="eastAsia"/>
                <w:bCs/>
                <w:szCs w:val="21"/>
              </w:rPr>
              <w:t>处理</w:t>
            </w:r>
            <w:r>
              <w:rPr>
                <w:bCs/>
                <w:szCs w:val="21"/>
              </w:rPr>
              <w:t>设施污泥</w:t>
            </w:r>
            <w:r>
              <w:rPr>
                <w:rFonts w:hint="eastAsia"/>
                <w:bCs/>
                <w:szCs w:val="21"/>
              </w:rPr>
              <w:t>：本项目</w:t>
            </w:r>
            <w:r>
              <w:rPr>
                <w:bCs/>
                <w:szCs w:val="21"/>
              </w:rPr>
              <w:t>一体化处理设施废水量较少，</w:t>
            </w:r>
            <w:r>
              <w:rPr>
                <w:rFonts w:hint="eastAsia"/>
                <w:bCs/>
                <w:szCs w:val="21"/>
              </w:rPr>
              <w:t>半年</w:t>
            </w:r>
            <w:r>
              <w:rPr>
                <w:bCs/>
                <w:szCs w:val="21"/>
              </w:rPr>
              <w:t>清理一次，污泥产生量约为</w:t>
            </w:r>
            <w:r>
              <w:rPr>
                <w:rFonts w:hint="eastAsia"/>
                <w:bCs/>
                <w:szCs w:val="21"/>
              </w:rPr>
              <w:t>0.5</w:t>
            </w:r>
            <w:r>
              <w:rPr>
                <w:bCs/>
                <w:szCs w:val="21"/>
              </w:rPr>
              <w:t>t/a</w:t>
            </w:r>
            <w:r>
              <w:rPr>
                <w:rFonts w:hint="eastAsia"/>
                <w:bCs/>
                <w:szCs w:val="21"/>
              </w:rPr>
              <w:t>，</w:t>
            </w:r>
            <w:r>
              <w:rPr>
                <w:bCs/>
                <w:szCs w:val="21"/>
              </w:rPr>
              <w:t>清理后污泥直接交环卫部门处置</w:t>
            </w:r>
            <w:r>
              <w:rPr>
                <w:rFonts w:hint="eastAsia"/>
                <w:bCs/>
                <w:szCs w:val="21"/>
              </w:rPr>
              <w:t>，</w:t>
            </w:r>
            <w:r>
              <w:rPr>
                <w:bCs/>
                <w:szCs w:val="21"/>
              </w:rPr>
              <w:t>厂区不暂存。</w:t>
            </w:r>
          </w:p>
          <w:p>
            <w:pPr>
              <w:ind w:firstLine="480"/>
              <w:rPr>
                <w:szCs w:val="21"/>
              </w:rPr>
            </w:pPr>
            <w:r>
              <w:rPr>
                <w:szCs w:val="21"/>
              </w:rPr>
              <w:t>项目</w:t>
            </w:r>
            <w:r>
              <w:rPr>
                <w:rFonts w:hint="eastAsia"/>
                <w:szCs w:val="21"/>
              </w:rPr>
              <w:t>建成</w:t>
            </w:r>
            <w:r>
              <w:rPr>
                <w:szCs w:val="21"/>
              </w:rPr>
              <w:t>后固体废物类别、名称、产排情况及处理信息等见表4-7。</w:t>
            </w:r>
          </w:p>
          <w:p>
            <w:pPr>
              <w:pStyle w:val="33"/>
              <w:spacing w:before="120"/>
            </w:pPr>
            <w:r>
              <w:t>表4-7  本项目固体废物产排信息一览表</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373"/>
              <w:gridCol w:w="1221"/>
              <w:gridCol w:w="949"/>
              <w:gridCol w:w="871"/>
              <w:gridCol w:w="1537"/>
              <w:gridCol w:w="13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7" w:type="pct"/>
                  <w:vAlign w:val="center"/>
                </w:tcPr>
                <w:p>
                  <w:pPr>
                    <w:pStyle w:val="34"/>
                    <w:jc w:val="center"/>
                  </w:pPr>
                  <w:r>
                    <w:t>产生环节</w:t>
                  </w:r>
                </w:p>
              </w:tc>
              <w:tc>
                <w:tcPr>
                  <w:tcW w:w="763" w:type="pct"/>
                  <w:vAlign w:val="center"/>
                </w:tcPr>
                <w:p>
                  <w:pPr>
                    <w:pStyle w:val="34"/>
                    <w:jc w:val="center"/>
                  </w:pPr>
                  <w:r>
                    <w:t>固废名称</w:t>
                  </w:r>
                </w:p>
              </w:tc>
              <w:tc>
                <w:tcPr>
                  <w:tcW w:w="678" w:type="pct"/>
                  <w:vAlign w:val="center"/>
                </w:tcPr>
                <w:p>
                  <w:pPr>
                    <w:pStyle w:val="34"/>
                    <w:jc w:val="center"/>
                  </w:pPr>
                  <w:r>
                    <w:t>属性</w:t>
                  </w:r>
                </w:p>
              </w:tc>
              <w:tc>
                <w:tcPr>
                  <w:tcW w:w="527" w:type="pct"/>
                  <w:vAlign w:val="center"/>
                </w:tcPr>
                <w:p>
                  <w:pPr>
                    <w:pStyle w:val="34"/>
                    <w:jc w:val="center"/>
                  </w:pPr>
                  <w:r>
                    <w:t>物理</w:t>
                  </w:r>
                </w:p>
                <w:p>
                  <w:pPr>
                    <w:pStyle w:val="34"/>
                    <w:jc w:val="center"/>
                  </w:pPr>
                  <w:r>
                    <w:t>性状</w:t>
                  </w:r>
                </w:p>
              </w:tc>
              <w:tc>
                <w:tcPr>
                  <w:tcW w:w="484" w:type="pct"/>
                  <w:vAlign w:val="center"/>
                </w:tcPr>
                <w:p>
                  <w:pPr>
                    <w:pStyle w:val="34"/>
                    <w:jc w:val="center"/>
                  </w:pPr>
                  <w:r>
                    <w:t>年度产生量t</w:t>
                  </w:r>
                </w:p>
              </w:tc>
              <w:tc>
                <w:tcPr>
                  <w:tcW w:w="854" w:type="pct"/>
                  <w:vAlign w:val="center"/>
                </w:tcPr>
                <w:p>
                  <w:pPr>
                    <w:pStyle w:val="34"/>
                    <w:jc w:val="center"/>
                  </w:pPr>
                  <w:r>
                    <w:t>贮存方式</w:t>
                  </w:r>
                </w:p>
              </w:tc>
              <w:tc>
                <w:tcPr>
                  <w:tcW w:w="747" w:type="pct"/>
                  <w:vAlign w:val="center"/>
                </w:tcPr>
                <w:p>
                  <w:pPr>
                    <w:pStyle w:val="34"/>
                    <w:jc w:val="center"/>
                  </w:pPr>
                  <w:r>
                    <w:t>处置去向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7" w:type="pct"/>
                  <w:tcBorders>
                    <w:bottom w:val="single" w:color="auto" w:sz="4" w:space="0"/>
                  </w:tcBorders>
                  <w:vAlign w:val="center"/>
                </w:tcPr>
                <w:p>
                  <w:pPr>
                    <w:pStyle w:val="34"/>
                    <w:jc w:val="center"/>
                  </w:pPr>
                  <w:r>
                    <w:rPr>
                      <w:rFonts w:hint="eastAsia"/>
                    </w:rPr>
                    <w:t>脱袋、</w:t>
                  </w:r>
                  <w:r>
                    <w:t>包装</w:t>
                  </w:r>
                </w:p>
              </w:tc>
              <w:tc>
                <w:tcPr>
                  <w:tcW w:w="763" w:type="pct"/>
                  <w:vAlign w:val="center"/>
                </w:tcPr>
                <w:p>
                  <w:pPr>
                    <w:pStyle w:val="34"/>
                    <w:jc w:val="center"/>
                    <w:rPr>
                      <w:bCs/>
                    </w:rPr>
                  </w:pPr>
                  <w:r>
                    <w:rPr>
                      <w:rFonts w:hint="eastAsia"/>
                      <w:bCs/>
                      <w:szCs w:val="21"/>
                    </w:rPr>
                    <w:t>废包装</w:t>
                  </w:r>
                  <w:r>
                    <w:rPr>
                      <w:bCs/>
                      <w:szCs w:val="21"/>
                    </w:rPr>
                    <w:t>材料</w:t>
                  </w:r>
                </w:p>
              </w:tc>
              <w:tc>
                <w:tcPr>
                  <w:tcW w:w="678" w:type="pct"/>
                  <w:vAlign w:val="center"/>
                </w:tcPr>
                <w:p>
                  <w:pPr>
                    <w:pStyle w:val="34"/>
                    <w:jc w:val="center"/>
                  </w:pPr>
                  <w:r>
                    <w:t>一般工业固废</w:t>
                  </w:r>
                </w:p>
              </w:tc>
              <w:tc>
                <w:tcPr>
                  <w:tcW w:w="527" w:type="pct"/>
                  <w:vAlign w:val="center"/>
                </w:tcPr>
                <w:p>
                  <w:pPr>
                    <w:pStyle w:val="34"/>
                    <w:jc w:val="center"/>
                  </w:pPr>
                  <w:r>
                    <w:t>固态</w:t>
                  </w:r>
                </w:p>
              </w:tc>
              <w:tc>
                <w:tcPr>
                  <w:tcW w:w="484" w:type="pct"/>
                  <w:vAlign w:val="center"/>
                </w:tcPr>
                <w:p>
                  <w:pPr>
                    <w:pStyle w:val="34"/>
                    <w:jc w:val="center"/>
                  </w:pPr>
                  <w:r>
                    <w:rPr>
                      <w:rFonts w:hint="eastAsia"/>
                    </w:rPr>
                    <w:t>2.0</w:t>
                  </w:r>
                </w:p>
              </w:tc>
              <w:tc>
                <w:tcPr>
                  <w:tcW w:w="854" w:type="pct"/>
                  <w:vAlign w:val="center"/>
                </w:tcPr>
                <w:p>
                  <w:pPr>
                    <w:pStyle w:val="34"/>
                    <w:jc w:val="center"/>
                  </w:pPr>
                  <w:r>
                    <w:t>分类堆存于一般工业固废间</w:t>
                  </w:r>
                </w:p>
              </w:tc>
              <w:tc>
                <w:tcPr>
                  <w:tcW w:w="747" w:type="pct"/>
                  <w:vAlign w:val="center"/>
                </w:tcPr>
                <w:p>
                  <w:pPr>
                    <w:pStyle w:val="34"/>
                    <w:jc w:val="center"/>
                  </w:pPr>
                  <w:r>
                    <w:rPr>
                      <w:rFonts w:hint="eastAsia"/>
                    </w:rPr>
                    <w:t>物资</w:t>
                  </w:r>
                  <w:r>
                    <w:t>回收单位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7" w:type="pct"/>
                  <w:tcBorders>
                    <w:top w:val="single" w:color="auto" w:sz="4" w:space="0"/>
                  </w:tcBorders>
                  <w:vAlign w:val="center"/>
                </w:tcPr>
                <w:p>
                  <w:pPr>
                    <w:pStyle w:val="34"/>
                    <w:jc w:val="center"/>
                  </w:pPr>
                  <w:r>
                    <w:rPr>
                      <w:rFonts w:hint="eastAsia"/>
                    </w:rPr>
                    <w:t>分切</w:t>
                  </w:r>
                </w:p>
              </w:tc>
              <w:tc>
                <w:tcPr>
                  <w:tcW w:w="763" w:type="pct"/>
                  <w:vAlign w:val="center"/>
                </w:tcPr>
                <w:p>
                  <w:pPr>
                    <w:pStyle w:val="34"/>
                    <w:jc w:val="center"/>
                  </w:pPr>
                  <w:r>
                    <w:rPr>
                      <w:rFonts w:hint="eastAsia"/>
                      <w:bCs/>
                      <w:szCs w:val="21"/>
                    </w:rPr>
                    <w:t>边角料</w:t>
                  </w:r>
                </w:p>
              </w:tc>
              <w:tc>
                <w:tcPr>
                  <w:tcW w:w="678" w:type="pct"/>
                  <w:vAlign w:val="center"/>
                </w:tcPr>
                <w:p>
                  <w:pPr>
                    <w:pStyle w:val="34"/>
                    <w:jc w:val="center"/>
                  </w:pPr>
                  <w:r>
                    <w:t>一般工业固废</w:t>
                  </w:r>
                </w:p>
              </w:tc>
              <w:tc>
                <w:tcPr>
                  <w:tcW w:w="527" w:type="pct"/>
                  <w:vAlign w:val="center"/>
                </w:tcPr>
                <w:p>
                  <w:pPr>
                    <w:pStyle w:val="34"/>
                    <w:jc w:val="center"/>
                  </w:pPr>
                  <w:r>
                    <w:t>固态</w:t>
                  </w:r>
                </w:p>
              </w:tc>
              <w:tc>
                <w:tcPr>
                  <w:tcW w:w="484" w:type="pct"/>
                  <w:vAlign w:val="center"/>
                </w:tcPr>
                <w:p>
                  <w:pPr>
                    <w:pStyle w:val="34"/>
                    <w:jc w:val="center"/>
                  </w:pPr>
                  <w:r>
                    <w:rPr>
                      <w:rFonts w:hint="eastAsia"/>
                    </w:rPr>
                    <w:t>3.0</w:t>
                  </w:r>
                </w:p>
              </w:tc>
              <w:tc>
                <w:tcPr>
                  <w:tcW w:w="854" w:type="pct"/>
                  <w:vAlign w:val="center"/>
                </w:tcPr>
                <w:p>
                  <w:pPr>
                    <w:pStyle w:val="34"/>
                    <w:jc w:val="center"/>
                  </w:pPr>
                  <w:r>
                    <w:t>分类堆存于一般工业固废间</w:t>
                  </w:r>
                </w:p>
              </w:tc>
              <w:tc>
                <w:tcPr>
                  <w:tcW w:w="747" w:type="pct"/>
                  <w:vAlign w:val="center"/>
                </w:tcPr>
                <w:p>
                  <w:pPr>
                    <w:pStyle w:val="34"/>
                    <w:jc w:val="center"/>
                  </w:pPr>
                  <w:r>
                    <w:rPr>
                      <w:rFonts w:hint="eastAsia"/>
                    </w:rPr>
                    <w:t>餐厨</w:t>
                  </w:r>
                  <w:r>
                    <w:t>垃圾回收单位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947" w:type="pct"/>
                  <w:tcBorders>
                    <w:top w:val="single" w:color="auto" w:sz="4" w:space="0"/>
                  </w:tcBorders>
                  <w:vAlign w:val="center"/>
                </w:tcPr>
                <w:p>
                  <w:pPr>
                    <w:pStyle w:val="34"/>
                    <w:jc w:val="center"/>
                  </w:pPr>
                  <w:r>
                    <w:rPr>
                      <w:rFonts w:hint="eastAsia"/>
                    </w:rPr>
                    <w:t>检验</w:t>
                  </w:r>
                </w:p>
              </w:tc>
              <w:tc>
                <w:tcPr>
                  <w:tcW w:w="763" w:type="pct"/>
                  <w:vAlign w:val="center"/>
                </w:tcPr>
                <w:p>
                  <w:pPr>
                    <w:pStyle w:val="34"/>
                    <w:jc w:val="center"/>
                    <w:rPr>
                      <w:bCs/>
                      <w:szCs w:val="21"/>
                    </w:rPr>
                  </w:pPr>
                  <w:r>
                    <w:rPr>
                      <w:rFonts w:hint="eastAsia"/>
                      <w:bCs/>
                      <w:szCs w:val="21"/>
                    </w:rPr>
                    <w:t>检验</w:t>
                  </w:r>
                  <w:r>
                    <w:rPr>
                      <w:bCs/>
                      <w:szCs w:val="21"/>
                    </w:rPr>
                    <w:t>废品</w:t>
                  </w:r>
                </w:p>
              </w:tc>
              <w:tc>
                <w:tcPr>
                  <w:tcW w:w="678" w:type="pct"/>
                  <w:vAlign w:val="center"/>
                </w:tcPr>
                <w:p>
                  <w:pPr>
                    <w:pStyle w:val="34"/>
                    <w:jc w:val="center"/>
                  </w:pPr>
                  <w:r>
                    <w:t>一般工业固废</w:t>
                  </w:r>
                </w:p>
              </w:tc>
              <w:tc>
                <w:tcPr>
                  <w:tcW w:w="527" w:type="pct"/>
                  <w:vAlign w:val="center"/>
                </w:tcPr>
                <w:p>
                  <w:pPr>
                    <w:pStyle w:val="34"/>
                    <w:jc w:val="center"/>
                  </w:pPr>
                  <w:r>
                    <w:t>固态</w:t>
                  </w:r>
                </w:p>
              </w:tc>
              <w:tc>
                <w:tcPr>
                  <w:tcW w:w="484" w:type="pct"/>
                  <w:vAlign w:val="center"/>
                </w:tcPr>
                <w:p>
                  <w:pPr>
                    <w:pStyle w:val="34"/>
                    <w:jc w:val="center"/>
                  </w:pPr>
                  <w:r>
                    <w:rPr>
                      <w:rFonts w:hint="eastAsia"/>
                    </w:rPr>
                    <w:t>0.1</w:t>
                  </w:r>
                </w:p>
              </w:tc>
              <w:tc>
                <w:tcPr>
                  <w:tcW w:w="854" w:type="pct"/>
                  <w:vAlign w:val="center"/>
                </w:tcPr>
                <w:p>
                  <w:pPr>
                    <w:pStyle w:val="34"/>
                    <w:jc w:val="center"/>
                  </w:pPr>
                  <w:r>
                    <w:t>分类堆存于一般工业固废间</w:t>
                  </w:r>
                </w:p>
              </w:tc>
              <w:tc>
                <w:tcPr>
                  <w:tcW w:w="747" w:type="pct"/>
                  <w:vAlign w:val="center"/>
                </w:tcPr>
                <w:p>
                  <w:pPr>
                    <w:pStyle w:val="34"/>
                    <w:jc w:val="center"/>
                  </w:pPr>
                  <w:r>
                    <w:rPr>
                      <w:rFonts w:hint="eastAsia"/>
                    </w:rPr>
                    <w:t>餐厨</w:t>
                  </w:r>
                  <w:r>
                    <w:t>垃圾回收单位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7" w:type="pct"/>
                  <w:vAlign w:val="center"/>
                </w:tcPr>
                <w:p>
                  <w:pPr>
                    <w:pStyle w:val="34"/>
                    <w:jc w:val="center"/>
                  </w:pPr>
                  <w:r>
                    <w:rPr>
                      <w:rFonts w:hint="eastAsia"/>
                    </w:rPr>
                    <w:t>包装</w:t>
                  </w:r>
                </w:p>
              </w:tc>
              <w:tc>
                <w:tcPr>
                  <w:tcW w:w="763" w:type="pct"/>
                  <w:vAlign w:val="center"/>
                </w:tcPr>
                <w:p>
                  <w:pPr>
                    <w:pStyle w:val="34"/>
                    <w:jc w:val="center"/>
                  </w:pPr>
                  <w:r>
                    <w:rPr>
                      <w:rFonts w:hint="eastAsia"/>
                    </w:rPr>
                    <w:t>破损</w:t>
                  </w:r>
                  <w:r>
                    <w:t>豆干</w:t>
                  </w:r>
                </w:p>
              </w:tc>
              <w:tc>
                <w:tcPr>
                  <w:tcW w:w="678" w:type="pct"/>
                  <w:vAlign w:val="center"/>
                </w:tcPr>
                <w:p>
                  <w:pPr>
                    <w:pStyle w:val="34"/>
                    <w:jc w:val="center"/>
                  </w:pPr>
                  <w:r>
                    <w:t>一般工业固废</w:t>
                  </w:r>
                </w:p>
              </w:tc>
              <w:tc>
                <w:tcPr>
                  <w:tcW w:w="527" w:type="pct"/>
                  <w:vAlign w:val="center"/>
                </w:tcPr>
                <w:p>
                  <w:pPr>
                    <w:pStyle w:val="34"/>
                    <w:jc w:val="center"/>
                  </w:pPr>
                  <w:r>
                    <w:t>固态</w:t>
                  </w:r>
                </w:p>
              </w:tc>
              <w:tc>
                <w:tcPr>
                  <w:tcW w:w="484" w:type="pct"/>
                  <w:vAlign w:val="center"/>
                </w:tcPr>
                <w:p>
                  <w:pPr>
                    <w:pStyle w:val="34"/>
                    <w:jc w:val="center"/>
                  </w:pPr>
                  <w:r>
                    <w:rPr>
                      <w:rFonts w:hint="eastAsia"/>
                    </w:rPr>
                    <w:t>0.3</w:t>
                  </w:r>
                </w:p>
              </w:tc>
              <w:tc>
                <w:tcPr>
                  <w:tcW w:w="854" w:type="pct"/>
                  <w:vAlign w:val="center"/>
                </w:tcPr>
                <w:p>
                  <w:pPr>
                    <w:pStyle w:val="34"/>
                    <w:jc w:val="center"/>
                  </w:pPr>
                  <w:r>
                    <w:t>分类堆存于一般工业固废间</w:t>
                  </w:r>
                </w:p>
              </w:tc>
              <w:tc>
                <w:tcPr>
                  <w:tcW w:w="747" w:type="pct"/>
                  <w:vAlign w:val="center"/>
                </w:tcPr>
                <w:p>
                  <w:pPr>
                    <w:pStyle w:val="34"/>
                    <w:jc w:val="center"/>
                  </w:pPr>
                  <w:r>
                    <w:rPr>
                      <w:rFonts w:hint="eastAsia"/>
                    </w:rPr>
                    <w:t>餐厨</w:t>
                  </w:r>
                  <w:r>
                    <w:t>垃圾回收单位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7" w:type="pct"/>
                  <w:vAlign w:val="center"/>
                </w:tcPr>
                <w:p>
                  <w:pPr>
                    <w:pStyle w:val="34"/>
                    <w:jc w:val="center"/>
                  </w:pPr>
                  <w:r>
                    <w:rPr>
                      <w:rFonts w:hint="eastAsia"/>
                    </w:rPr>
                    <w:t>废水</w:t>
                  </w:r>
                  <w:r>
                    <w:t>处理</w:t>
                  </w:r>
                </w:p>
              </w:tc>
              <w:tc>
                <w:tcPr>
                  <w:tcW w:w="763" w:type="pct"/>
                  <w:vAlign w:val="center"/>
                </w:tcPr>
                <w:p>
                  <w:pPr>
                    <w:pStyle w:val="34"/>
                    <w:jc w:val="center"/>
                    <w:rPr>
                      <w:bCs/>
                      <w:szCs w:val="21"/>
                    </w:rPr>
                  </w:pPr>
                  <w:r>
                    <w:rPr>
                      <w:rFonts w:hint="eastAsia"/>
                      <w:bCs/>
                      <w:szCs w:val="21"/>
                    </w:rPr>
                    <w:t>污泥</w:t>
                  </w:r>
                </w:p>
              </w:tc>
              <w:tc>
                <w:tcPr>
                  <w:tcW w:w="678" w:type="pct"/>
                  <w:vAlign w:val="center"/>
                </w:tcPr>
                <w:p>
                  <w:pPr>
                    <w:pStyle w:val="34"/>
                    <w:jc w:val="center"/>
                  </w:pPr>
                  <w:r>
                    <w:t>一般工业固废</w:t>
                  </w:r>
                </w:p>
              </w:tc>
              <w:tc>
                <w:tcPr>
                  <w:tcW w:w="527" w:type="pct"/>
                  <w:vAlign w:val="center"/>
                </w:tcPr>
                <w:p>
                  <w:pPr>
                    <w:pStyle w:val="34"/>
                    <w:jc w:val="center"/>
                  </w:pPr>
                  <w:r>
                    <w:rPr>
                      <w:rFonts w:hint="eastAsia"/>
                    </w:rPr>
                    <w:t>固态</w:t>
                  </w:r>
                </w:p>
              </w:tc>
              <w:tc>
                <w:tcPr>
                  <w:tcW w:w="484" w:type="pct"/>
                  <w:vAlign w:val="center"/>
                </w:tcPr>
                <w:p>
                  <w:pPr>
                    <w:pStyle w:val="34"/>
                    <w:jc w:val="center"/>
                  </w:pPr>
                  <w:r>
                    <w:rPr>
                      <w:rFonts w:hint="eastAsia"/>
                    </w:rPr>
                    <w:t>0.5</w:t>
                  </w:r>
                </w:p>
              </w:tc>
              <w:tc>
                <w:tcPr>
                  <w:tcW w:w="854" w:type="pct"/>
                  <w:vAlign w:val="center"/>
                </w:tcPr>
                <w:p>
                  <w:pPr>
                    <w:pStyle w:val="34"/>
                    <w:jc w:val="center"/>
                  </w:pPr>
                  <w:r>
                    <w:rPr>
                      <w:rFonts w:hint="eastAsia"/>
                    </w:rPr>
                    <w:t>桶装</w:t>
                  </w:r>
                  <w:r>
                    <w:t>暂存</w:t>
                  </w:r>
                </w:p>
              </w:tc>
              <w:tc>
                <w:tcPr>
                  <w:tcW w:w="747" w:type="pct"/>
                  <w:vAlign w:val="center"/>
                </w:tcPr>
                <w:p>
                  <w:pPr>
                    <w:pStyle w:val="34"/>
                    <w:jc w:val="center"/>
                  </w:pPr>
                  <w:r>
                    <w:t>交环卫部门处置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7" w:type="pct"/>
                  <w:vAlign w:val="center"/>
                </w:tcPr>
                <w:p>
                  <w:pPr>
                    <w:pStyle w:val="34"/>
                    <w:jc w:val="center"/>
                  </w:pPr>
                  <w:r>
                    <w:t>办公、生活</w:t>
                  </w:r>
                </w:p>
              </w:tc>
              <w:tc>
                <w:tcPr>
                  <w:tcW w:w="763" w:type="pct"/>
                  <w:vAlign w:val="center"/>
                </w:tcPr>
                <w:p>
                  <w:pPr>
                    <w:pStyle w:val="34"/>
                    <w:jc w:val="center"/>
                  </w:pPr>
                  <w:r>
                    <w:t>生活垃圾</w:t>
                  </w:r>
                </w:p>
              </w:tc>
              <w:tc>
                <w:tcPr>
                  <w:tcW w:w="678" w:type="pct"/>
                  <w:vAlign w:val="center"/>
                </w:tcPr>
                <w:p>
                  <w:pPr>
                    <w:pStyle w:val="34"/>
                    <w:jc w:val="center"/>
                  </w:pPr>
                  <w:r>
                    <w:t>生活垃圾</w:t>
                  </w:r>
                </w:p>
              </w:tc>
              <w:tc>
                <w:tcPr>
                  <w:tcW w:w="527" w:type="pct"/>
                  <w:vAlign w:val="center"/>
                </w:tcPr>
                <w:p>
                  <w:pPr>
                    <w:pStyle w:val="34"/>
                    <w:jc w:val="center"/>
                  </w:pPr>
                  <w:r>
                    <w:t>固态</w:t>
                  </w:r>
                </w:p>
              </w:tc>
              <w:tc>
                <w:tcPr>
                  <w:tcW w:w="484" w:type="pct"/>
                  <w:vAlign w:val="center"/>
                </w:tcPr>
                <w:p>
                  <w:pPr>
                    <w:pStyle w:val="34"/>
                    <w:jc w:val="center"/>
                  </w:pPr>
                  <w:r>
                    <w:t>4.5</w:t>
                  </w:r>
                </w:p>
              </w:tc>
              <w:tc>
                <w:tcPr>
                  <w:tcW w:w="854" w:type="pct"/>
                  <w:vAlign w:val="center"/>
                </w:tcPr>
                <w:p>
                  <w:pPr>
                    <w:pStyle w:val="34"/>
                    <w:jc w:val="center"/>
                  </w:pPr>
                  <w:r>
                    <w:t>桶装暂存</w:t>
                  </w:r>
                </w:p>
              </w:tc>
              <w:tc>
                <w:tcPr>
                  <w:tcW w:w="747" w:type="pct"/>
                  <w:vAlign w:val="center"/>
                </w:tcPr>
                <w:p>
                  <w:pPr>
                    <w:pStyle w:val="34"/>
                    <w:jc w:val="center"/>
                  </w:pPr>
                  <w:r>
                    <w:t>交环卫部门处置</w:t>
                  </w:r>
                </w:p>
              </w:tc>
            </w:tr>
          </w:tbl>
          <w:p>
            <w:pPr>
              <w:spacing w:before="120" w:beforeLines="50"/>
              <w:ind w:firstLine="480"/>
              <w:rPr>
                <w:bCs/>
                <w:szCs w:val="21"/>
              </w:rPr>
            </w:pPr>
            <w:r>
              <w:rPr>
                <w:bCs/>
                <w:szCs w:val="21"/>
              </w:rPr>
              <w:t>（2）</w:t>
            </w:r>
            <w:r>
              <w:rPr>
                <w:rFonts w:hint="eastAsia"/>
                <w:bCs/>
                <w:szCs w:val="21"/>
              </w:rPr>
              <w:t>治理措施</w:t>
            </w:r>
          </w:p>
          <w:p>
            <w:pPr>
              <w:ind w:firstLine="480"/>
              <w:rPr>
                <w:bCs/>
                <w:szCs w:val="21"/>
              </w:rPr>
            </w:pPr>
            <w:r>
              <w:rPr>
                <w:bCs/>
                <w:szCs w:val="21"/>
              </w:rPr>
              <w:t>本项目</w:t>
            </w:r>
            <w:r>
              <w:rPr>
                <w:rFonts w:hint="eastAsia"/>
                <w:bCs/>
                <w:szCs w:val="21"/>
              </w:rPr>
              <w:t>建设一间</w:t>
            </w:r>
            <w:r>
              <w:rPr>
                <w:bCs/>
                <w:szCs w:val="21"/>
              </w:rPr>
              <w:t>一般</w:t>
            </w:r>
            <w:r>
              <w:rPr>
                <w:rFonts w:hint="eastAsia"/>
                <w:bCs/>
                <w:szCs w:val="21"/>
              </w:rPr>
              <w:t>固废暂存间，</w:t>
            </w:r>
            <w:r>
              <w:rPr>
                <w:bCs/>
                <w:szCs w:val="21"/>
              </w:rPr>
              <w:t>面积</w:t>
            </w:r>
            <w:r>
              <w:rPr>
                <w:rFonts w:hint="eastAsia"/>
                <w:bCs/>
                <w:szCs w:val="21"/>
              </w:rPr>
              <w:t>约</w:t>
            </w:r>
            <w:r>
              <w:rPr>
                <w:bCs/>
                <w:szCs w:val="21"/>
              </w:rPr>
              <w:t>5m</w:t>
            </w:r>
            <w:r>
              <w:rPr>
                <w:bCs/>
                <w:szCs w:val="21"/>
                <w:vertAlign w:val="superscript"/>
              </w:rPr>
              <w:t>2</w:t>
            </w:r>
            <w:r>
              <w:rPr>
                <w:bCs/>
                <w:szCs w:val="21"/>
              </w:rPr>
              <w:t>，</w:t>
            </w:r>
            <w:r>
              <w:rPr>
                <w:rFonts w:hint="eastAsia"/>
                <w:bCs/>
                <w:szCs w:val="21"/>
              </w:rPr>
              <w:t>需满足</w:t>
            </w:r>
            <w:r>
              <w:rPr>
                <w:bCs/>
                <w:szCs w:val="21"/>
              </w:rPr>
              <w:t>防渗漏、防雨淋、防扬尘等环境保护要求，</w:t>
            </w:r>
            <w:r>
              <w:rPr>
                <w:rFonts w:hint="eastAsia"/>
                <w:bCs/>
                <w:szCs w:val="21"/>
              </w:rPr>
              <w:t>生产</w:t>
            </w:r>
            <w:r>
              <w:rPr>
                <w:bCs/>
                <w:szCs w:val="21"/>
              </w:rPr>
              <w:t>过程产生的废包装材料等一般工业固废暂存一般固废</w:t>
            </w:r>
            <w:r>
              <w:rPr>
                <w:rFonts w:hint="eastAsia"/>
                <w:bCs/>
                <w:szCs w:val="21"/>
              </w:rPr>
              <w:t>暂存间，</w:t>
            </w:r>
            <w:r>
              <w:rPr>
                <w:bCs/>
                <w:szCs w:val="21"/>
              </w:rPr>
              <w:t>定期交</w:t>
            </w:r>
            <w:r>
              <w:rPr>
                <w:rFonts w:hint="eastAsia"/>
                <w:bCs/>
                <w:szCs w:val="21"/>
              </w:rPr>
              <w:t>物资</w:t>
            </w:r>
            <w:r>
              <w:rPr>
                <w:bCs/>
                <w:szCs w:val="21"/>
              </w:rPr>
              <w:t>回收</w:t>
            </w:r>
            <w:r>
              <w:rPr>
                <w:rFonts w:hint="eastAsia"/>
                <w:bCs/>
                <w:szCs w:val="21"/>
              </w:rPr>
              <w:t>单位</w:t>
            </w:r>
            <w:r>
              <w:rPr>
                <w:bCs/>
                <w:szCs w:val="21"/>
              </w:rPr>
              <w:t>处理</w:t>
            </w:r>
            <w:r>
              <w:rPr>
                <w:rFonts w:hint="eastAsia"/>
                <w:bCs/>
                <w:szCs w:val="21"/>
              </w:rPr>
              <w:t>；边角料</w:t>
            </w:r>
            <w:r>
              <w:rPr>
                <w:bCs/>
                <w:szCs w:val="21"/>
              </w:rPr>
              <w:t>、检验废品、破损豆干，收集暂存至一般固废暂存间，每日交餐厨垃圾回收单位处理；</w:t>
            </w:r>
            <w:r>
              <w:rPr>
                <w:rFonts w:hint="eastAsia"/>
                <w:bCs/>
                <w:szCs w:val="21"/>
              </w:rPr>
              <w:t>污水处理设施污泥定期清掏</w:t>
            </w:r>
            <w:r>
              <w:rPr>
                <w:bCs/>
                <w:szCs w:val="21"/>
              </w:rPr>
              <w:t>后</w:t>
            </w:r>
            <w:r>
              <w:rPr>
                <w:rFonts w:hint="eastAsia"/>
                <w:bCs/>
                <w:szCs w:val="21"/>
              </w:rPr>
              <w:t>交环卫</w:t>
            </w:r>
            <w:r>
              <w:rPr>
                <w:bCs/>
                <w:szCs w:val="21"/>
              </w:rPr>
              <w:t>部门处理</w:t>
            </w:r>
            <w:r>
              <w:rPr>
                <w:rFonts w:hint="eastAsia"/>
                <w:bCs/>
                <w:szCs w:val="21"/>
              </w:rPr>
              <w:t>；生活垃圾设置专点收集，每日由环卫部门收集处理。</w:t>
            </w:r>
            <w:r>
              <w:rPr>
                <w:bCs/>
                <w:szCs w:val="21"/>
              </w:rPr>
              <w:t>项目产生的固体废物经过妥善处置、综合利用后对环境的影响较小，不会对环境造成二次污染。</w:t>
            </w:r>
          </w:p>
          <w:p>
            <w:pPr>
              <w:ind w:firstLine="482"/>
              <w:rPr>
                <w:b/>
              </w:rPr>
            </w:pPr>
            <w:r>
              <w:rPr>
                <w:b/>
              </w:rPr>
              <w:t>5、环境风险</w:t>
            </w:r>
          </w:p>
          <w:p>
            <w:pPr>
              <w:ind w:firstLine="480"/>
              <w:rPr>
                <w:bCs/>
                <w:szCs w:val="21"/>
              </w:rPr>
            </w:pPr>
            <w:r>
              <w:rPr>
                <w:bCs/>
                <w:szCs w:val="21"/>
              </w:rPr>
              <w:t>将项目使用的</w:t>
            </w:r>
            <w:r>
              <w:rPr>
                <w:rFonts w:hint="eastAsia"/>
                <w:bCs/>
                <w:szCs w:val="21"/>
              </w:rPr>
              <w:t>主要</w:t>
            </w:r>
            <w:r>
              <w:rPr>
                <w:bCs/>
                <w:szCs w:val="21"/>
              </w:rPr>
              <w:t>原辅材料</w:t>
            </w:r>
            <w:r>
              <w:rPr>
                <w:rFonts w:hint="eastAsia"/>
                <w:bCs/>
                <w:szCs w:val="21"/>
              </w:rPr>
              <w:t>及“三废”情况</w:t>
            </w:r>
            <w:r>
              <w:rPr>
                <w:bCs/>
                <w:szCs w:val="21"/>
              </w:rPr>
              <w:t>与《建设项目环境风险评价技术导则》（HJ 169－2018）附录B进行对比可知，项目</w:t>
            </w:r>
            <w:r>
              <w:rPr>
                <w:rFonts w:hint="eastAsia"/>
                <w:bCs/>
                <w:szCs w:val="21"/>
              </w:rPr>
              <w:t>不</w:t>
            </w:r>
            <w:r>
              <w:rPr>
                <w:bCs/>
                <w:szCs w:val="21"/>
              </w:rPr>
              <w:t>涉及的环境风险物质。</w:t>
            </w:r>
          </w:p>
          <w:p>
            <w:pPr>
              <w:ind w:firstLine="480"/>
              <w:rPr>
                <w:bCs/>
                <w:szCs w:val="21"/>
              </w:rPr>
            </w:pPr>
            <w:r>
              <w:rPr>
                <w:rFonts w:hint="eastAsia"/>
                <w:bCs/>
                <w:szCs w:val="21"/>
              </w:rPr>
              <w:t>本项目</w:t>
            </w:r>
            <w:r>
              <w:rPr>
                <w:bCs/>
                <w:szCs w:val="21"/>
              </w:rPr>
              <w:t>拟采取的风险防范措施如下：</w:t>
            </w:r>
          </w:p>
          <w:p>
            <w:pPr>
              <w:ind w:firstLine="480"/>
              <w:rPr>
                <w:bCs/>
                <w:szCs w:val="21"/>
              </w:rPr>
            </w:pPr>
            <w:r>
              <w:rPr>
                <w:rFonts w:hint="eastAsia"/>
                <w:bCs/>
                <w:szCs w:val="21"/>
              </w:rPr>
              <w:t>①车间地面</w:t>
            </w:r>
            <w:r>
              <w:rPr>
                <w:bCs/>
                <w:szCs w:val="21"/>
              </w:rPr>
              <w:t>进行了</w:t>
            </w:r>
            <w:r>
              <w:rPr>
                <w:rFonts w:hint="eastAsia"/>
                <w:bCs/>
                <w:szCs w:val="21"/>
              </w:rPr>
              <w:t>简单</w:t>
            </w:r>
            <w:r>
              <w:rPr>
                <w:bCs/>
                <w:szCs w:val="21"/>
              </w:rPr>
              <w:t>防渗处理，地面设置截流沟，</w:t>
            </w:r>
            <w:r>
              <w:rPr>
                <w:rFonts w:hint="eastAsia"/>
                <w:bCs/>
                <w:szCs w:val="21"/>
              </w:rPr>
              <w:t>物料</w:t>
            </w:r>
            <w:r>
              <w:rPr>
                <w:bCs/>
                <w:szCs w:val="21"/>
              </w:rPr>
              <w:t>转移滴漏的废液及地面清洁废水经截流沟汇集后进入污水处理</w:t>
            </w:r>
            <w:r>
              <w:rPr>
                <w:rFonts w:hint="eastAsia"/>
                <w:bCs/>
                <w:szCs w:val="21"/>
              </w:rPr>
              <w:t>设施</w:t>
            </w:r>
            <w:r>
              <w:rPr>
                <w:bCs/>
                <w:szCs w:val="21"/>
              </w:rPr>
              <w:t>处理</w:t>
            </w:r>
            <w:r>
              <w:rPr>
                <w:rFonts w:hint="eastAsia"/>
                <w:bCs/>
                <w:szCs w:val="21"/>
              </w:rPr>
              <w:t>；</w:t>
            </w:r>
          </w:p>
          <w:p>
            <w:pPr>
              <w:ind w:firstLine="480"/>
              <w:rPr>
                <w:bCs/>
                <w:szCs w:val="21"/>
              </w:rPr>
            </w:pPr>
            <w:r>
              <w:rPr>
                <w:rFonts w:hint="eastAsia" w:ascii="宋体" w:hAnsi="宋体" w:cs="宋体"/>
                <w:bCs/>
                <w:szCs w:val="21"/>
                <w:lang w:eastAsia="ja-JP"/>
              </w:rPr>
              <w:t>②</w:t>
            </w:r>
            <w:r>
              <w:rPr>
                <w:rFonts w:hint="eastAsia"/>
                <w:bCs/>
                <w:szCs w:val="21"/>
              </w:rPr>
              <w:t>废水</w:t>
            </w:r>
            <w:r>
              <w:rPr>
                <w:bCs/>
                <w:szCs w:val="21"/>
              </w:rPr>
              <w:t>处理设施</w:t>
            </w:r>
            <w:r>
              <w:rPr>
                <w:rFonts w:hint="eastAsia"/>
                <w:bCs/>
                <w:szCs w:val="21"/>
              </w:rPr>
              <w:t>和</w:t>
            </w:r>
            <w:r>
              <w:rPr>
                <w:bCs/>
                <w:szCs w:val="21"/>
              </w:rPr>
              <w:t>一般固废暂存间进行了</w:t>
            </w:r>
            <w:r>
              <w:rPr>
                <w:rFonts w:hint="eastAsia"/>
                <w:bCs/>
                <w:szCs w:val="21"/>
              </w:rPr>
              <w:t>一般</w:t>
            </w:r>
            <w:r>
              <w:rPr>
                <w:bCs/>
                <w:szCs w:val="21"/>
              </w:rPr>
              <w:t>防渗处理</w:t>
            </w:r>
            <w:r>
              <w:rPr>
                <w:rFonts w:hint="eastAsia"/>
                <w:bCs/>
                <w:szCs w:val="21"/>
              </w:rPr>
              <w:t>；</w:t>
            </w:r>
          </w:p>
          <w:p>
            <w:pPr>
              <w:ind w:firstLine="480"/>
              <w:rPr>
                <w:bCs/>
                <w:szCs w:val="21"/>
              </w:rPr>
            </w:pPr>
            <w:r>
              <w:rPr>
                <w:rFonts w:hint="eastAsia"/>
                <w:bCs/>
                <w:szCs w:val="21"/>
              </w:rPr>
              <w:t>企业</w:t>
            </w:r>
            <w:r>
              <w:rPr>
                <w:bCs/>
                <w:szCs w:val="21"/>
              </w:rPr>
              <w:t>应定期对</w:t>
            </w:r>
            <w:r>
              <w:rPr>
                <w:rFonts w:hint="eastAsia"/>
                <w:bCs/>
                <w:szCs w:val="21"/>
              </w:rPr>
              <w:t>生产设施</w:t>
            </w:r>
            <w:r>
              <w:rPr>
                <w:bCs/>
                <w:szCs w:val="21"/>
              </w:rPr>
              <w:t>和环保设施进行</w:t>
            </w:r>
            <w:r>
              <w:rPr>
                <w:rFonts w:hint="eastAsia"/>
                <w:bCs/>
                <w:szCs w:val="21"/>
              </w:rPr>
              <w:t>维护</w:t>
            </w:r>
            <w:r>
              <w:rPr>
                <w:bCs/>
                <w:szCs w:val="21"/>
              </w:rPr>
              <w:t>，</w:t>
            </w:r>
            <w:r>
              <w:rPr>
                <w:rFonts w:hint="eastAsia"/>
                <w:bCs/>
                <w:szCs w:val="21"/>
              </w:rPr>
              <w:t>确保</w:t>
            </w:r>
            <w:r>
              <w:rPr>
                <w:bCs/>
                <w:szCs w:val="21"/>
              </w:rPr>
              <w:t>废水收集沟完整无破损，</w:t>
            </w:r>
            <w:r>
              <w:rPr>
                <w:rFonts w:hint="eastAsia"/>
                <w:bCs/>
                <w:szCs w:val="21"/>
              </w:rPr>
              <w:t>防止</w:t>
            </w:r>
            <w:r>
              <w:rPr>
                <w:bCs/>
                <w:szCs w:val="21"/>
              </w:rPr>
              <w:t>生产</w:t>
            </w:r>
            <w:r>
              <w:rPr>
                <w:rFonts w:hint="eastAsia"/>
                <w:bCs/>
                <w:szCs w:val="21"/>
              </w:rPr>
              <w:t>废水</w:t>
            </w:r>
            <w:r>
              <w:rPr>
                <w:bCs/>
                <w:szCs w:val="21"/>
              </w:rPr>
              <w:t>渗入地下</w:t>
            </w:r>
            <w:r>
              <w:rPr>
                <w:rFonts w:hint="eastAsia"/>
                <w:bCs/>
                <w:szCs w:val="21"/>
              </w:rPr>
              <w:t>污染</w:t>
            </w:r>
            <w:r>
              <w:rPr>
                <w:bCs/>
                <w:szCs w:val="21"/>
              </w:rPr>
              <w:t>土壤和地下水</w:t>
            </w:r>
            <w:r>
              <w:rPr>
                <w:rFonts w:hint="eastAsia"/>
                <w:bCs/>
                <w:szCs w:val="21"/>
              </w:rPr>
              <w:t>。</w:t>
            </w:r>
          </w:p>
          <w:p>
            <w:pPr>
              <w:ind w:firstLine="482"/>
              <w:rPr>
                <w:b/>
                <w:bCs/>
                <w:szCs w:val="21"/>
              </w:rPr>
            </w:pPr>
            <w:r>
              <w:rPr>
                <w:rFonts w:hint="eastAsia"/>
                <w:b/>
                <w:bCs/>
                <w:szCs w:val="21"/>
              </w:rPr>
              <w:t>6、</w:t>
            </w:r>
            <w:r>
              <w:rPr>
                <w:b/>
                <w:bCs/>
                <w:szCs w:val="21"/>
              </w:rPr>
              <w:t>地下水和土壤</w:t>
            </w:r>
          </w:p>
          <w:p>
            <w:pPr>
              <w:ind w:firstLine="480"/>
              <w:rPr>
                <w:rFonts w:ascii="宋体" w:hAnsi="宋体" w:eastAsia="MS Mincho" w:cs="宋体"/>
                <w:szCs w:val="21"/>
                <w:lang w:eastAsia="ja-JP"/>
              </w:rPr>
            </w:pPr>
            <w:r>
              <w:rPr>
                <w:rFonts w:hint="eastAsia"/>
                <w:bCs/>
                <w:szCs w:val="21"/>
              </w:rPr>
              <w:t>项目位于工业园区内，周边地下水环境、土壤环境不敏感；项目</w:t>
            </w:r>
            <w:r>
              <w:rPr>
                <w:bCs/>
                <w:szCs w:val="21"/>
              </w:rPr>
              <w:t>生产车间位于租赁</w:t>
            </w:r>
            <w:r>
              <w:rPr>
                <w:rFonts w:hint="eastAsia"/>
                <w:bCs/>
                <w:szCs w:val="21"/>
              </w:rPr>
              <w:t>厂房</w:t>
            </w:r>
            <w:r>
              <w:rPr>
                <w:bCs/>
                <w:szCs w:val="21"/>
              </w:rPr>
              <w:t>的</w:t>
            </w:r>
            <w:r>
              <w:rPr>
                <w:rFonts w:hint="eastAsia"/>
                <w:bCs/>
                <w:szCs w:val="21"/>
              </w:rPr>
              <w:t>2楼</w:t>
            </w:r>
            <w:r>
              <w:rPr>
                <w:bCs/>
                <w:szCs w:val="21"/>
              </w:rPr>
              <w:t>，</w:t>
            </w:r>
            <w:r>
              <w:rPr>
                <w:rFonts w:hint="eastAsia"/>
                <w:bCs/>
                <w:szCs w:val="21"/>
              </w:rPr>
              <w:t>地面</w:t>
            </w:r>
            <w:r>
              <w:rPr>
                <w:bCs/>
                <w:szCs w:val="21"/>
              </w:rPr>
              <w:t>进行了防渗处理，</w:t>
            </w:r>
            <w:r>
              <w:rPr>
                <w:rFonts w:hint="eastAsia"/>
                <w:bCs/>
                <w:szCs w:val="21"/>
              </w:rPr>
              <w:t>车间</w:t>
            </w:r>
            <w:r>
              <w:rPr>
                <w:bCs/>
                <w:szCs w:val="21"/>
              </w:rPr>
              <w:t>地面设置截流沟，</w:t>
            </w:r>
            <w:r>
              <w:rPr>
                <w:rFonts w:hint="eastAsia"/>
                <w:bCs/>
                <w:szCs w:val="21"/>
              </w:rPr>
              <w:t>物料</w:t>
            </w:r>
            <w:r>
              <w:rPr>
                <w:bCs/>
                <w:szCs w:val="21"/>
              </w:rPr>
              <w:t>转移滴漏的废液及地面清洁废水经截流沟汇集后进入污水处理</w:t>
            </w:r>
            <w:r>
              <w:rPr>
                <w:rFonts w:hint="eastAsia"/>
                <w:bCs/>
                <w:szCs w:val="21"/>
              </w:rPr>
              <w:t>设施</w:t>
            </w:r>
            <w:r>
              <w:rPr>
                <w:bCs/>
                <w:szCs w:val="21"/>
              </w:rPr>
              <w:t>处理</w:t>
            </w:r>
            <w:r>
              <w:rPr>
                <w:rFonts w:hint="eastAsia"/>
                <w:bCs/>
                <w:szCs w:val="21"/>
              </w:rPr>
              <w:t>，</w:t>
            </w:r>
            <w:r>
              <w:rPr>
                <w:bCs/>
                <w:szCs w:val="21"/>
              </w:rPr>
              <w:t>废水</w:t>
            </w:r>
            <w:r>
              <w:rPr>
                <w:rFonts w:hint="eastAsia"/>
                <w:bCs/>
                <w:szCs w:val="21"/>
              </w:rPr>
              <w:t>污染因子简单，废水</w:t>
            </w:r>
            <w:r>
              <w:rPr>
                <w:bCs/>
                <w:szCs w:val="21"/>
              </w:rPr>
              <w:t>处理池</w:t>
            </w:r>
            <w:r>
              <w:rPr>
                <w:rFonts w:hint="eastAsia"/>
                <w:bCs/>
                <w:szCs w:val="21"/>
              </w:rPr>
              <w:t>和</w:t>
            </w:r>
            <w:r>
              <w:rPr>
                <w:bCs/>
                <w:szCs w:val="21"/>
              </w:rPr>
              <w:t>一般固废暂存间进行</w:t>
            </w:r>
            <w:r>
              <w:rPr>
                <w:rFonts w:hint="eastAsia"/>
                <w:bCs/>
                <w:szCs w:val="21"/>
              </w:rPr>
              <w:t>一般防渗处理，</w:t>
            </w:r>
            <w:r>
              <w:rPr>
                <w:bCs/>
                <w:szCs w:val="21"/>
              </w:rPr>
              <w:t>其余</w:t>
            </w:r>
            <w:r>
              <w:rPr>
                <w:rFonts w:hint="eastAsia"/>
                <w:bCs/>
                <w:szCs w:val="21"/>
              </w:rPr>
              <w:t>区域</w:t>
            </w:r>
            <w:r>
              <w:rPr>
                <w:bCs/>
                <w:szCs w:val="21"/>
              </w:rPr>
              <w:t>为简单防渗处理</w:t>
            </w:r>
            <w:r>
              <w:rPr>
                <w:rFonts w:hint="eastAsia"/>
                <w:bCs/>
                <w:szCs w:val="21"/>
              </w:rPr>
              <w:t>，在正常情况下，废水经污水处理设施处理后厂区</w:t>
            </w:r>
            <w:r>
              <w:rPr>
                <w:bCs/>
                <w:szCs w:val="21"/>
              </w:rPr>
              <w:t>污水处理</w:t>
            </w:r>
            <w:r>
              <w:rPr>
                <w:rFonts w:hint="eastAsia"/>
                <w:bCs/>
                <w:szCs w:val="21"/>
              </w:rPr>
              <w:t>站，不存在地下水、土壤环境污染途径。企业</w:t>
            </w:r>
            <w:r>
              <w:rPr>
                <w:bCs/>
                <w:szCs w:val="21"/>
              </w:rPr>
              <w:t>应定期对</w:t>
            </w:r>
            <w:r>
              <w:rPr>
                <w:rFonts w:hint="eastAsia"/>
                <w:bCs/>
                <w:szCs w:val="21"/>
              </w:rPr>
              <w:t>生产设施</w:t>
            </w:r>
            <w:r>
              <w:rPr>
                <w:bCs/>
                <w:szCs w:val="21"/>
              </w:rPr>
              <w:t>和环保设施进行</w:t>
            </w:r>
            <w:r>
              <w:rPr>
                <w:rFonts w:hint="eastAsia"/>
                <w:bCs/>
                <w:szCs w:val="21"/>
              </w:rPr>
              <w:t>维护</w:t>
            </w:r>
            <w:r>
              <w:rPr>
                <w:bCs/>
                <w:szCs w:val="21"/>
              </w:rPr>
              <w:t>，</w:t>
            </w:r>
            <w:r>
              <w:rPr>
                <w:rFonts w:hint="eastAsia"/>
                <w:bCs/>
                <w:szCs w:val="21"/>
              </w:rPr>
              <w:t>确保</w:t>
            </w:r>
            <w:r>
              <w:rPr>
                <w:bCs/>
                <w:szCs w:val="21"/>
              </w:rPr>
              <w:t>废水</w:t>
            </w:r>
            <w:r>
              <w:rPr>
                <w:rFonts w:hint="eastAsia"/>
                <w:bCs/>
                <w:szCs w:val="21"/>
              </w:rPr>
              <w:t>处理设施的正常运行和污水管网畅通</w:t>
            </w:r>
            <w:r>
              <w:rPr>
                <w:bCs/>
                <w:szCs w:val="21"/>
              </w:rPr>
              <w:t>，</w:t>
            </w:r>
            <w:r>
              <w:rPr>
                <w:rFonts w:hint="eastAsia"/>
                <w:bCs/>
                <w:szCs w:val="21"/>
              </w:rPr>
              <w:t>防止</w:t>
            </w:r>
            <w:r>
              <w:rPr>
                <w:bCs/>
                <w:szCs w:val="21"/>
              </w:rPr>
              <w:t>生产</w:t>
            </w:r>
            <w:r>
              <w:rPr>
                <w:rFonts w:hint="eastAsia"/>
                <w:bCs/>
                <w:szCs w:val="21"/>
              </w:rPr>
              <w:t>废水</w:t>
            </w:r>
            <w:r>
              <w:rPr>
                <w:bCs/>
                <w:szCs w:val="21"/>
              </w:rPr>
              <w:t>渗入地下</w:t>
            </w:r>
            <w:r>
              <w:rPr>
                <w:rFonts w:hint="eastAsia"/>
                <w:bCs/>
                <w:szCs w:val="21"/>
              </w:rPr>
              <w:t>污染</w:t>
            </w:r>
            <w:r>
              <w:rPr>
                <w:bCs/>
                <w:szCs w:val="21"/>
              </w:rPr>
              <w:t>土壤和地下水</w:t>
            </w:r>
            <w:r>
              <w:rPr>
                <w:rFonts w:hint="eastAsia"/>
                <w:bCs/>
                <w:szCs w:val="21"/>
              </w:rPr>
              <w:t>。</w:t>
            </w:r>
          </w:p>
        </w:tc>
      </w:tr>
    </w:tbl>
    <w:p>
      <w:pPr>
        <w:ind w:firstLine="560"/>
        <w:rPr>
          <w:sz w:val="28"/>
          <w:szCs w:val="28"/>
        </w:rPr>
      </w:pPr>
    </w:p>
    <w:p>
      <w:pPr>
        <w:ind w:firstLine="560"/>
        <w:rPr>
          <w:sz w:val="28"/>
          <w:szCs w:val="28"/>
        </w:rPr>
        <w:sectPr>
          <w:pgSz w:w="11907" w:h="16840"/>
          <w:pgMar w:top="1440" w:right="1080" w:bottom="1440" w:left="1080" w:header="851" w:footer="851" w:gutter="0"/>
          <w:cols w:space="720" w:num="1"/>
          <w:docGrid w:linePitch="312" w:charSpace="0"/>
        </w:sectPr>
      </w:pPr>
    </w:p>
    <w:p>
      <w:pPr>
        <w:ind w:firstLine="600"/>
        <w:jc w:val="center"/>
        <w:outlineLvl w:val="0"/>
        <w:rPr>
          <w:snapToGrid w:val="0"/>
          <w:sz w:val="30"/>
          <w:szCs w:val="30"/>
        </w:rPr>
      </w:pPr>
      <w:r>
        <w:rPr>
          <w:snapToGrid w:val="0"/>
          <w:sz w:val="30"/>
          <w:szCs w:val="30"/>
        </w:rPr>
        <w:t>五、</w:t>
      </w:r>
      <w:bookmarkStart w:id="4" w:name="_Hlk54167917"/>
      <w:r>
        <w:rPr>
          <w:snapToGrid w:val="0"/>
          <w:sz w:val="30"/>
          <w:szCs w:val="30"/>
        </w:rPr>
        <w:t>环境保护措施监督检查清单</w:t>
      </w:r>
      <w:bookmarkEnd w:id="4"/>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1596"/>
        <w:gridCol w:w="1887"/>
        <w:gridCol w:w="2323"/>
        <w:gridCol w:w="27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4" w:type="pct"/>
            <w:tcBorders>
              <w:tl2br w:val="single" w:color="auto" w:sz="4" w:space="0"/>
            </w:tcBorders>
            <w:vAlign w:val="center"/>
          </w:tcPr>
          <w:p>
            <w:pPr>
              <w:spacing w:line="240" w:lineRule="auto"/>
              <w:ind w:firstLine="0" w:firstLineChars="0"/>
              <w:jc w:val="center"/>
              <w:rPr>
                <w:sz w:val="21"/>
                <w:szCs w:val="21"/>
              </w:rPr>
            </w:pPr>
            <w:r>
              <w:rPr>
                <w:sz w:val="21"/>
                <w:szCs w:val="21"/>
              </w:rPr>
              <w:t>内容</w:t>
            </w:r>
          </w:p>
          <w:p>
            <w:pPr>
              <w:spacing w:line="240" w:lineRule="auto"/>
              <w:ind w:firstLine="0" w:firstLineChars="0"/>
              <w:rPr>
                <w:sz w:val="21"/>
                <w:szCs w:val="21"/>
              </w:rPr>
            </w:pPr>
            <w:r>
              <w:rPr>
                <w:sz w:val="21"/>
                <w:szCs w:val="21"/>
              </w:rPr>
              <w:t>要素</w:t>
            </w:r>
          </w:p>
        </w:tc>
        <w:tc>
          <w:tcPr>
            <w:tcW w:w="801" w:type="pct"/>
            <w:vAlign w:val="center"/>
          </w:tcPr>
          <w:p>
            <w:pPr>
              <w:spacing w:line="240" w:lineRule="auto"/>
              <w:ind w:firstLine="0" w:firstLineChars="0"/>
              <w:jc w:val="center"/>
              <w:rPr>
                <w:sz w:val="21"/>
                <w:szCs w:val="21"/>
              </w:rPr>
            </w:pPr>
            <w:r>
              <w:rPr>
                <w:sz w:val="21"/>
                <w:szCs w:val="21"/>
              </w:rPr>
              <w:t>排放口(编号、名称)/污染源</w:t>
            </w:r>
          </w:p>
        </w:tc>
        <w:tc>
          <w:tcPr>
            <w:tcW w:w="947" w:type="pct"/>
            <w:vAlign w:val="center"/>
          </w:tcPr>
          <w:p>
            <w:pPr>
              <w:spacing w:line="240" w:lineRule="auto"/>
              <w:ind w:firstLine="0" w:firstLineChars="0"/>
              <w:jc w:val="center"/>
              <w:rPr>
                <w:sz w:val="21"/>
                <w:szCs w:val="21"/>
              </w:rPr>
            </w:pPr>
            <w:r>
              <w:rPr>
                <w:sz w:val="21"/>
                <w:szCs w:val="21"/>
              </w:rPr>
              <w:t>污染物项目</w:t>
            </w:r>
          </w:p>
        </w:tc>
        <w:tc>
          <w:tcPr>
            <w:tcW w:w="1166" w:type="pct"/>
            <w:vAlign w:val="center"/>
          </w:tcPr>
          <w:p>
            <w:pPr>
              <w:spacing w:line="240" w:lineRule="auto"/>
              <w:ind w:firstLine="0" w:firstLineChars="0"/>
              <w:jc w:val="center"/>
              <w:rPr>
                <w:sz w:val="21"/>
                <w:szCs w:val="21"/>
              </w:rPr>
            </w:pPr>
            <w:r>
              <w:rPr>
                <w:sz w:val="21"/>
                <w:szCs w:val="21"/>
              </w:rPr>
              <w:t>环境保护措施</w:t>
            </w:r>
          </w:p>
        </w:tc>
        <w:tc>
          <w:tcPr>
            <w:tcW w:w="1361" w:type="pct"/>
            <w:vAlign w:val="center"/>
          </w:tcPr>
          <w:p>
            <w:pPr>
              <w:spacing w:line="240" w:lineRule="auto"/>
              <w:ind w:firstLine="0" w:firstLineChars="0"/>
              <w:jc w:val="center"/>
              <w:rPr>
                <w:sz w:val="21"/>
                <w:szCs w:val="21"/>
              </w:rPr>
            </w:pPr>
            <w:r>
              <w:rPr>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4" w:type="pct"/>
            <w:vAlign w:val="center"/>
          </w:tcPr>
          <w:p>
            <w:pPr>
              <w:spacing w:line="240" w:lineRule="auto"/>
              <w:ind w:firstLine="0" w:firstLineChars="0"/>
              <w:jc w:val="center"/>
              <w:rPr>
                <w:sz w:val="21"/>
                <w:szCs w:val="21"/>
              </w:rPr>
            </w:pPr>
            <w:r>
              <w:rPr>
                <w:sz w:val="21"/>
                <w:szCs w:val="21"/>
              </w:rPr>
              <w:t>大气环境</w:t>
            </w:r>
          </w:p>
        </w:tc>
        <w:tc>
          <w:tcPr>
            <w:tcW w:w="801" w:type="pct"/>
            <w:vAlign w:val="center"/>
          </w:tcPr>
          <w:p>
            <w:pPr>
              <w:spacing w:line="240" w:lineRule="auto"/>
              <w:ind w:firstLine="0" w:firstLineChars="0"/>
              <w:jc w:val="center"/>
              <w:rPr>
                <w:sz w:val="21"/>
                <w:szCs w:val="21"/>
              </w:rPr>
            </w:pPr>
            <w:r>
              <w:rPr>
                <w:rFonts w:hint="eastAsia"/>
                <w:sz w:val="21"/>
                <w:szCs w:val="21"/>
              </w:rPr>
              <w:t>无组织废气</w:t>
            </w:r>
          </w:p>
        </w:tc>
        <w:tc>
          <w:tcPr>
            <w:tcW w:w="947" w:type="pct"/>
            <w:vAlign w:val="center"/>
          </w:tcPr>
          <w:p>
            <w:pPr>
              <w:spacing w:line="240" w:lineRule="auto"/>
              <w:ind w:firstLine="0" w:firstLineChars="0"/>
              <w:jc w:val="center"/>
              <w:rPr>
                <w:sz w:val="21"/>
                <w:szCs w:val="21"/>
              </w:rPr>
            </w:pPr>
            <w:r>
              <w:rPr>
                <w:rFonts w:hint="eastAsia"/>
                <w:sz w:val="21"/>
                <w:szCs w:val="21"/>
              </w:rPr>
              <w:t>颗粒物、</w:t>
            </w:r>
            <w:r>
              <w:rPr>
                <w:sz w:val="21"/>
                <w:szCs w:val="21"/>
              </w:rPr>
              <w:t>臭气浓度</w:t>
            </w:r>
          </w:p>
        </w:tc>
        <w:tc>
          <w:tcPr>
            <w:tcW w:w="1166" w:type="pct"/>
            <w:vAlign w:val="center"/>
          </w:tcPr>
          <w:p>
            <w:pPr>
              <w:spacing w:line="240" w:lineRule="auto"/>
              <w:ind w:firstLine="0" w:firstLineChars="0"/>
              <w:jc w:val="center"/>
              <w:rPr>
                <w:sz w:val="21"/>
                <w:szCs w:val="21"/>
              </w:rPr>
            </w:pPr>
            <w:r>
              <w:rPr>
                <w:rFonts w:hint="eastAsia"/>
                <w:sz w:val="21"/>
                <w:szCs w:val="21"/>
              </w:rPr>
              <w:t>/</w:t>
            </w:r>
          </w:p>
        </w:tc>
        <w:tc>
          <w:tcPr>
            <w:tcW w:w="1361" w:type="pct"/>
            <w:vAlign w:val="center"/>
          </w:tcPr>
          <w:p>
            <w:pPr>
              <w:spacing w:line="240" w:lineRule="auto"/>
              <w:ind w:firstLine="0" w:firstLineChars="0"/>
              <w:jc w:val="center"/>
              <w:rPr>
                <w:sz w:val="21"/>
                <w:szCs w:val="21"/>
              </w:rPr>
            </w:pPr>
            <w:r>
              <w:rPr>
                <w:rFonts w:hint="eastAsia"/>
                <w:sz w:val="21"/>
                <w:szCs w:val="21"/>
              </w:rPr>
              <w:t>《大气污染物综合排放标准》（DB50/418-2016）、《恶臭污染物排放标准》（GB14554-93）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4" w:type="pct"/>
            <w:vMerge w:val="restart"/>
            <w:vAlign w:val="center"/>
          </w:tcPr>
          <w:p>
            <w:pPr>
              <w:spacing w:line="240" w:lineRule="auto"/>
              <w:ind w:firstLine="0" w:firstLineChars="0"/>
              <w:jc w:val="center"/>
              <w:rPr>
                <w:sz w:val="21"/>
                <w:szCs w:val="21"/>
              </w:rPr>
            </w:pPr>
            <w:r>
              <w:rPr>
                <w:sz w:val="21"/>
                <w:szCs w:val="21"/>
              </w:rPr>
              <w:t>地表水环境</w:t>
            </w:r>
          </w:p>
        </w:tc>
        <w:tc>
          <w:tcPr>
            <w:tcW w:w="801" w:type="pct"/>
            <w:vAlign w:val="center"/>
          </w:tcPr>
          <w:p>
            <w:pPr>
              <w:spacing w:line="240" w:lineRule="auto"/>
              <w:ind w:firstLine="0" w:firstLineChars="0"/>
              <w:jc w:val="center"/>
              <w:rPr>
                <w:sz w:val="21"/>
                <w:szCs w:val="21"/>
              </w:rPr>
            </w:pPr>
            <w:r>
              <w:rPr>
                <w:rFonts w:hint="eastAsia"/>
                <w:sz w:val="21"/>
                <w:szCs w:val="21"/>
              </w:rPr>
              <w:t>生产综合废水</w:t>
            </w:r>
          </w:p>
        </w:tc>
        <w:tc>
          <w:tcPr>
            <w:tcW w:w="947" w:type="pct"/>
            <w:vAlign w:val="center"/>
          </w:tcPr>
          <w:p>
            <w:pPr>
              <w:spacing w:line="240" w:lineRule="auto"/>
              <w:ind w:firstLine="0" w:firstLineChars="0"/>
              <w:jc w:val="center"/>
              <w:rPr>
                <w:sz w:val="21"/>
                <w:szCs w:val="21"/>
              </w:rPr>
            </w:pPr>
            <w:r>
              <w:rPr>
                <w:sz w:val="21"/>
                <w:szCs w:val="21"/>
              </w:rPr>
              <w:t>COD</w:t>
            </w:r>
            <w:r>
              <w:rPr>
                <w:rFonts w:hint="eastAsia"/>
                <w:sz w:val="21"/>
                <w:szCs w:val="21"/>
              </w:rPr>
              <w:t>、</w:t>
            </w:r>
            <w:r>
              <w:rPr>
                <w:sz w:val="21"/>
                <w:szCs w:val="21"/>
              </w:rPr>
              <w:t>BOD</w:t>
            </w:r>
            <w:r>
              <w:rPr>
                <w:sz w:val="21"/>
                <w:szCs w:val="21"/>
                <w:vertAlign w:val="subscript"/>
              </w:rPr>
              <w:t>5</w:t>
            </w:r>
            <w:r>
              <w:rPr>
                <w:rFonts w:hint="eastAsia"/>
                <w:sz w:val="21"/>
                <w:szCs w:val="21"/>
              </w:rPr>
              <w:t>、</w:t>
            </w:r>
            <w:r>
              <w:rPr>
                <w:sz w:val="21"/>
                <w:szCs w:val="21"/>
              </w:rPr>
              <w:t>SS</w:t>
            </w:r>
            <w:r>
              <w:rPr>
                <w:rFonts w:hint="eastAsia"/>
                <w:sz w:val="21"/>
                <w:szCs w:val="21"/>
              </w:rPr>
              <w:t>、</w:t>
            </w:r>
            <w:r>
              <w:rPr>
                <w:sz w:val="21"/>
                <w:szCs w:val="21"/>
              </w:rPr>
              <w:t>NH</w:t>
            </w:r>
            <w:r>
              <w:rPr>
                <w:sz w:val="21"/>
                <w:szCs w:val="21"/>
                <w:vertAlign w:val="subscript"/>
              </w:rPr>
              <w:t>3</w:t>
            </w:r>
            <w:r>
              <w:rPr>
                <w:sz w:val="21"/>
                <w:szCs w:val="21"/>
              </w:rPr>
              <w:t>-N</w:t>
            </w:r>
            <w:r>
              <w:rPr>
                <w:rFonts w:hint="eastAsia"/>
                <w:sz w:val="21"/>
                <w:szCs w:val="21"/>
              </w:rPr>
              <w:t>、总氮、总磷</w:t>
            </w:r>
          </w:p>
        </w:tc>
        <w:tc>
          <w:tcPr>
            <w:tcW w:w="1166" w:type="pct"/>
            <w:vAlign w:val="center"/>
          </w:tcPr>
          <w:p>
            <w:pPr>
              <w:spacing w:line="240" w:lineRule="auto"/>
              <w:ind w:firstLine="0" w:firstLineChars="0"/>
              <w:jc w:val="center"/>
              <w:rPr>
                <w:sz w:val="21"/>
                <w:szCs w:val="21"/>
              </w:rPr>
            </w:pPr>
            <w:r>
              <w:rPr>
                <w:rFonts w:hint="eastAsia"/>
                <w:sz w:val="21"/>
                <w:szCs w:val="21"/>
              </w:rPr>
              <w:t>经</w:t>
            </w:r>
            <w:r>
              <w:rPr>
                <w:sz w:val="21"/>
                <w:szCs w:val="21"/>
              </w:rPr>
              <w:t>一体化预处理设施处理后排入</w:t>
            </w:r>
            <w:r>
              <w:rPr>
                <w:rFonts w:hint="eastAsia"/>
                <w:sz w:val="21"/>
                <w:szCs w:val="21"/>
              </w:rPr>
              <w:t>厂区</w:t>
            </w:r>
            <w:r>
              <w:rPr>
                <w:sz w:val="21"/>
                <w:szCs w:val="21"/>
              </w:rPr>
              <w:t>污水处理站</w:t>
            </w:r>
          </w:p>
        </w:tc>
        <w:tc>
          <w:tcPr>
            <w:tcW w:w="1361" w:type="pct"/>
            <w:vAlign w:val="center"/>
          </w:tcPr>
          <w:p>
            <w:pPr>
              <w:spacing w:line="240" w:lineRule="auto"/>
              <w:ind w:firstLine="0" w:firstLineChars="0"/>
              <w:jc w:val="center"/>
              <w:rPr>
                <w:sz w:val="21"/>
                <w:szCs w:val="21"/>
              </w:rPr>
            </w:pPr>
            <w:r>
              <w:rPr>
                <w:rFonts w:hint="eastAsia"/>
                <w:sz w:val="21"/>
                <w:szCs w:val="21"/>
              </w:rPr>
              <w:t>《淀粉工业水污染物排放标准》（GB25461-2010）表2中间接排放标准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4" w:type="pct"/>
            <w:vMerge w:val="continue"/>
            <w:vAlign w:val="center"/>
          </w:tcPr>
          <w:p>
            <w:pPr>
              <w:spacing w:line="240" w:lineRule="auto"/>
              <w:ind w:firstLine="0" w:firstLineChars="0"/>
              <w:jc w:val="center"/>
              <w:rPr>
                <w:sz w:val="21"/>
                <w:szCs w:val="21"/>
              </w:rPr>
            </w:pPr>
          </w:p>
        </w:tc>
        <w:tc>
          <w:tcPr>
            <w:tcW w:w="801" w:type="pct"/>
            <w:vAlign w:val="center"/>
          </w:tcPr>
          <w:p>
            <w:pPr>
              <w:spacing w:line="240" w:lineRule="auto"/>
              <w:ind w:firstLine="0" w:firstLineChars="0"/>
              <w:jc w:val="center"/>
              <w:rPr>
                <w:sz w:val="21"/>
                <w:szCs w:val="21"/>
              </w:rPr>
            </w:pPr>
            <w:r>
              <w:rPr>
                <w:sz w:val="21"/>
                <w:szCs w:val="21"/>
              </w:rPr>
              <w:t>生活污水</w:t>
            </w:r>
          </w:p>
        </w:tc>
        <w:tc>
          <w:tcPr>
            <w:tcW w:w="947" w:type="pct"/>
            <w:vAlign w:val="center"/>
          </w:tcPr>
          <w:p>
            <w:pPr>
              <w:spacing w:line="240" w:lineRule="auto"/>
              <w:ind w:firstLine="0" w:firstLineChars="0"/>
              <w:jc w:val="center"/>
              <w:rPr>
                <w:sz w:val="21"/>
                <w:szCs w:val="21"/>
              </w:rPr>
            </w:pPr>
            <w:r>
              <w:rPr>
                <w:sz w:val="21"/>
                <w:szCs w:val="21"/>
              </w:rPr>
              <w:t>COD</w:t>
            </w:r>
            <w:r>
              <w:rPr>
                <w:rFonts w:hint="eastAsia"/>
                <w:sz w:val="21"/>
                <w:szCs w:val="21"/>
              </w:rPr>
              <w:t>、</w:t>
            </w:r>
            <w:r>
              <w:rPr>
                <w:sz w:val="21"/>
                <w:szCs w:val="21"/>
              </w:rPr>
              <w:t>BOD</w:t>
            </w:r>
            <w:r>
              <w:rPr>
                <w:sz w:val="21"/>
                <w:szCs w:val="21"/>
                <w:vertAlign w:val="subscript"/>
              </w:rPr>
              <w:t>5</w:t>
            </w:r>
            <w:r>
              <w:rPr>
                <w:rFonts w:hint="eastAsia"/>
                <w:sz w:val="21"/>
                <w:szCs w:val="21"/>
              </w:rPr>
              <w:t>、</w:t>
            </w:r>
            <w:r>
              <w:rPr>
                <w:sz w:val="21"/>
                <w:szCs w:val="21"/>
              </w:rPr>
              <w:t>SS</w:t>
            </w:r>
            <w:r>
              <w:rPr>
                <w:rFonts w:hint="eastAsia"/>
                <w:sz w:val="21"/>
                <w:szCs w:val="21"/>
              </w:rPr>
              <w:t>、</w:t>
            </w:r>
            <w:r>
              <w:rPr>
                <w:sz w:val="21"/>
                <w:szCs w:val="21"/>
              </w:rPr>
              <w:t>NH</w:t>
            </w:r>
            <w:r>
              <w:rPr>
                <w:sz w:val="21"/>
                <w:szCs w:val="21"/>
                <w:vertAlign w:val="subscript"/>
              </w:rPr>
              <w:t>3</w:t>
            </w:r>
            <w:r>
              <w:rPr>
                <w:sz w:val="21"/>
                <w:szCs w:val="21"/>
              </w:rPr>
              <w:t>-N</w:t>
            </w:r>
          </w:p>
        </w:tc>
        <w:tc>
          <w:tcPr>
            <w:tcW w:w="1166" w:type="pct"/>
            <w:vAlign w:val="center"/>
          </w:tcPr>
          <w:p>
            <w:pPr>
              <w:spacing w:line="240" w:lineRule="auto"/>
              <w:ind w:firstLine="0" w:firstLineChars="0"/>
              <w:jc w:val="center"/>
              <w:rPr>
                <w:sz w:val="21"/>
                <w:szCs w:val="21"/>
              </w:rPr>
            </w:pPr>
            <w:r>
              <w:rPr>
                <w:sz w:val="21"/>
                <w:szCs w:val="21"/>
              </w:rPr>
              <w:t>排至厂区现有</w:t>
            </w:r>
            <w:r>
              <w:rPr>
                <w:rFonts w:hint="eastAsia"/>
                <w:sz w:val="21"/>
                <w:szCs w:val="21"/>
              </w:rPr>
              <w:t>污水处理</w:t>
            </w:r>
            <w:r>
              <w:rPr>
                <w:sz w:val="21"/>
                <w:szCs w:val="21"/>
              </w:rPr>
              <w:t>站处理后达标后接入市政管网</w:t>
            </w:r>
          </w:p>
        </w:tc>
        <w:tc>
          <w:tcPr>
            <w:tcW w:w="1361" w:type="pct"/>
            <w:vAlign w:val="center"/>
          </w:tcPr>
          <w:p>
            <w:pPr>
              <w:spacing w:line="240" w:lineRule="auto"/>
              <w:ind w:firstLine="0" w:firstLineChars="0"/>
              <w:jc w:val="center"/>
              <w:rPr>
                <w:sz w:val="21"/>
                <w:szCs w:val="21"/>
              </w:rPr>
            </w:pPr>
            <w:r>
              <w:rPr>
                <w:rFonts w:hint="eastAsia"/>
                <w:kern w:val="0"/>
                <w:sz w:val="21"/>
                <w:szCs w:val="21"/>
              </w:rPr>
              <w:t>《肉类加工工业水污染物排放标准》（GB13457-1992）中“肉制品加工”三级</w:t>
            </w:r>
            <w:r>
              <w:rPr>
                <w:kern w:val="0"/>
                <w:sz w:val="21"/>
                <w:szCs w:val="21"/>
              </w:rPr>
              <w:t>标准</w:t>
            </w:r>
            <w:r>
              <w:rPr>
                <w:rFonts w:hint="eastAsia"/>
                <w:kern w:val="0"/>
                <w:sz w:val="21"/>
                <w:szCs w:val="21"/>
              </w:rPr>
              <w:t>、《污水排入城镇下水道水质标准》（GB/T 31962-2015）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4" w:type="pct"/>
            <w:vAlign w:val="center"/>
          </w:tcPr>
          <w:p>
            <w:pPr>
              <w:spacing w:line="240" w:lineRule="auto"/>
              <w:ind w:firstLine="0" w:firstLineChars="0"/>
              <w:jc w:val="center"/>
              <w:rPr>
                <w:sz w:val="21"/>
                <w:szCs w:val="21"/>
              </w:rPr>
            </w:pPr>
            <w:r>
              <w:rPr>
                <w:sz w:val="21"/>
                <w:szCs w:val="21"/>
              </w:rPr>
              <w:t>声环境</w:t>
            </w:r>
          </w:p>
        </w:tc>
        <w:tc>
          <w:tcPr>
            <w:tcW w:w="801" w:type="pct"/>
            <w:vAlign w:val="center"/>
          </w:tcPr>
          <w:p>
            <w:pPr>
              <w:spacing w:line="240" w:lineRule="auto"/>
              <w:ind w:firstLine="0" w:firstLineChars="0"/>
              <w:jc w:val="center"/>
              <w:rPr>
                <w:sz w:val="21"/>
                <w:szCs w:val="21"/>
              </w:rPr>
            </w:pPr>
            <w:r>
              <w:rPr>
                <w:sz w:val="21"/>
                <w:szCs w:val="21"/>
              </w:rPr>
              <w:t>生产设备</w:t>
            </w:r>
          </w:p>
        </w:tc>
        <w:tc>
          <w:tcPr>
            <w:tcW w:w="947" w:type="pct"/>
            <w:vAlign w:val="center"/>
          </w:tcPr>
          <w:p>
            <w:pPr>
              <w:spacing w:line="240" w:lineRule="auto"/>
              <w:ind w:firstLine="0" w:firstLineChars="0"/>
              <w:jc w:val="center"/>
              <w:rPr>
                <w:sz w:val="21"/>
                <w:szCs w:val="21"/>
              </w:rPr>
            </w:pPr>
            <w:r>
              <w:rPr>
                <w:sz w:val="21"/>
                <w:szCs w:val="21"/>
              </w:rPr>
              <w:t>等效声级</w:t>
            </w:r>
          </w:p>
        </w:tc>
        <w:tc>
          <w:tcPr>
            <w:tcW w:w="1166" w:type="pct"/>
            <w:vAlign w:val="center"/>
          </w:tcPr>
          <w:p>
            <w:pPr>
              <w:spacing w:line="240" w:lineRule="auto"/>
              <w:ind w:firstLine="0" w:firstLineChars="0"/>
              <w:jc w:val="center"/>
              <w:rPr>
                <w:sz w:val="21"/>
                <w:szCs w:val="21"/>
              </w:rPr>
            </w:pPr>
            <w:r>
              <w:rPr>
                <w:snapToGrid w:val="0"/>
                <w:kern w:val="0"/>
                <w:sz w:val="21"/>
                <w:szCs w:val="21"/>
              </w:rPr>
              <w:t>建筑隔声、距离衰减、厂区绿化</w:t>
            </w:r>
          </w:p>
        </w:tc>
        <w:tc>
          <w:tcPr>
            <w:tcW w:w="1361" w:type="pct"/>
            <w:vAlign w:val="center"/>
          </w:tcPr>
          <w:p>
            <w:pPr>
              <w:spacing w:line="240" w:lineRule="auto"/>
              <w:ind w:firstLine="0" w:firstLineChars="0"/>
              <w:jc w:val="center"/>
              <w:rPr>
                <w:sz w:val="21"/>
                <w:szCs w:val="21"/>
              </w:rPr>
            </w:pPr>
            <w:r>
              <w:rPr>
                <w:kern w:val="0"/>
                <w:sz w:val="21"/>
                <w:szCs w:val="21"/>
              </w:rPr>
              <w:t>《工业企业厂界环境噪声排放标准》（GB12348-2008）中3类标准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24" w:type="pct"/>
            <w:vAlign w:val="center"/>
          </w:tcPr>
          <w:p>
            <w:pPr>
              <w:spacing w:line="240" w:lineRule="auto"/>
              <w:ind w:firstLine="0" w:firstLineChars="0"/>
              <w:jc w:val="center"/>
              <w:rPr>
                <w:sz w:val="21"/>
                <w:szCs w:val="21"/>
              </w:rPr>
            </w:pPr>
            <w:r>
              <w:rPr>
                <w:sz w:val="21"/>
                <w:szCs w:val="21"/>
              </w:rPr>
              <w:t>固体废物</w:t>
            </w:r>
          </w:p>
        </w:tc>
        <w:tc>
          <w:tcPr>
            <w:tcW w:w="4276" w:type="pct"/>
            <w:gridSpan w:val="4"/>
            <w:vAlign w:val="center"/>
          </w:tcPr>
          <w:p>
            <w:pPr>
              <w:spacing w:line="240" w:lineRule="auto"/>
              <w:ind w:firstLine="0" w:firstLineChars="0"/>
              <w:jc w:val="left"/>
              <w:rPr>
                <w:sz w:val="21"/>
                <w:szCs w:val="21"/>
              </w:rPr>
            </w:pPr>
            <w:r>
              <w:rPr>
                <w:rFonts w:hint="eastAsia"/>
                <w:bCs/>
                <w:sz w:val="21"/>
                <w:szCs w:val="21"/>
              </w:rPr>
              <w:t>设置</w:t>
            </w:r>
            <w:r>
              <w:rPr>
                <w:bCs/>
                <w:sz w:val="21"/>
                <w:szCs w:val="21"/>
              </w:rPr>
              <w:t>一间面积约为5m</w:t>
            </w:r>
            <w:r>
              <w:rPr>
                <w:bCs/>
                <w:sz w:val="21"/>
                <w:szCs w:val="21"/>
                <w:vertAlign w:val="superscript"/>
              </w:rPr>
              <w:t>2</w:t>
            </w:r>
            <w:r>
              <w:rPr>
                <w:rFonts w:hint="eastAsia"/>
                <w:bCs/>
                <w:sz w:val="21"/>
                <w:szCs w:val="21"/>
              </w:rPr>
              <w:t>的</w:t>
            </w:r>
            <w:r>
              <w:rPr>
                <w:bCs/>
                <w:sz w:val="21"/>
                <w:szCs w:val="21"/>
              </w:rPr>
              <w:t>一般固废暂存间，地面采用一般防渗处理，废包装材料、</w:t>
            </w:r>
            <w:r>
              <w:rPr>
                <w:rFonts w:hint="eastAsia"/>
                <w:bCs/>
                <w:sz w:val="21"/>
                <w:szCs w:val="21"/>
              </w:rPr>
              <w:t>边角料、检验废品、破损豆干</w:t>
            </w:r>
            <w:r>
              <w:rPr>
                <w:bCs/>
                <w:sz w:val="21"/>
                <w:szCs w:val="21"/>
              </w:rPr>
              <w:t>等一般工业固废收集后</w:t>
            </w:r>
            <w:r>
              <w:rPr>
                <w:sz w:val="21"/>
                <w:szCs w:val="21"/>
              </w:rPr>
              <w:t>外售综合处理；</w:t>
            </w:r>
            <w:r>
              <w:rPr>
                <w:rFonts w:hint="eastAsia"/>
                <w:sz w:val="21"/>
                <w:szCs w:val="21"/>
              </w:rPr>
              <w:t>废水</w:t>
            </w:r>
            <w:r>
              <w:rPr>
                <w:sz w:val="21"/>
                <w:szCs w:val="21"/>
              </w:rPr>
              <w:t>处理设施污泥和生活垃圾收集后交环卫部门处置</w:t>
            </w:r>
            <w:r>
              <w:rPr>
                <w:rFonts w:hint="eastAsia"/>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24" w:type="pct"/>
            <w:vAlign w:val="center"/>
          </w:tcPr>
          <w:p>
            <w:pPr>
              <w:spacing w:line="240" w:lineRule="auto"/>
              <w:ind w:firstLine="0" w:firstLineChars="0"/>
              <w:jc w:val="center"/>
              <w:rPr>
                <w:sz w:val="21"/>
                <w:szCs w:val="21"/>
              </w:rPr>
            </w:pPr>
            <w:r>
              <w:rPr>
                <w:sz w:val="21"/>
                <w:szCs w:val="21"/>
              </w:rPr>
              <w:t>土壤及地下水污染防治措施</w:t>
            </w:r>
          </w:p>
        </w:tc>
        <w:tc>
          <w:tcPr>
            <w:tcW w:w="4276" w:type="pct"/>
            <w:gridSpan w:val="4"/>
            <w:vAlign w:val="center"/>
          </w:tcPr>
          <w:p>
            <w:pPr>
              <w:spacing w:line="240" w:lineRule="auto"/>
              <w:ind w:firstLine="0" w:firstLineChars="0"/>
              <w:jc w:val="left"/>
              <w:rPr>
                <w:sz w:val="21"/>
                <w:szCs w:val="21"/>
              </w:rPr>
            </w:pPr>
            <w:r>
              <w:rPr>
                <w:rFonts w:hint="eastAsia"/>
                <w:bCs/>
                <w:sz w:val="21"/>
                <w:szCs w:val="21"/>
              </w:rPr>
              <w:t>废水处理站、一般固废暂存间进行一般防渗处理，产生的固体废物分类堆放。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24" w:type="pct"/>
            <w:vAlign w:val="center"/>
          </w:tcPr>
          <w:p>
            <w:pPr>
              <w:spacing w:line="240" w:lineRule="auto"/>
              <w:ind w:firstLine="0" w:firstLineChars="0"/>
              <w:jc w:val="center"/>
              <w:rPr>
                <w:sz w:val="21"/>
                <w:szCs w:val="21"/>
              </w:rPr>
            </w:pPr>
            <w:r>
              <w:rPr>
                <w:sz w:val="21"/>
                <w:szCs w:val="21"/>
              </w:rPr>
              <w:t>生态保护措施</w:t>
            </w:r>
          </w:p>
        </w:tc>
        <w:tc>
          <w:tcPr>
            <w:tcW w:w="4276" w:type="pct"/>
            <w:gridSpan w:val="4"/>
            <w:vAlign w:val="center"/>
          </w:tcPr>
          <w:p>
            <w:pPr>
              <w:spacing w:line="240" w:lineRule="auto"/>
              <w:ind w:firstLine="0" w:firstLineChars="0"/>
              <w:jc w:val="center"/>
              <w:rPr>
                <w:sz w:val="21"/>
                <w:szCs w:val="21"/>
              </w:rPr>
            </w:pPr>
            <w:r>
              <w:rPr>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24" w:type="pct"/>
            <w:vAlign w:val="center"/>
          </w:tcPr>
          <w:p>
            <w:pPr>
              <w:spacing w:line="240" w:lineRule="auto"/>
              <w:ind w:firstLine="0" w:firstLineChars="0"/>
              <w:jc w:val="center"/>
              <w:rPr>
                <w:spacing w:val="-8"/>
                <w:sz w:val="21"/>
                <w:szCs w:val="21"/>
              </w:rPr>
            </w:pPr>
            <w:r>
              <w:rPr>
                <w:spacing w:val="-8"/>
                <w:sz w:val="21"/>
                <w:szCs w:val="21"/>
              </w:rPr>
              <w:t>环境风险</w:t>
            </w:r>
          </w:p>
          <w:p>
            <w:pPr>
              <w:spacing w:line="240" w:lineRule="auto"/>
              <w:ind w:firstLine="0" w:firstLineChars="0"/>
              <w:jc w:val="center"/>
              <w:rPr>
                <w:spacing w:val="-8"/>
                <w:sz w:val="21"/>
                <w:szCs w:val="21"/>
              </w:rPr>
            </w:pPr>
            <w:r>
              <w:rPr>
                <w:spacing w:val="-8"/>
                <w:sz w:val="21"/>
                <w:szCs w:val="21"/>
              </w:rPr>
              <w:t>防范措施</w:t>
            </w:r>
          </w:p>
        </w:tc>
        <w:tc>
          <w:tcPr>
            <w:tcW w:w="4276" w:type="pct"/>
            <w:gridSpan w:val="4"/>
            <w:vAlign w:val="center"/>
          </w:tcPr>
          <w:p>
            <w:pPr>
              <w:spacing w:line="240" w:lineRule="auto"/>
              <w:ind w:firstLine="0" w:firstLineChars="0"/>
              <w:rPr>
                <w:bCs/>
                <w:sz w:val="21"/>
                <w:szCs w:val="21"/>
              </w:rPr>
            </w:pPr>
            <w:r>
              <w:rPr>
                <w:rFonts w:hint="eastAsia"/>
                <w:bCs/>
                <w:sz w:val="21"/>
                <w:szCs w:val="21"/>
              </w:rPr>
              <w:t>车间地面</w:t>
            </w:r>
            <w:r>
              <w:rPr>
                <w:bCs/>
                <w:sz w:val="21"/>
                <w:szCs w:val="21"/>
              </w:rPr>
              <w:t>进行了</w:t>
            </w:r>
            <w:r>
              <w:rPr>
                <w:rFonts w:hint="eastAsia"/>
                <w:bCs/>
                <w:sz w:val="21"/>
                <w:szCs w:val="21"/>
              </w:rPr>
              <w:t>简单</w:t>
            </w:r>
            <w:r>
              <w:rPr>
                <w:bCs/>
                <w:sz w:val="21"/>
                <w:szCs w:val="21"/>
              </w:rPr>
              <w:t>防渗处理，地面设置截流沟，</w:t>
            </w:r>
            <w:r>
              <w:rPr>
                <w:rFonts w:hint="eastAsia"/>
                <w:bCs/>
                <w:sz w:val="21"/>
                <w:szCs w:val="21"/>
              </w:rPr>
              <w:t>物料</w:t>
            </w:r>
            <w:r>
              <w:rPr>
                <w:bCs/>
                <w:sz w:val="21"/>
                <w:szCs w:val="21"/>
              </w:rPr>
              <w:t>转移滴漏的废液及地面清洁废水经截流沟汇集后进入污水处理站处理</w:t>
            </w:r>
            <w:r>
              <w:rPr>
                <w:rFonts w:hint="eastAsia"/>
                <w:bCs/>
                <w:sz w:val="21"/>
                <w:szCs w:val="21"/>
              </w:rPr>
              <w:t>；废水</w:t>
            </w:r>
            <w:r>
              <w:rPr>
                <w:bCs/>
                <w:sz w:val="21"/>
                <w:szCs w:val="21"/>
              </w:rPr>
              <w:t>处理设施</w:t>
            </w:r>
            <w:r>
              <w:rPr>
                <w:rFonts w:hint="eastAsia"/>
                <w:bCs/>
                <w:sz w:val="21"/>
                <w:szCs w:val="21"/>
              </w:rPr>
              <w:t>和</w:t>
            </w:r>
            <w:r>
              <w:rPr>
                <w:bCs/>
                <w:sz w:val="21"/>
                <w:szCs w:val="21"/>
              </w:rPr>
              <w:t>一般</w:t>
            </w:r>
            <w:r>
              <w:rPr>
                <w:rFonts w:hint="eastAsia"/>
                <w:bCs/>
                <w:sz w:val="21"/>
                <w:szCs w:val="21"/>
              </w:rPr>
              <w:t>固废</w:t>
            </w:r>
            <w:r>
              <w:rPr>
                <w:bCs/>
                <w:sz w:val="21"/>
                <w:szCs w:val="21"/>
              </w:rPr>
              <w:t>暂存间进行了一般防渗处理。</w:t>
            </w:r>
            <w:r>
              <w:rPr>
                <w:rFonts w:hint="eastAsia"/>
                <w:bCs/>
                <w:sz w:val="21"/>
                <w:szCs w:val="21"/>
              </w:rPr>
              <w:t>落实安全检查制度，定期检查，排除火灾隐患；加强厂区消防检查和管理，在厂区按照消防要求设置灭火器材。要加强对各岗位员工进行风险意识、风险知识、安全技能、规章制度、应变能力等素质等各方面的培训和教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724" w:type="pct"/>
            <w:vAlign w:val="center"/>
          </w:tcPr>
          <w:p>
            <w:pPr>
              <w:spacing w:line="240" w:lineRule="auto"/>
              <w:ind w:firstLine="0" w:firstLineChars="0"/>
              <w:jc w:val="center"/>
              <w:rPr>
                <w:spacing w:val="-8"/>
                <w:sz w:val="21"/>
                <w:szCs w:val="21"/>
              </w:rPr>
            </w:pPr>
            <w:r>
              <w:rPr>
                <w:spacing w:val="-8"/>
                <w:sz w:val="21"/>
                <w:szCs w:val="21"/>
              </w:rPr>
              <w:t>其他环境</w:t>
            </w:r>
          </w:p>
          <w:p>
            <w:pPr>
              <w:spacing w:line="240" w:lineRule="auto"/>
              <w:ind w:firstLine="0" w:firstLineChars="0"/>
              <w:jc w:val="center"/>
              <w:rPr>
                <w:spacing w:val="-8"/>
                <w:sz w:val="21"/>
                <w:szCs w:val="21"/>
              </w:rPr>
            </w:pPr>
            <w:r>
              <w:rPr>
                <w:spacing w:val="-8"/>
                <w:sz w:val="21"/>
                <w:szCs w:val="21"/>
              </w:rPr>
              <w:t>管理要求</w:t>
            </w:r>
          </w:p>
        </w:tc>
        <w:tc>
          <w:tcPr>
            <w:tcW w:w="4276" w:type="pct"/>
            <w:gridSpan w:val="4"/>
            <w:vAlign w:val="center"/>
          </w:tcPr>
          <w:p>
            <w:pPr>
              <w:spacing w:line="240" w:lineRule="auto"/>
              <w:ind w:firstLine="0" w:firstLineChars="0"/>
              <w:jc w:val="left"/>
              <w:rPr>
                <w:sz w:val="21"/>
                <w:szCs w:val="21"/>
              </w:rPr>
            </w:pPr>
            <w:r>
              <w:rPr>
                <w:rFonts w:hint="eastAsia"/>
                <w:sz w:val="21"/>
                <w:szCs w:val="21"/>
              </w:rPr>
              <w:t>项目</w:t>
            </w:r>
            <w:r>
              <w:rPr>
                <w:sz w:val="21"/>
                <w:szCs w:val="21"/>
              </w:rPr>
              <w:t>建设完成后</w:t>
            </w:r>
            <w:r>
              <w:rPr>
                <w:rFonts w:hint="eastAsia"/>
                <w:sz w:val="21"/>
                <w:szCs w:val="21"/>
              </w:rPr>
              <w:t>及时</w:t>
            </w:r>
            <w:r>
              <w:rPr>
                <w:sz w:val="21"/>
                <w:szCs w:val="21"/>
              </w:rPr>
              <w:t>申请排污许可证，编制自行监测方案</w:t>
            </w:r>
            <w:r>
              <w:rPr>
                <w:rFonts w:hint="eastAsia"/>
                <w:sz w:val="21"/>
                <w:szCs w:val="21"/>
              </w:rPr>
              <w:t>，开展自行</w:t>
            </w:r>
            <w:r>
              <w:rPr>
                <w:sz w:val="21"/>
                <w:szCs w:val="21"/>
              </w:rPr>
              <w:t>监测</w:t>
            </w:r>
            <w:r>
              <w:rPr>
                <w:rFonts w:hint="eastAsia"/>
                <w:sz w:val="21"/>
                <w:szCs w:val="21"/>
              </w:rPr>
              <w:t>；</w:t>
            </w:r>
          </w:p>
          <w:p>
            <w:pPr>
              <w:spacing w:line="240" w:lineRule="auto"/>
              <w:ind w:firstLine="0" w:firstLineChars="0"/>
              <w:jc w:val="left"/>
              <w:rPr>
                <w:sz w:val="21"/>
                <w:szCs w:val="21"/>
              </w:rPr>
            </w:pPr>
            <w:r>
              <w:rPr>
                <w:rFonts w:hint="eastAsia"/>
                <w:sz w:val="21"/>
                <w:szCs w:val="21"/>
              </w:rPr>
              <w:t>项目</w:t>
            </w:r>
            <w:r>
              <w:rPr>
                <w:sz w:val="21"/>
                <w:szCs w:val="21"/>
              </w:rPr>
              <w:t>建成</w:t>
            </w:r>
            <w:r>
              <w:rPr>
                <w:rFonts w:hint="eastAsia"/>
                <w:sz w:val="21"/>
                <w:szCs w:val="21"/>
              </w:rPr>
              <w:t>运营期，</w:t>
            </w:r>
            <w:r>
              <w:rPr>
                <w:sz w:val="21"/>
                <w:szCs w:val="21"/>
              </w:rPr>
              <w:t>应该落实环境管理天后在那个记录的责任部门和责任人，明确工作职责，</w:t>
            </w:r>
            <w:r>
              <w:rPr>
                <w:rFonts w:hint="eastAsia"/>
                <w:sz w:val="21"/>
                <w:szCs w:val="21"/>
              </w:rPr>
              <w:t>包括</w:t>
            </w:r>
            <w:r>
              <w:rPr>
                <w:sz w:val="21"/>
                <w:szCs w:val="21"/>
              </w:rPr>
              <w:t>台账的记录</w:t>
            </w:r>
            <w:r>
              <w:rPr>
                <w:rFonts w:hint="eastAsia"/>
                <w:sz w:val="21"/>
                <w:szCs w:val="21"/>
              </w:rPr>
              <w:t>、</w:t>
            </w:r>
            <w:r>
              <w:rPr>
                <w:sz w:val="21"/>
                <w:szCs w:val="21"/>
              </w:rPr>
              <w:t>整理</w:t>
            </w:r>
            <w:r>
              <w:rPr>
                <w:rFonts w:hint="eastAsia"/>
                <w:sz w:val="21"/>
                <w:szCs w:val="21"/>
              </w:rPr>
              <w:t>、</w:t>
            </w:r>
            <w:r>
              <w:rPr>
                <w:sz w:val="21"/>
                <w:szCs w:val="21"/>
              </w:rPr>
              <w:t>维护和管理等，并</w:t>
            </w:r>
            <w:r>
              <w:rPr>
                <w:rFonts w:hint="eastAsia"/>
                <w:sz w:val="21"/>
                <w:szCs w:val="21"/>
              </w:rPr>
              <w:t>对</w:t>
            </w:r>
            <w:r>
              <w:rPr>
                <w:sz w:val="21"/>
                <w:szCs w:val="21"/>
              </w:rPr>
              <w:t>环境管理台账的真实性</w:t>
            </w:r>
            <w:r>
              <w:rPr>
                <w:rFonts w:hint="eastAsia"/>
                <w:sz w:val="21"/>
                <w:szCs w:val="21"/>
              </w:rPr>
              <w:t>、</w:t>
            </w:r>
            <w:r>
              <w:rPr>
                <w:sz w:val="21"/>
                <w:szCs w:val="21"/>
              </w:rPr>
              <w:t>完整性和规划性负责。</w:t>
            </w:r>
          </w:p>
        </w:tc>
      </w:tr>
    </w:tbl>
    <w:p>
      <w:pPr>
        <w:ind w:firstLine="480"/>
        <w:jc w:val="center"/>
        <w:outlineLvl w:val="0"/>
        <w:rPr>
          <w:snapToGrid w:val="0"/>
          <w:sz w:val="30"/>
          <w:szCs w:val="30"/>
        </w:rPr>
      </w:pPr>
      <w:r>
        <w:rPr>
          <w:snapToGrid w:val="0"/>
        </w:rPr>
        <w:br w:type="page"/>
      </w:r>
      <w:r>
        <w:rPr>
          <w:snapToGrid w:val="0"/>
          <w:sz w:val="30"/>
          <w:szCs w:val="30"/>
        </w:rPr>
        <w:t>六、结论</w:t>
      </w:r>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tcPr>
          <w:p>
            <w:pPr>
              <w:ind w:firstLine="480"/>
              <w:rPr>
                <w:snapToGrid w:val="0"/>
              </w:rPr>
            </w:pPr>
            <w:r>
              <w:rPr>
                <w:snapToGrid w:val="0"/>
              </w:rPr>
              <w:t>烤丞相（重庆）食品有限公司</w:t>
            </w:r>
            <w:r>
              <w:t>租赁</w:t>
            </w:r>
            <w:r>
              <w:rPr>
                <w:rFonts w:hint="eastAsia"/>
              </w:rPr>
              <w:t>重庆宜</w:t>
            </w:r>
            <w:r>
              <w:t>企</w:t>
            </w:r>
            <w:r>
              <w:rPr>
                <w:rFonts w:hint="eastAsia"/>
              </w:rPr>
              <w:t>健</w:t>
            </w:r>
            <w:r>
              <w:t>企业管理有限公司2</w:t>
            </w:r>
            <w:r>
              <w:rPr>
                <w:rFonts w:hint="eastAsia"/>
              </w:rPr>
              <w:t>#厂房2楼部分生产车间，面积约</w:t>
            </w:r>
            <w:r>
              <w:t>1682</w:t>
            </w:r>
            <w:r>
              <w:rPr>
                <w:rFonts w:hint="eastAsia"/>
              </w:rPr>
              <w:t>平方米，布置2条</w:t>
            </w:r>
            <w:r>
              <w:t>苕皮生产线和</w:t>
            </w:r>
            <w:r>
              <w:rPr>
                <w:rFonts w:hint="eastAsia"/>
              </w:rPr>
              <w:t>1条豆干加工</w:t>
            </w:r>
            <w:r>
              <w:t>生产线，</w:t>
            </w:r>
            <w:r>
              <w:rPr>
                <w:rFonts w:hint="eastAsia"/>
              </w:rPr>
              <w:t>形成</w:t>
            </w:r>
            <w:r>
              <w:t>年产苕皮</w:t>
            </w:r>
            <w:r>
              <w:rPr>
                <w:rFonts w:hint="eastAsia"/>
              </w:rPr>
              <w:t>3000吨、</w:t>
            </w:r>
            <w:r>
              <w:t>卤豆干</w:t>
            </w:r>
            <w:r>
              <w:rPr>
                <w:rFonts w:hint="eastAsia"/>
              </w:rPr>
              <w:t>300吨的</w:t>
            </w:r>
            <w:r>
              <w:t>生产规模</w:t>
            </w:r>
            <w:r>
              <w:rPr>
                <w:rFonts w:hint="eastAsia"/>
              </w:rPr>
              <w:t>。</w:t>
            </w:r>
            <w:r>
              <w:rPr>
                <w:snapToGrid w:val="0"/>
              </w:rPr>
              <w:t>本项目总投资100万，环保投资10万。拟建项目</w:t>
            </w:r>
            <w:r>
              <w:rPr>
                <w:rFonts w:hint="eastAsia"/>
                <w:snapToGrid w:val="0"/>
              </w:rPr>
              <w:t>的</w:t>
            </w:r>
            <w:r>
              <w:rPr>
                <w:snapToGrid w:val="0"/>
              </w:rPr>
              <w:t>建设符合国家和重庆市的产业政策及选址要求。项目建成后，项目运营期按报告表中提出的环保措施进行治理、在确保污染物达标排放的前提下，项目对周围环境不会产生明显的影响，环境可以接受。</w:t>
            </w:r>
          </w:p>
          <w:p>
            <w:pPr>
              <w:ind w:firstLine="480"/>
              <w:rPr>
                <w:snapToGrid w:val="0"/>
              </w:rPr>
            </w:pPr>
            <w:r>
              <w:rPr>
                <w:snapToGrid w:val="0"/>
              </w:rPr>
              <w:t>因此，从环境保护的角度来看，项目建设可行。</w:t>
            </w:r>
          </w:p>
          <w:p>
            <w:pPr>
              <w:ind w:firstLine="480"/>
              <w:rPr>
                <w:snapToGrid w:val="0"/>
              </w:rPr>
            </w:pPr>
          </w:p>
          <w:p>
            <w:pPr>
              <w:ind w:firstLine="480"/>
            </w:pPr>
          </w:p>
        </w:tc>
      </w:tr>
    </w:tbl>
    <w:p>
      <w:pPr>
        <w:ind w:firstLine="480"/>
        <w:sectPr>
          <w:type w:val="continuous"/>
          <w:pgSz w:w="11906" w:h="16838"/>
          <w:pgMar w:top="1440" w:right="1080" w:bottom="1440" w:left="1080" w:header="851" w:footer="851" w:gutter="0"/>
          <w:cols w:space="720" w:num="1"/>
          <w:docGrid w:linePitch="312" w:charSpace="0"/>
        </w:sectPr>
      </w:pPr>
    </w:p>
    <w:p>
      <w:pPr>
        <w:adjustRightInd w:val="0"/>
        <w:snapToGrid w:val="0"/>
        <w:spacing w:line="240" w:lineRule="auto"/>
        <w:ind w:firstLine="640"/>
        <w:outlineLvl w:val="0"/>
        <w:rPr>
          <w:snapToGrid w:val="0"/>
          <w:sz w:val="32"/>
          <w:szCs w:val="32"/>
        </w:rPr>
      </w:pPr>
      <w:r>
        <w:rPr>
          <w:snapToGrid w:val="0"/>
          <w:sz w:val="32"/>
          <w:szCs w:val="32"/>
        </w:rPr>
        <w:t>附表</w:t>
      </w:r>
    </w:p>
    <w:p>
      <w:pPr>
        <w:pStyle w:val="33"/>
        <w:spacing w:before="120"/>
        <w:rPr>
          <w:snapToGrid w:val="0"/>
        </w:rPr>
      </w:pPr>
      <w:r>
        <w:rPr>
          <w:snapToGrid w:val="0"/>
        </w:rPr>
        <w:t>建设项目污染物排放量汇总表</w:t>
      </w:r>
    </w:p>
    <w:tbl>
      <w:tblPr>
        <w:tblStyle w:val="18"/>
        <w:tblpPr w:leftFromText="180" w:rightFromText="180" w:vertAnchor="text" w:tblpY="1"/>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745"/>
        <w:gridCol w:w="10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34"/>
              <w:jc w:val="center"/>
              <w:rPr>
                <w:snapToGrid w:val="0"/>
              </w:rPr>
            </w:pPr>
            <w:r>
              <w:rPr>
                <w:snapToGrid w:val="0"/>
              </w:rPr>
              <w:t>项目</w:t>
            </w:r>
          </w:p>
          <w:p>
            <w:pPr>
              <w:pStyle w:val="34"/>
              <w:jc w:val="center"/>
              <w:rPr>
                <w:snapToGrid w:val="0"/>
              </w:rPr>
            </w:pPr>
            <w:r>
              <w:rPr>
                <w:snapToGrid w:val="0"/>
              </w:rPr>
              <w:t>分类</w:t>
            </w:r>
          </w:p>
        </w:tc>
        <w:tc>
          <w:tcPr>
            <w:tcW w:w="1417" w:type="dxa"/>
            <w:tcMar>
              <w:left w:w="28" w:type="dxa"/>
              <w:right w:w="28" w:type="dxa"/>
            </w:tcMar>
            <w:vAlign w:val="center"/>
          </w:tcPr>
          <w:p>
            <w:pPr>
              <w:pStyle w:val="34"/>
              <w:jc w:val="center"/>
              <w:rPr>
                <w:snapToGrid w:val="0"/>
              </w:rPr>
            </w:pPr>
            <w:r>
              <w:rPr>
                <w:snapToGrid w:val="0"/>
              </w:rPr>
              <w:t>污染物名称</w:t>
            </w:r>
          </w:p>
        </w:tc>
        <w:tc>
          <w:tcPr>
            <w:tcW w:w="1701" w:type="dxa"/>
            <w:tcMar>
              <w:left w:w="28" w:type="dxa"/>
              <w:right w:w="28" w:type="dxa"/>
            </w:tcMar>
            <w:vAlign w:val="center"/>
          </w:tcPr>
          <w:p>
            <w:pPr>
              <w:pStyle w:val="34"/>
              <w:jc w:val="center"/>
              <w:rPr>
                <w:snapToGrid w:val="0"/>
              </w:rPr>
            </w:pPr>
            <w:r>
              <w:rPr>
                <w:snapToGrid w:val="0"/>
              </w:rPr>
              <w:t>现有工程</w:t>
            </w:r>
          </w:p>
          <w:p>
            <w:pPr>
              <w:pStyle w:val="34"/>
              <w:jc w:val="center"/>
              <w:rPr>
                <w:snapToGrid w:val="0"/>
              </w:rPr>
            </w:pPr>
            <w:r>
              <w:rPr>
                <w:snapToGrid w:val="0"/>
              </w:rPr>
              <w:t>排放量（固体废物产生量）</w:t>
            </w:r>
            <w:r>
              <w:rPr>
                <w:snapToGrid w:val="0"/>
              </w:rPr>
              <w:fldChar w:fldCharType="begin"/>
            </w:r>
            <w:r>
              <w:rPr>
                <w:snapToGrid w:val="0"/>
              </w:rPr>
              <w:instrText xml:space="preserve"> = 1 \* GB3 \* MERGEFORMAT </w:instrText>
            </w:r>
            <w:r>
              <w:rPr>
                <w:snapToGrid w:val="0"/>
              </w:rPr>
              <w:fldChar w:fldCharType="separate"/>
            </w:r>
            <w:r>
              <w:rPr>
                <w:rFonts w:hint="eastAsia" w:ascii="宋体" w:hAnsi="宋体" w:cs="宋体"/>
              </w:rPr>
              <w:t>①</w:t>
            </w:r>
            <w:r>
              <w:rPr>
                <w:snapToGrid w:val="0"/>
              </w:rPr>
              <w:fldChar w:fldCharType="end"/>
            </w:r>
          </w:p>
        </w:tc>
        <w:tc>
          <w:tcPr>
            <w:tcW w:w="1276" w:type="dxa"/>
            <w:tcMar>
              <w:left w:w="28" w:type="dxa"/>
              <w:right w:w="28" w:type="dxa"/>
            </w:tcMar>
            <w:vAlign w:val="center"/>
          </w:tcPr>
          <w:p>
            <w:pPr>
              <w:pStyle w:val="34"/>
              <w:jc w:val="center"/>
              <w:rPr>
                <w:snapToGrid w:val="0"/>
              </w:rPr>
            </w:pPr>
            <w:r>
              <w:rPr>
                <w:snapToGrid w:val="0"/>
              </w:rPr>
              <w:t>现有工程</w:t>
            </w:r>
          </w:p>
          <w:p>
            <w:pPr>
              <w:pStyle w:val="34"/>
              <w:jc w:val="center"/>
              <w:rPr>
                <w:snapToGrid w:val="0"/>
              </w:rPr>
            </w:pPr>
            <w:r>
              <w:rPr>
                <w:snapToGrid w:val="0"/>
              </w:rPr>
              <w:t>许可排放量</w:t>
            </w:r>
          </w:p>
          <w:p>
            <w:pPr>
              <w:pStyle w:val="34"/>
              <w:jc w:val="center"/>
              <w:rPr>
                <w:snapToGrid w:val="0"/>
              </w:rPr>
            </w:pPr>
            <w:r>
              <w:rPr>
                <w:snapToGrid w:val="0"/>
              </w:rPr>
              <w:fldChar w:fldCharType="begin"/>
            </w:r>
            <w:r>
              <w:rPr>
                <w:snapToGrid w:val="0"/>
              </w:rPr>
              <w:instrText xml:space="preserve"> = 2 \* GB3 \* MERGEFORMAT </w:instrText>
            </w:r>
            <w:r>
              <w:rPr>
                <w:snapToGrid w:val="0"/>
              </w:rPr>
              <w:fldChar w:fldCharType="separate"/>
            </w:r>
            <w:r>
              <w:rPr>
                <w:rFonts w:hint="eastAsia" w:ascii="宋体" w:hAnsi="宋体" w:cs="宋体"/>
                <w:snapToGrid w:val="0"/>
              </w:rPr>
              <w:t>②</w:t>
            </w:r>
            <w:r>
              <w:rPr>
                <w:snapToGrid w:val="0"/>
              </w:rPr>
              <w:fldChar w:fldCharType="end"/>
            </w:r>
          </w:p>
        </w:tc>
        <w:tc>
          <w:tcPr>
            <w:tcW w:w="1701" w:type="dxa"/>
            <w:tcMar>
              <w:left w:w="28" w:type="dxa"/>
              <w:right w:w="28" w:type="dxa"/>
            </w:tcMar>
            <w:vAlign w:val="center"/>
          </w:tcPr>
          <w:p>
            <w:pPr>
              <w:pStyle w:val="34"/>
              <w:jc w:val="center"/>
              <w:rPr>
                <w:snapToGrid w:val="0"/>
              </w:rPr>
            </w:pPr>
            <w:r>
              <w:rPr>
                <w:snapToGrid w:val="0"/>
              </w:rPr>
              <w:t>在建工程</w:t>
            </w:r>
          </w:p>
          <w:p>
            <w:pPr>
              <w:pStyle w:val="34"/>
              <w:jc w:val="center"/>
              <w:rPr>
                <w:snapToGrid w:val="0"/>
              </w:rPr>
            </w:pPr>
            <w:r>
              <w:rPr>
                <w:snapToGrid w:val="0"/>
              </w:rPr>
              <w:t>排放量（固体废物产生量）</w:t>
            </w:r>
            <w:r>
              <w:rPr>
                <w:snapToGrid w:val="0"/>
              </w:rPr>
              <w:fldChar w:fldCharType="begin"/>
            </w:r>
            <w:r>
              <w:rPr>
                <w:snapToGrid w:val="0"/>
              </w:rPr>
              <w:instrText xml:space="preserve"> = 3 \* GB3 \* MERGEFORMAT </w:instrText>
            </w:r>
            <w:r>
              <w:rPr>
                <w:snapToGrid w:val="0"/>
              </w:rPr>
              <w:fldChar w:fldCharType="separate"/>
            </w:r>
            <w:r>
              <w:rPr>
                <w:rFonts w:hint="eastAsia" w:ascii="宋体" w:hAnsi="宋体" w:cs="宋体"/>
              </w:rPr>
              <w:t>③</w:t>
            </w:r>
            <w:r>
              <w:rPr>
                <w:snapToGrid w:val="0"/>
              </w:rPr>
              <w:fldChar w:fldCharType="end"/>
            </w:r>
          </w:p>
        </w:tc>
        <w:tc>
          <w:tcPr>
            <w:tcW w:w="1559" w:type="dxa"/>
            <w:tcMar>
              <w:left w:w="28" w:type="dxa"/>
              <w:right w:w="28" w:type="dxa"/>
            </w:tcMar>
            <w:vAlign w:val="center"/>
          </w:tcPr>
          <w:p>
            <w:pPr>
              <w:pStyle w:val="34"/>
              <w:jc w:val="center"/>
              <w:rPr>
                <w:snapToGrid w:val="0"/>
              </w:rPr>
            </w:pPr>
            <w:r>
              <w:rPr>
                <w:snapToGrid w:val="0"/>
              </w:rPr>
              <w:t>本项目</w:t>
            </w:r>
          </w:p>
          <w:p>
            <w:pPr>
              <w:pStyle w:val="34"/>
              <w:jc w:val="center"/>
              <w:rPr>
                <w:snapToGrid w:val="0"/>
              </w:rPr>
            </w:pPr>
            <w:r>
              <w:rPr>
                <w:snapToGrid w:val="0"/>
              </w:rPr>
              <w:t>排放量（固体废物产生量）</w:t>
            </w:r>
            <w:r>
              <w:rPr>
                <w:snapToGrid w:val="0"/>
              </w:rPr>
              <w:fldChar w:fldCharType="begin"/>
            </w:r>
            <w:r>
              <w:rPr>
                <w:snapToGrid w:val="0"/>
              </w:rPr>
              <w:instrText xml:space="preserve"> = 4 \* GB3 \* MERGEFORMAT </w:instrText>
            </w:r>
            <w:r>
              <w:rPr>
                <w:snapToGrid w:val="0"/>
              </w:rPr>
              <w:fldChar w:fldCharType="separate"/>
            </w:r>
            <w:r>
              <w:rPr>
                <w:rFonts w:hint="eastAsia" w:ascii="宋体" w:hAnsi="宋体" w:cs="宋体"/>
              </w:rPr>
              <w:t>④</w:t>
            </w:r>
            <w:r>
              <w:rPr>
                <w:snapToGrid w:val="0"/>
              </w:rPr>
              <w:fldChar w:fldCharType="end"/>
            </w:r>
          </w:p>
        </w:tc>
        <w:tc>
          <w:tcPr>
            <w:tcW w:w="1761" w:type="dxa"/>
            <w:tcMar>
              <w:left w:w="28" w:type="dxa"/>
              <w:right w:w="28" w:type="dxa"/>
            </w:tcMar>
            <w:vAlign w:val="center"/>
          </w:tcPr>
          <w:p>
            <w:pPr>
              <w:pStyle w:val="34"/>
              <w:jc w:val="center"/>
              <w:rPr>
                <w:snapToGrid w:val="0"/>
                <w:spacing w:val="-16"/>
              </w:rPr>
            </w:pPr>
            <w:r>
              <w:rPr>
                <w:snapToGrid w:val="0"/>
                <w:spacing w:val="-16"/>
              </w:rPr>
              <w:t>以新带老削减量</w:t>
            </w:r>
          </w:p>
          <w:p>
            <w:pPr>
              <w:pStyle w:val="34"/>
              <w:jc w:val="center"/>
              <w:rPr>
                <w:snapToGrid w:val="0"/>
                <w:spacing w:val="-16"/>
              </w:rPr>
            </w:pPr>
            <w:r>
              <w:rPr>
                <w:snapToGrid w:val="0"/>
                <w:spacing w:val="-16"/>
              </w:rPr>
              <w:t>（新建项目不填）</w:t>
            </w:r>
            <w:r>
              <w:rPr>
                <w:snapToGrid w:val="0"/>
                <w:spacing w:val="-16"/>
              </w:rPr>
              <w:fldChar w:fldCharType="begin"/>
            </w:r>
            <w:r>
              <w:rPr>
                <w:snapToGrid w:val="0"/>
                <w:spacing w:val="-16"/>
              </w:rPr>
              <w:instrText xml:space="preserve"> = 5 \* GB3 \* MERGEFORMAT </w:instrText>
            </w:r>
            <w:r>
              <w:rPr>
                <w:snapToGrid w:val="0"/>
                <w:spacing w:val="-16"/>
              </w:rPr>
              <w:fldChar w:fldCharType="separate"/>
            </w:r>
            <w:r>
              <w:rPr>
                <w:rFonts w:hint="eastAsia" w:ascii="宋体" w:hAnsi="宋体" w:cs="宋体"/>
              </w:rPr>
              <w:t>⑤</w:t>
            </w:r>
            <w:r>
              <w:rPr>
                <w:snapToGrid w:val="0"/>
                <w:spacing w:val="-16"/>
              </w:rPr>
              <w:fldChar w:fldCharType="end"/>
            </w:r>
          </w:p>
        </w:tc>
        <w:tc>
          <w:tcPr>
            <w:tcW w:w="1745" w:type="dxa"/>
            <w:tcMar>
              <w:left w:w="28" w:type="dxa"/>
              <w:right w:w="28" w:type="dxa"/>
            </w:tcMar>
            <w:vAlign w:val="center"/>
          </w:tcPr>
          <w:p>
            <w:pPr>
              <w:pStyle w:val="34"/>
              <w:jc w:val="center"/>
              <w:rPr>
                <w:snapToGrid w:val="0"/>
                <w:spacing w:val="-16"/>
              </w:rPr>
            </w:pPr>
            <w:r>
              <w:rPr>
                <w:snapToGrid w:val="0"/>
                <w:spacing w:val="-16"/>
              </w:rPr>
              <w:t>本项目建成后</w:t>
            </w:r>
          </w:p>
          <w:p>
            <w:pPr>
              <w:pStyle w:val="34"/>
              <w:jc w:val="center"/>
              <w:rPr>
                <w:snapToGrid w:val="0"/>
                <w:spacing w:val="-16"/>
              </w:rPr>
            </w:pPr>
            <w:r>
              <w:rPr>
                <w:snapToGrid w:val="0"/>
                <w:spacing w:val="-16"/>
              </w:rPr>
              <w:t>全厂排放量（固体废物产生量）</w:t>
            </w:r>
            <w:r>
              <w:rPr>
                <w:snapToGrid w:val="0"/>
                <w:spacing w:val="-16"/>
              </w:rPr>
              <w:fldChar w:fldCharType="begin"/>
            </w:r>
            <w:r>
              <w:rPr>
                <w:snapToGrid w:val="0"/>
                <w:spacing w:val="-16"/>
              </w:rPr>
              <w:instrText xml:space="preserve"> = 6 \* GB3 \* MERGEFORMAT </w:instrText>
            </w:r>
            <w:r>
              <w:rPr>
                <w:snapToGrid w:val="0"/>
                <w:spacing w:val="-16"/>
              </w:rPr>
              <w:fldChar w:fldCharType="separate"/>
            </w:r>
            <w:r>
              <w:rPr>
                <w:rFonts w:hint="eastAsia" w:ascii="宋体" w:hAnsi="宋体" w:cs="宋体"/>
              </w:rPr>
              <w:t>⑥</w:t>
            </w:r>
            <w:r>
              <w:rPr>
                <w:snapToGrid w:val="0"/>
                <w:spacing w:val="-16"/>
              </w:rPr>
              <w:fldChar w:fldCharType="end"/>
            </w:r>
          </w:p>
        </w:tc>
        <w:tc>
          <w:tcPr>
            <w:tcW w:w="1040" w:type="dxa"/>
            <w:tcMar>
              <w:left w:w="28" w:type="dxa"/>
              <w:right w:w="28" w:type="dxa"/>
            </w:tcMar>
            <w:vAlign w:val="center"/>
          </w:tcPr>
          <w:p>
            <w:pPr>
              <w:pStyle w:val="34"/>
              <w:jc w:val="center"/>
              <w:rPr>
                <w:snapToGrid w:val="0"/>
              </w:rPr>
            </w:pPr>
            <w:r>
              <w:rPr>
                <w:snapToGrid w:val="0"/>
              </w:rPr>
              <w:t>变化量</w:t>
            </w:r>
          </w:p>
          <w:p>
            <w:pPr>
              <w:pStyle w:val="34"/>
              <w:jc w:val="center"/>
              <w:rPr>
                <w:snapToGrid w:val="0"/>
              </w:rPr>
            </w:pPr>
            <w:r>
              <w:rPr>
                <w:snapToGrid w:val="0"/>
              </w:rPr>
              <w:fldChar w:fldCharType="begin"/>
            </w:r>
            <w:r>
              <w:rPr>
                <w:snapToGrid w:val="0"/>
              </w:rPr>
              <w:instrText xml:space="preserve"> = 7 \* GB3 \* MERGEFORMAT </w:instrText>
            </w:r>
            <w:r>
              <w:rPr>
                <w:snapToGrid w:val="0"/>
              </w:rPr>
              <w:fldChar w:fldCharType="separate"/>
            </w:r>
            <w:r>
              <w:rPr>
                <w:rFonts w:hint="eastAsia" w:ascii="宋体" w:hAnsi="宋体" w:cs="宋体"/>
              </w:rPr>
              <w:t>⑦</w:t>
            </w:r>
            <w:r>
              <w:rPr>
                <w:snapToGrid w:val="0"/>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34"/>
              <w:jc w:val="center"/>
              <w:rPr>
                <w:snapToGrid w:val="0"/>
              </w:rPr>
            </w:pPr>
            <w:r>
              <w:rPr>
                <w:snapToGrid w:val="0"/>
              </w:rPr>
              <w:t>废气</w:t>
            </w:r>
          </w:p>
        </w:tc>
        <w:tc>
          <w:tcPr>
            <w:tcW w:w="1417" w:type="dxa"/>
            <w:vAlign w:val="center"/>
          </w:tcPr>
          <w:p>
            <w:pPr>
              <w:pStyle w:val="34"/>
              <w:jc w:val="center"/>
              <w:rPr>
                <w:snapToGrid w:val="0"/>
              </w:rPr>
            </w:pPr>
            <w:r>
              <w:rPr>
                <w:rFonts w:hint="eastAsia"/>
                <w:snapToGrid w:val="0"/>
              </w:rPr>
              <w:t>/</w:t>
            </w:r>
          </w:p>
        </w:tc>
        <w:tc>
          <w:tcPr>
            <w:tcW w:w="1701" w:type="dxa"/>
            <w:vAlign w:val="center"/>
          </w:tcPr>
          <w:p>
            <w:pPr>
              <w:pStyle w:val="34"/>
              <w:jc w:val="center"/>
              <w:rPr>
                <w:snapToGrid w:val="0"/>
              </w:rPr>
            </w:pPr>
            <w:r>
              <w:rPr>
                <w:snapToGrid w:val="0"/>
              </w:rPr>
              <w:t>/</w:t>
            </w:r>
          </w:p>
        </w:tc>
        <w:tc>
          <w:tcPr>
            <w:tcW w:w="1276" w:type="dxa"/>
            <w:vAlign w:val="center"/>
          </w:tcPr>
          <w:p>
            <w:pPr>
              <w:pStyle w:val="34"/>
              <w:jc w:val="center"/>
              <w:rPr>
                <w:snapToGrid w:val="0"/>
              </w:rPr>
            </w:pPr>
            <w:r>
              <w:rPr>
                <w:snapToGrid w:val="0"/>
              </w:rPr>
              <w:t>/</w:t>
            </w:r>
          </w:p>
        </w:tc>
        <w:tc>
          <w:tcPr>
            <w:tcW w:w="1701" w:type="dxa"/>
            <w:vAlign w:val="center"/>
          </w:tcPr>
          <w:p>
            <w:pPr>
              <w:pStyle w:val="34"/>
              <w:jc w:val="center"/>
              <w:rPr>
                <w:snapToGrid w:val="0"/>
              </w:rPr>
            </w:pPr>
            <w:r>
              <w:rPr>
                <w:snapToGrid w:val="0"/>
              </w:rPr>
              <w:t>/</w:t>
            </w:r>
          </w:p>
        </w:tc>
        <w:tc>
          <w:tcPr>
            <w:tcW w:w="1559" w:type="dxa"/>
            <w:vAlign w:val="center"/>
          </w:tcPr>
          <w:p>
            <w:pPr>
              <w:pStyle w:val="34"/>
              <w:jc w:val="center"/>
              <w:rPr>
                <w:snapToGrid w:val="0"/>
              </w:rPr>
            </w:pPr>
            <w:r>
              <w:rPr>
                <w:rFonts w:hint="eastAsia"/>
                <w:snapToGrid w:val="0"/>
              </w:rPr>
              <w:t>/</w:t>
            </w:r>
          </w:p>
        </w:tc>
        <w:tc>
          <w:tcPr>
            <w:tcW w:w="1761" w:type="dxa"/>
            <w:vAlign w:val="center"/>
          </w:tcPr>
          <w:p>
            <w:pPr>
              <w:pStyle w:val="34"/>
              <w:jc w:val="center"/>
              <w:rPr>
                <w:snapToGrid w:val="0"/>
              </w:rPr>
            </w:pPr>
            <w:r>
              <w:rPr>
                <w:snapToGrid w:val="0"/>
              </w:rPr>
              <w:t>/</w:t>
            </w:r>
          </w:p>
        </w:tc>
        <w:tc>
          <w:tcPr>
            <w:tcW w:w="1745" w:type="dxa"/>
            <w:vAlign w:val="center"/>
          </w:tcPr>
          <w:p>
            <w:pPr>
              <w:pStyle w:val="34"/>
              <w:jc w:val="center"/>
              <w:rPr>
                <w:snapToGrid w:val="0"/>
              </w:rPr>
            </w:pPr>
            <w:r>
              <w:rPr>
                <w:rFonts w:hint="eastAsia"/>
                <w:snapToGrid w:val="0"/>
              </w:rPr>
              <w:t>/</w:t>
            </w:r>
          </w:p>
        </w:tc>
        <w:tc>
          <w:tcPr>
            <w:tcW w:w="1040" w:type="dxa"/>
            <w:vAlign w:val="center"/>
          </w:tcPr>
          <w:p>
            <w:pPr>
              <w:pStyle w:val="34"/>
              <w:jc w:val="center"/>
              <w:rPr>
                <w:snapToGrid w:val="0"/>
              </w:rPr>
            </w:pPr>
            <w:r>
              <w:rPr>
                <w:rFonts w:hint="eastAsia"/>
                <w:snapToGrid w:val="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34"/>
              <w:jc w:val="center"/>
              <w:rPr>
                <w:snapToGrid w:val="0"/>
              </w:rPr>
            </w:pPr>
            <w:r>
              <w:rPr>
                <w:snapToGrid w:val="0"/>
              </w:rPr>
              <w:t>废水</w:t>
            </w:r>
          </w:p>
        </w:tc>
        <w:tc>
          <w:tcPr>
            <w:tcW w:w="1417" w:type="dxa"/>
            <w:vAlign w:val="center"/>
          </w:tcPr>
          <w:p>
            <w:pPr>
              <w:pStyle w:val="34"/>
              <w:jc w:val="center"/>
              <w:rPr>
                <w:lang w:val="zh-CN"/>
              </w:rPr>
            </w:pPr>
            <w:r>
              <w:rPr>
                <w:lang w:val="zh-CN"/>
              </w:rPr>
              <w:t>COD</w:t>
            </w:r>
          </w:p>
        </w:tc>
        <w:tc>
          <w:tcPr>
            <w:tcW w:w="1701" w:type="dxa"/>
            <w:vAlign w:val="center"/>
          </w:tcPr>
          <w:p>
            <w:pPr>
              <w:pStyle w:val="34"/>
              <w:jc w:val="center"/>
              <w:rPr>
                <w:snapToGrid w:val="0"/>
              </w:rPr>
            </w:pPr>
            <w:r>
              <w:rPr>
                <w:snapToGrid w:val="0"/>
              </w:rPr>
              <w:t>/</w:t>
            </w:r>
          </w:p>
        </w:tc>
        <w:tc>
          <w:tcPr>
            <w:tcW w:w="1276" w:type="dxa"/>
            <w:vAlign w:val="center"/>
          </w:tcPr>
          <w:p>
            <w:pPr>
              <w:pStyle w:val="34"/>
              <w:jc w:val="center"/>
              <w:rPr>
                <w:snapToGrid w:val="0"/>
              </w:rPr>
            </w:pPr>
            <w:r>
              <w:rPr>
                <w:snapToGrid w:val="0"/>
              </w:rPr>
              <w:t>/</w:t>
            </w:r>
          </w:p>
        </w:tc>
        <w:tc>
          <w:tcPr>
            <w:tcW w:w="1701" w:type="dxa"/>
            <w:vAlign w:val="center"/>
          </w:tcPr>
          <w:p>
            <w:pPr>
              <w:pStyle w:val="34"/>
              <w:jc w:val="center"/>
              <w:rPr>
                <w:snapToGrid w:val="0"/>
              </w:rPr>
            </w:pPr>
            <w:r>
              <w:rPr>
                <w:snapToGrid w:val="0"/>
              </w:rPr>
              <w:t>/</w:t>
            </w:r>
          </w:p>
        </w:tc>
        <w:tc>
          <w:tcPr>
            <w:tcW w:w="1559" w:type="dxa"/>
            <w:vAlign w:val="center"/>
          </w:tcPr>
          <w:p>
            <w:pPr>
              <w:pStyle w:val="34"/>
              <w:jc w:val="center"/>
              <w:rPr>
                <w:lang w:val="zh-CN"/>
              </w:rPr>
            </w:pPr>
            <w:r>
              <w:rPr>
                <w:lang w:val="zh-CN"/>
              </w:rPr>
              <w:t xml:space="preserve">0.032 </w:t>
            </w:r>
          </w:p>
        </w:tc>
        <w:tc>
          <w:tcPr>
            <w:tcW w:w="1761" w:type="dxa"/>
            <w:vAlign w:val="center"/>
          </w:tcPr>
          <w:p>
            <w:pPr>
              <w:pStyle w:val="34"/>
              <w:jc w:val="center"/>
              <w:rPr>
                <w:snapToGrid w:val="0"/>
              </w:rPr>
            </w:pPr>
            <w:r>
              <w:rPr>
                <w:snapToGrid w:val="0"/>
              </w:rPr>
              <w:t>/</w:t>
            </w:r>
          </w:p>
        </w:tc>
        <w:tc>
          <w:tcPr>
            <w:tcW w:w="1745" w:type="dxa"/>
            <w:vAlign w:val="center"/>
          </w:tcPr>
          <w:p>
            <w:pPr>
              <w:pStyle w:val="34"/>
              <w:jc w:val="center"/>
              <w:rPr>
                <w:lang w:val="zh-CN"/>
              </w:rPr>
            </w:pPr>
            <w:r>
              <w:rPr>
                <w:lang w:val="zh-CN"/>
              </w:rPr>
              <w:t xml:space="preserve">0.032 </w:t>
            </w:r>
          </w:p>
        </w:tc>
        <w:tc>
          <w:tcPr>
            <w:tcW w:w="1040" w:type="dxa"/>
            <w:vAlign w:val="center"/>
          </w:tcPr>
          <w:p>
            <w:pPr>
              <w:pStyle w:val="34"/>
              <w:jc w:val="center"/>
              <w:rPr>
                <w:lang w:val="zh-CN"/>
              </w:rPr>
            </w:pPr>
            <w:r>
              <w:rPr>
                <w:lang w:val="zh-CN"/>
              </w:rPr>
              <w:t xml:space="preserve">+0.032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4"/>
              <w:jc w:val="center"/>
              <w:rPr>
                <w:snapToGrid w:val="0"/>
              </w:rPr>
            </w:pPr>
          </w:p>
        </w:tc>
        <w:tc>
          <w:tcPr>
            <w:tcW w:w="1417" w:type="dxa"/>
            <w:vAlign w:val="center"/>
          </w:tcPr>
          <w:p>
            <w:pPr>
              <w:pStyle w:val="34"/>
              <w:jc w:val="center"/>
              <w:rPr>
                <w:lang w:val="zh-CN"/>
              </w:rPr>
            </w:pPr>
            <w:r>
              <w:rPr>
                <w:lang w:val="zh-CN"/>
              </w:rPr>
              <w:t>BOD</w:t>
            </w:r>
            <w:r>
              <w:rPr>
                <w:vertAlign w:val="subscript"/>
                <w:lang w:val="zh-CN"/>
              </w:rPr>
              <w:t>5</w:t>
            </w:r>
          </w:p>
        </w:tc>
        <w:tc>
          <w:tcPr>
            <w:tcW w:w="1701" w:type="dxa"/>
            <w:vAlign w:val="center"/>
          </w:tcPr>
          <w:p>
            <w:pPr>
              <w:pStyle w:val="34"/>
              <w:jc w:val="center"/>
              <w:rPr>
                <w:snapToGrid w:val="0"/>
              </w:rPr>
            </w:pPr>
            <w:r>
              <w:rPr>
                <w:snapToGrid w:val="0"/>
              </w:rPr>
              <w:t>/</w:t>
            </w:r>
          </w:p>
        </w:tc>
        <w:tc>
          <w:tcPr>
            <w:tcW w:w="1276" w:type="dxa"/>
            <w:vAlign w:val="center"/>
          </w:tcPr>
          <w:p>
            <w:pPr>
              <w:pStyle w:val="34"/>
              <w:jc w:val="center"/>
              <w:rPr>
                <w:snapToGrid w:val="0"/>
              </w:rPr>
            </w:pPr>
            <w:r>
              <w:rPr>
                <w:snapToGrid w:val="0"/>
              </w:rPr>
              <w:t>/</w:t>
            </w:r>
          </w:p>
        </w:tc>
        <w:tc>
          <w:tcPr>
            <w:tcW w:w="1701" w:type="dxa"/>
            <w:vAlign w:val="center"/>
          </w:tcPr>
          <w:p>
            <w:pPr>
              <w:pStyle w:val="34"/>
              <w:jc w:val="center"/>
              <w:rPr>
                <w:snapToGrid w:val="0"/>
              </w:rPr>
            </w:pPr>
            <w:r>
              <w:rPr>
                <w:snapToGrid w:val="0"/>
              </w:rPr>
              <w:t>/</w:t>
            </w:r>
          </w:p>
        </w:tc>
        <w:tc>
          <w:tcPr>
            <w:tcW w:w="1559" w:type="dxa"/>
            <w:vAlign w:val="center"/>
          </w:tcPr>
          <w:p>
            <w:pPr>
              <w:pStyle w:val="34"/>
              <w:jc w:val="center"/>
              <w:rPr>
                <w:lang w:val="zh-CN"/>
              </w:rPr>
            </w:pPr>
            <w:r>
              <w:rPr>
                <w:lang w:val="zh-CN"/>
              </w:rPr>
              <w:t xml:space="preserve">0.011 </w:t>
            </w:r>
          </w:p>
        </w:tc>
        <w:tc>
          <w:tcPr>
            <w:tcW w:w="1761" w:type="dxa"/>
            <w:vAlign w:val="center"/>
          </w:tcPr>
          <w:p>
            <w:pPr>
              <w:pStyle w:val="34"/>
              <w:jc w:val="center"/>
              <w:rPr>
                <w:snapToGrid w:val="0"/>
              </w:rPr>
            </w:pPr>
            <w:r>
              <w:rPr>
                <w:snapToGrid w:val="0"/>
              </w:rPr>
              <w:t>/</w:t>
            </w:r>
          </w:p>
        </w:tc>
        <w:tc>
          <w:tcPr>
            <w:tcW w:w="1745" w:type="dxa"/>
            <w:vAlign w:val="center"/>
          </w:tcPr>
          <w:p>
            <w:pPr>
              <w:pStyle w:val="34"/>
              <w:jc w:val="center"/>
              <w:rPr>
                <w:lang w:val="zh-CN"/>
              </w:rPr>
            </w:pPr>
            <w:r>
              <w:rPr>
                <w:lang w:val="zh-CN"/>
              </w:rPr>
              <w:t xml:space="preserve">0.011 </w:t>
            </w:r>
          </w:p>
        </w:tc>
        <w:tc>
          <w:tcPr>
            <w:tcW w:w="1040" w:type="dxa"/>
            <w:vAlign w:val="center"/>
          </w:tcPr>
          <w:p>
            <w:pPr>
              <w:pStyle w:val="34"/>
              <w:jc w:val="center"/>
              <w:rPr>
                <w:lang w:val="zh-CN"/>
              </w:rPr>
            </w:pPr>
            <w:r>
              <w:rPr>
                <w:lang w:val="zh-CN"/>
              </w:rPr>
              <w:t xml:space="preserve">+0.011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4"/>
              <w:jc w:val="center"/>
              <w:rPr>
                <w:snapToGrid w:val="0"/>
              </w:rPr>
            </w:pPr>
          </w:p>
        </w:tc>
        <w:tc>
          <w:tcPr>
            <w:tcW w:w="1417" w:type="dxa"/>
            <w:vAlign w:val="center"/>
          </w:tcPr>
          <w:p>
            <w:pPr>
              <w:pStyle w:val="34"/>
              <w:jc w:val="center"/>
              <w:rPr>
                <w:lang w:val="zh-CN"/>
              </w:rPr>
            </w:pPr>
            <w:r>
              <w:rPr>
                <w:lang w:val="zh-CN"/>
              </w:rPr>
              <w:t>SS</w:t>
            </w:r>
          </w:p>
        </w:tc>
        <w:tc>
          <w:tcPr>
            <w:tcW w:w="1701" w:type="dxa"/>
            <w:vAlign w:val="center"/>
          </w:tcPr>
          <w:p>
            <w:pPr>
              <w:pStyle w:val="34"/>
              <w:jc w:val="center"/>
              <w:rPr>
                <w:snapToGrid w:val="0"/>
              </w:rPr>
            </w:pPr>
            <w:r>
              <w:rPr>
                <w:snapToGrid w:val="0"/>
              </w:rPr>
              <w:t>/</w:t>
            </w:r>
          </w:p>
        </w:tc>
        <w:tc>
          <w:tcPr>
            <w:tcW w:w="1276" w:type="dxa"/>
            <w:vAlign w:val="center"/>
          </w:tcPr>
          <w:p>
            <w:pPr>
              <w:pStyle w:val="34"/>
              <w:jc w:val="center"/>
              <w:rPr>
                <w:snapToGrid w:val="0"/>
              </w:rPr>
            </w:pPr>
            <w:r>
              <w:rPr>
                <w:snapToGrid w:val="0"/>
              </w:rPr>
              <w:t>/</w:t>
            </w:r>
          </w:p>
        </w:tc>
        <w:tc>
          <w:tcPr>
            <w:tcW w:w="1701" w:type="dxa"/>
            <w:vAlign w:val="center"/>
          </w:tcPr>
          <w:p>
            <w:pPr>
              <w:pStyle w:val="34"/>
              <w:jc w:val="center"/>
              <w:rPr>
                <w:snapToGrid w:val="0"/>
              </w:rPr>
            </w:pPr>
            <w:r>
              <w:rPr>
                <w:snapToGrid w:val="0"/>
              </w:rPr>
              <w:t>/</w:t>
            </w:r>
          </w:p>
        </w:tc>
        <w:tc>
          <w:tcPr>
            <w:tcW w:w="1559" w:type="dxa"/>
            <w:vAlign w:val="center"/>
          </w:tcPr>
          <w:p>
            <w:pPr>
              <w:pStyle w:val="34"/>
              <w:jc w:val="center"/>
              <w:rPr>
                <w:lang w:val="zh-CN"/>
              </w:rPr>
            </w:pPr>
            <w:r>
              <w:rPr>
                <w:lang w:val="zh-CN"/>
              </w:rPr>
              <w:t xml:space="preserve">0.011 </w:t>
            </w:r>
          </w:p>
        </w:tc>
        <w:tc>
          <w:tcPr>
            <w:tcW w:w="1761" w:type="dxa"/>
            <w:vAlign w:val="center"/>
          </w:tcPr>
          <w:p>
            <w:pPr>
              <w:pStyle w:val="34"/>
              <w:jc w:val="center"/>
              <w:rPr>
                <w:snapToGrid w:val="0"/>
              </w:rPr>
            </w:pPr>
            <w:r>
              <w:rPr>
                <w:snapToGrid w:val="0"/>
              </w:rPr>
              <w:t>/</w:t>
            </w:r>
          </w:p>
        </w:tc>
        <w:tc>
          <w:tcPr>
            <w:tcW w:w="1745" w:type="dxa"/>
            <w:vAlign w:val="center"/>
          </w:tcPr>
          <w:p>
            <w:pPr>
              <w:pStyle w:val="34"/>
              <w:jc w:val="center"/>
              <w:rPr>
                <w:lang w:val="zh-CN"/>
              </w:rPr>
            </w:pPr>
            <w:r>
              <w:rPr>
                <w:lang w:val="zh-CN"/>
              </w:rPr>
              <w:t xml:space="preserve">0.011 </w:t>
            </w:r>
          </w:p>
        </w:tc>
        <w:tc>
          <w:tcPr>
            <w:tcW w:w="1040" w:type="dxa"/>
            <w:vAlign w:val="center"/>
          </w:tcPr>
          <w:p>
            <w:pPr>
              <w:pStyle w:val="34"/>
              <w:jc w:val="center"/>
              <w:rPr>
                <w:lang w:val="zh-CN"/>
              </w:rPr>
            </w:pPr>
            <w:r>
              <w:rPr>
                <w:lang w:val="zh-CN"/>
              </w:rPr>
              <w:t xml:space="preserve">+0.011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4"/>
              <w:jc w:val="center"/>
              <w:rPr>
                <w:snapToGrid w:val="0"/>
              </w:rPr>
            </w:pPr>
          </w:p>
        </w:tc>
        <w:tc>
          <w:tcPr>
            <w:tcW w:w="1417" w:type="dxa"/>
            <w:vAlign w:val="center"/>
          </w:tcPr>
          <w:p>
            <w:pPr>
              <w:pStyle w:val="34"/>
              <w:jc w:val="center"/>
              <w:rPr>
                <w:lang w:val="zh-CN"/>
              </w:rPr>
            </w:pPr>
            <w:r>
              <w:rPr>
                <w:lang w:val="zh-CN"/>
              </w:rPr>
              <w:t>NH</w:t>
            </w:r>
            <w:r>
              <w:rPr>
                <w:vertAlign w:val="subscript"/>
                <w:lang w:val="zh-CN"/>
              </w:rPr>
              <w:t>3</w:t>
            </w:r>
            <w:r>
              <w:rPr>
                <w:lang w:val="zh-CN"/>
              </w:rPr>
              <w:t>-N</w:t>
            </w:r>
          </w:p>
        </w:tc>
        <w:tc>
          <w:tcPr>
            <w:tcW w:w="1701" w:type="dxa"/>
            <w:vAlign w:val="center"/>
          </w:tcPr>
          <w:p>
            <w:pPr>
              <w:pStyle w:val="34"/>
              <w:jc w:val="center"/>
              <w:rPr>
                <w:snapToGrid w:val="0"/>
              </w:rPr>
            </w:pPr>
            <w:r>
              <w:rPr>
                <w:snapToGrid w:val="0"/>
              </w:rPr>
              <w:t>/</w:t>
            </w:r>
          </w:p>
        </w:tc>
        <w:tc>
          <w:tcPr>
            <w:tcW w:w="1276" w:type="dxa"/>
            <w:vAlign w:val="center"/>
          </w:tcPr>
          <w:p>
            <w:pPr>
              <w:pStyle w:val="34"/>
              <w:jc w:val="center"/>
              <w:rPr>
                <w:snapToGrid w:val="0"/>
              </w:rPr>
            </w:pPr>
            <w:r>
              <w:rPr>
                <w:snapToGrid w:val="0"/>
              </w:rPr>
              <w:t>/</w:t>
            </w:r>
          </w:p>
        </w:tc>
        <w:tc>
          <w:tcPr>
            <w:tcW w:w="1701" w:type="dxa"/>
            <w:vAlign w:val="center"/>
          </w:tcPr>
          <w:p>
            <w:pPr>
              <w:pStyle w:val="34"/>
              <w:jc w:val="center"/>
              <w:rPr>
                <w:snapToGrid w:val="0"/>
              </w:rPr>
            </w:pPr>
            <w:r>
              <w:rPr>
                <w:snapToGrid w:val="0"/>
              </w:rPr>
              <w:t>/</w:t>
            </w:r>
          </w:p>
        </w:tc>
        <w:tc>
          <w:tcPr>
            <w:tcW w:w="1559" w:type="dxa"/>
            <w:vAlign w:val="center"/>
          </w:tcPr>
          <w:p>
            <w:pPr>
              <w:pStyle w:val="34"/>
              <w:jc w:val="center"/>
              <w:rPr>
                <w:lang w:val="zh-CN"/>
              </w:rPr>
            </w:pPr>
            <w:r>
              <w:rPr>
                <w:lang w:val="zh-CN"/>
              </w:rPr>
              <w:t xml:space="preserve">0.004 </w:t>
            </w:r>
          </w:p>
        </w:tc>
        <w:tc>
          <w:tcPr>
            <w:tcW w:w="1761" w:type="dxa"/>
            <w:vAlign w:val="center"/>
          </w:tcPr>
          <w:p>
            <w:pPr>
              <w:pStyle w:val="34"/>
              <w:jc w:val="center"/>
              <w:rPr>
                <w:snapToGrid w:val="0"/>
              </w:rPr>
            </w:pPr>
            <w:r>
              <w:rPr>
                <w:snapToGrid w:val="0"/>
              </w:rPr>
              <w:t>/</w:t>
            </w:r>
          </w:p>
        </w:tc>
        <w:tc>
          <w:tcPr>
            <w:tcW w:w="1745" w:type="dxa"/>
            <w:vAlign w:val="center"/>
          </w:tcPr>
          <w:p>
            <w:pPr>
              <w:pStyle w:val="34"/>
              <w:jc w:val="center"/>
              <w:rPr>
                <w:lang w:val="zh-CN"/>
              </w:rPr>
            </w:pPr>
            <w:r>
              <w:rPr>
                <w:lang w:val="zh-CN"/>
              </w:rPr>
              <w:t xml:space="preserve">0.004 </w:t>
            </w:r>
          </w:p>
        </w:tc>
        <w:tc>
          <w:tcPr>
            <w:tcW w:w="1040" w:type="dxa"/>
            <w:vAlign w:val="center"/>
          </w:tcPr>
          <w:p>
            <w:pPr>
              <w:pStyle w:val="34"/>
              <w:jc w:val="center"/>
              <w:rPr>
                <w:lang w:val="zh-CN"/>
              </w:rPr>
            </w:pPr>
            <w:r>
              <w:rPr>
                <w:lang w:val="zh-CN"/>
              </w:rPr>
              <w:t xml:space="preserve">+0.004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4"/>
              <w:jc w:val="center"/>
              <w:rPr>
                <w:snapToGrid w:val="0"/>
              </w:rPr>
            </w:pPr>
          </w:p>
        </w:tc>
        <w:tc>
          <w:tcPr>
            <w:tcW w:w="1417" w:type="dxa"/>
            <w:vAlign w:val="center"/>
          </w:tcPr>
          <w:p>
            <w:pPr>
              <w:pStyle w:val="34"/>
              <w:jc w:val="center"/>
              <w:rPr>
                <w:lang w:val="zh-CN"/>
              </w:rPr>
            </w:pPr>
            <w:r>
              <w:rPr>
                <w:rFonts w:hint="eastAsia"/>
                <w:lang w:val="zh-CN"/>
              </w:rPr>
              <w:t>TN</w:t>
            </w:r>
          </w:p>
        </w:tc>
        <w:tc>
          <w:tcPr>
            <w:tcW w:w="1701" w:type="dxa"/>
            <w:vAlign w:val="center"/>
          </w:tcPr>
          <w:p>
            <w:pPr>
              <w:pStyle w:val="34"/>
              <w:jc w:val="center"/>
              <w:rPr>
                <w:snapToGrid w:val="0"/>
              </w:rPr>
            </w:pPr>
            <w:r>
              <w:rPr>
                <w:rFonts w:hint="eastAsia"/>
                <w:snapToGrid w:val="0"/>
              </w:rPr>
              <w:t>/</w:t>
            </w:r>
          </w:p>
        </w:tc>
        <w:tc>
          <w:tcPr>
            <w:tcW w:w="1276" w:type="dxa"/>
            <w:vAlign w:val="center"/>
          </w:tcPr>
          <w:p>
            <w:pPr>
              <w:pStyle w:val="34"/>
              <w:jc w:val="center"/>
              <w:rPr>
                <w:snapToGrid w:val="0"/>
              </w:rPr>
            </w:pPr>
            <w:r>
              <w:rPr>
                <w:rFonts w:hint="eastAsia"/>
                <w:snapToGrid w:val="0"/>
              </w:rPr>
              <w:t>/</w:t>
            </w:r>
          </w:p>
        </w:tc>
        <w:tc>
          <w:tcPr>
            <w:tcW w:w="1701" w:type="dxa"/>
            <w:vAlign w:val="center"/>
          </w:tcPr>
          <w:p>
            <w:pPr>
              <w:pStyle w:val="34"/>
              <w:jc w:val="center"/>
              <w:rPr>
                <w:snapToGrid w:val="0"/>
              </w:rPr>
            </w:pPr>
            <w:r>
              <w:rPr>
                <w:rFonts w:hint="eastAsia"/>
                <w:snapToGrid w:val="0"/>
              </w:rPr>
              <w:t>/</w:t>
            </w:r>
          </w:p>
        </w:tc>
        <w:tc>
          <w:tcPr>
            <w:tcW w:w="1559" w:type="dxa"/>
            <w:vAlign w:val="center"/>
          </w:tcPr>
          <w:p>
            <w:pPr>
              <w:pStyle w:val="34"/>
              <w:jc w:val="center"/>
              <w:rPr>
                <w:lang w:val="zh-CN"/>
              </w:rPr>
            </w:pPr>
            <w:r>
              <w:rPr>
                <w:lang w:val="zh-CN"/>
              </w:rPr>
              <w:t xml:space="preserve">0.011 </w:t>
            </w:r>
          </w:p>
        </w:tc>
        <w:tc>
          <w:tcPr>
            <w:tcW w:w="1761" w:type="dxa"/>
            <w:vAlign w:val="center"/>
          </w:tcPr>
          <w:p>
            <w:pPr>
              <w:pStyle w:val="34"/>
              <w:jc w:val="center"/>
              <w:rPr>
                <w:snapToGrid w:val="0"/>
              </w:rPr>
            </w:pPr>
            <w:r>
              <w:rPr>
                <w:rFonts w:hint="eastAsia"/>
                <w:snapToGrid w:val="0"/>
              </w:rPr>
              <w:t>/</w:t>
            </w:r>
          </w:p>
        </w:tc>
        <w:tc>
          <w:tcPr>
            <w:tcW w:w="1745" w:type="dxa"/>
            <w:vAlign w:val="center"/>
          </w:tcPr>
          <w:p>
            <w:pPr>
              <w:pStyle w:val="34"/>
              <w:jc w:val="center"/>
              <w:rPr>
                <w:lang w:val="zh-CN"/>
              </w:rPr>
            </w:pPr>
            <w:r>
              <w:rPr>
                <w:lang w:val="zh-CN"/>
              </w:rPr>
              <w:t xml:space="preserve">0.011 </w:t>
            </w:r>
          </w:p>
        </w:tc>
        <w:tc>
          <w:tcPr>
            <w:tcW w:w="1040" w:type="dxa"/>
            <w:vAlign w:val="center"/>
          </w:tcPr>
          <w:p>
            <w:pPr>
              <w:pStyle w:val="34"/>
              <w:jc w:val="center"/>
              <w:rPr>
                <w:lang w:val="zh-CN"/>
              </w:rPr>
            </w:pPr>
            <w:r>
              <w:rPr>
                <w:lang w:val="zh-CN"/>
              </w:rPr>
              <w:t xml:space="preserve">+0.011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4"/>
              <w:jc w:val="center"/>
              <w:rPr>
                <w:snapToGrid w:val="0"/>
              </w:rPr>
            </w:pPr>
          </w:p>
        </w:tc>
        <w:tc>
          <w:tcPr>
            <w:tcW w:w="1417" w:type="dxa"/>
            <w:vAlign w:val="center"/>
          </w:tcPr>
          <w:p>
            <w:pPr>
              <w:pStyle w:val="34"/>
              <w:jc w:val="center"/>
              <w:rPr>
                <w:lang w:val="zh-CN"/>
              </w:rPr>
            </w:pPr>
            <w:r>
              <w:rPr>
                <w:rFonts w:hint="eastAsia"/>
                <w:lang w:val="zh-CN"/>
              </w:rPr>
              <w:t>TP</w:t>
            </w:r>
          </w:p>
        </w:tc>
        <w:tc>
          <w:tcPr>
            <w:tcW w:w="1701" w:type="dxa"/>
            <w:vAlign w:val="center"/>
          </w:tcPr>
          <w:p>
            <w:pPr>
              <w:pStyle w:val="34"/>
              <w:jc w:val="center"/>
              <w:rPr>
                <w:snapToGrid w:val="0"/>
              </w:rPr>
            </w:pPr>
            <w:r>
              <w:rPr>
                <w:rFonts w:hint="eastAsia"/>
                <w:snapToGrid w:val="0"/>
              </w:rPr>
              <w:t>/</w:t>
            </w:r>
          </w:p>
        </w:tc>
        <w:tc>
          <w:tcPr>
            <w:tcW w:w="1276" w:type="dxa"/>
            <w:vAlign w:val="center"/>
          </w:tcPr>
          <w:p>
            <w:pPr>
              <w:pStyle w:val="34"/>
              <w:jc w:val="center"/>
              <w:rPr>
                <w:snapToGrid w:val="0"/>
              </w:rPr>
            </w:pPr>
            <w:r>
              <w:rPr>
                <w:rFonts w:hint="eastAsia"/>
                <w:snapToGrid w:val="0"/>
              </w:rPr>
              <w:t>/</w:t>
            </w:r>
          </w:p>
        </w:tc>
        <w:tc>
          <w:tcPr>
            <w:tcW w:w="1701" w:type="dxa"/>
            <w:vAlign w:val="center"/>
          </w:tcPr>
          <w:p>
            <w:pPr>
              <w:pStyle w:val="34"/>
              <w:jc w:val="center"/>
              <w:rPr>
                <w:snapToGrid w:val="0"/>
              </w:rPr>
            </w:pPr>
            <w:r>
              <w:rPr>
                <w:rFonts w:hint="eastAsia"/>
                <w:snapToGrid w:val="0"/>
              </w:rPr>
              <w:t>/</w:t>
            </w:r>
          </w:p>
        </w:tc>
        <w:tc>
          <w:tcPr>
            <w:tcW w:w="1559" w:type="dxa"/>
            <w:vAlign w:val="center"/>
          </w:tcPr>
          <w:p>
            <w:pPr>
              <w:pStyle w:val="34"/>
              <w:jc w:val="center"/>
              <w:rPr>
                <w:lang w:val="zh-CN"/>
              </w:rPr>
            </w:pPr>
            <w:r>
              <w:rPr>
                <w:lang w:val="zh-CN"/>
              </w:rPr>
              <w:t xml:space="preserve">0.001 </w:t>
            </w:r>
          </w:p>
        </w:tc>
        <w:tc>
          <w:tcPr>
            <w:tcW w:w="1761" w:type="dxa"/>
            <w:vAlign w:val="center"/>
          </w:tcPr>
          <w:p>
            <w:pPr>
              <w:pStyle w:val="34"/>
              <w:jc w:val="center"/>
              <w:rPr>
                <w:snapToGrid w:val="0"/>
              </w:rPr>
            </w:pPr>
            <w:r>
              <w:rPr>
                <w:rFonts w:hint="eastAsia"/>
                <w:snapToGrid w:val="0"/>
              </w:rPr>
              <w:t>/</w:t>
            </w:r>
          </w:p>
        </w:tc>
        <w:tc>
          <w:tcPr>
            <w:tcW w:w="1745" w:type="dxa"/>
            <w:vAlign w:val="center"/>
          </w:tcPr>
          <w:p>
            <w:pPr>
              <w:pStyle w:val="34"/>
              <w:jc w:val="center"/>
              <w:rPr>
                <w:lang w:val="zh-CN"/>
              </w:rPr>
            </w:pPr>
            <w:r>
              <w:rPr>
                <w:lang w:val="zh-CN"/>
              </w:rPr>
              <w:t xml:space="preserve">0.001 </w:t>
            </w:r>
          </w:p>
        </w:tc>
        <w:tc>
          <w:tcPr>
            <w:tcW w:w="1040" w:type="dxa"/>
            <w:vAlign w:val="center"/>
          </w:tcPr>
          <w:p>
            <w:pPr>
              <w:pStyle w:val="34"/>
              <w:jc w:val="center"/>
              <w:rPr>
                <w:lang w:val="zh-CN"/>
              </w:rPr>
            </w:pPr>
            <w:r>
              <w:rPr>
                <w:lang w:val="zh-CN"/>
              </w:rPr>
              <w:t xml:space="preserve">+0.001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34"/>
              <w:jc w:val="center"/>
              <w:rPr>
                <w:snapToGrid w:val="0"/>
              </w:rPr>
            </w:pPr>
            <w:r>
              <w:rPr>
                <w:snapToGrid w:val="0"/>
              </w:rPr>
              <w:t>一般工业</w:t>
            </w:r>
          </w:p>
          <w:p>
            <w:pPr>
              <w:pStyle w:val="34"/>
              <w:jc w:val="center"/>
              <w:rPr>
                <w:snapToGrid w:val="0"/>
              </w:rPr>
            </w:pPr>
            <w:r>
              <w:rPr>
                <w:snapToGrid w:val="0"/>
              </w:rPr>
              <w:t>固体废物</w:t>
            </w:r>
          </w:p>
        </w:tc>
        <w:tc>
          <w:tcPr>
            <w:tcW w:w="1417" w:type="dxa"/>
            <w:vAlign w:val="center"/>
          </w:tcPr>
          <w:p>
            <w:pPr>
              <w:pStyle w:val="34"/>
              <w:jc w:val="center"/>
              <w:rPr>
                <w:snapToGrid w:val="0"/>
              </w:rPr>
            </w:pPr>
            <w:r>
              <w:rPr>
                <w:snapToGrid w:val="0"/>
              </w:rPr>
              <w:t>一般工业</w:t>
            </w:r>
          </w:p>
          <w:p>
            <w:pPr>
              <w:pStyle w:val="34"/>
              <w:jc w:val="center"/>
              <w:rPr>
                <w:snapToGrid w:val="0"/>
              </w:rPr>
            </w:pPr>
            <w:r>
              <w:rPr>
                <w:snapToGrid w:val="0"/>
              </w:rPr>
              <w:t>固体废物</w:t>
            </w:r>
          </w:p>
        </w:tc>
        <w:tc>
          <w:tcPr>
            <w:tcW w:w="1701" w:type="dxa"/>
            <w:vAlign w:val="center"/>
          </w:tcPr>
          <w:p>
            <w:pPr>
              <w:pStyle w:val="34"/>
              <w:jc w:val="center"/>
              <w:rPr>
                <w:snapToGrid w:val="0"/>
              </w:rPr>
            </w:pPr>
            <w:r>
              <w:rPr>
                <w:snapToGrid w:val="0"/>
              </w:rPr>
              <w:t>/</w:t>
            </w:r>
          </w:p>
        </w:tc>
        <w:tc>
          <w:tcPr>
            <w:tcW w:w="1276" w:type="dxa"/>
            <w:vAlign w:val="center"/>
          </w:tcPr>
          <w:p>
            <w:pPr>
              <w:pStyle w:val="34"/>
              <w:jc w:val="center"/>
              <w:rPr>
                <w:snapToGrid w:val="0"/>
              </w:rPr>
            </w:pPr>
            <w:r>
              <w:rPr>
                <w:snapToGrid w:val="0"/>
              </w:rPr>
              <w:t>/</w:t>
            </w:r>
          </w:p>
        </w:tc>
        <w:tc>
          <w:tcPr>
            <w:tcW w:w="1701" w:type="dxa"/>
            <w:vAlign w:val="center"/>
          </w:tcPr>
          <w:p>
            <w:pPr>
              <w:pStyle w:val="34"/>
              <w:jc w:val="center"/>
              <w:rPr>
                <w:snapToGrid w:val="0"/>
              </w:rPr>
            </w:pPr>
            <w:r>
              <w:rPr>
                <w:snapToGrid w:val="0"/>
              </w:rPr>
              <w:t>/</w:t>
            </w:r>
          </w:p>
        </w:tc>
        <w:tc>
          <w:tcPr>
            <w:tcW w:w="1559" w:type="dxa"/>
            <w:vAlign w:val="center"/>
          </w:tcPr>
          <w:p>
            <w:pPr>
              <w:pStyle w:val="34"/>
              <w:jc w:val="center"/>
              <w:rPr>
                <w:snapToGrid w:val="0"/>
              </w:rPr>
            </w:pPr>
            <w:r>
              <w:rPr>
                <w:snapToGrid w:val="0"/>
              </w:rPr>
              <w:t>5.9</w:t>
            </w:r>
          </w:p>
        </w:tc>
        <w:tc>
          <w:tcPr>
            <w:tcW w:w="1761" w:type="dxa"/>
            <w:vAlign w:val="center"/>
          </w:tcPr>
          <w:p>
            <w:pPr>
              <w:pStyle w:val="34"/>
              <w:jc w:val="center"/>
              <w:rPr>
                <w:snapToGrid w:val="0"/>
              </w:rPr>
            </w:pPr>
            <w:r>
              <w:rPr>
                <w:snapToGrid w:val="0"/>
              </w:rPr>
              <w:t>/</w:t>
            </w:r>
          </w:p>
        </w:tc>
        <w:tc>
          <w:tcPr>
            <w:tcW w:w="1745" w:type="dxa"/>
            <w:vAlign w:val="center"/>
          </w:tcPr>
          <w:p>
            <w:pPr>
              <w:pStyle w:val="34"/>
              <w:jc w:val="center"/>
              <w:rPr>
                <w:snapToGrid w:val="0"/>
              </w:rPr>
            </w:pPr>
            <w:r>
              <w:rPr>
                <w:snapToGrid w:val="0"/>
              </w:rPr>
              <w:t>5.9</w:t>
            </w:r>
          </w:p>
        </w:tc>
        <w:tc>
          <w:tcPr>
            <w:tcW w:w="1040" w:type="dxa"/>
            <w:vAlign w:val="center"/>
          </w:tcPr>
          <w:p>
            <w:pPr>
              <w:pStyle w:val="34"/>
              <w:jc w:val="center"/>
              <w:rPr>
                <w:snapToGrid w:val="0"/>
              </w:rPr>
            </w:pPr>
            <w:r>
              <w:rPr>
                <w:snapToGrid w:val="0"/>
              </w:rPr>
              <w:t>+5.9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34"/>
              <w:jc w:val="center"/>
              <w:rPr>
                <w:snapToGrid w:val="0"/>
              </w:rPr>
            </w:pPr>
            <w:r>
              <w:rPr>
                <w:snapToGrid w:val="0"/>
              </w:rPr>
              <w:t>危险废物</w:t>
            </w:r>
          </w:p>
        </w:tc>
        <w:tc>
          <w:tcPr>
            <w:tcW w:w="1417" w:type="dxa"/>
            <w:vAlign w:val="center"/>
          </w:tcPr>
          <w:p>
            <w:pPr>
              <w:pStyle w:val="34"/>
              <w:jc w:val="center"/>
              <w:rPr>
                <w:snapToGrid w:val="0"/>
              </w:rPr>
            </w:pPr>
            <w:r>
              <w:rPr>
                <w:rFonts w:hint="eastAsia"/>
                <w:snapToGrid w:val="0"/>
              </w:rPr>
              <w:t>/</w:t>
            </w:r>
          </w:p>
        </w:tc>
        <w:tc>
          <w:tcPr>
            <w:tcW w:w="1701" w:type="dxa"/>
            <w:vAlign w:val="center"/>
          </w:tcPr>
          <w:p>
            <w:pPr>
              <w:pStyle w:val="34"/>
              <w:jc w:val="center"/>
              <w:rPr>
                <w:snapToGrid w:val="0"/>
              </w:rPr>
            </w:pPr>
            <w:r>
              <w:rPr>
                <w:snapToGrid w:val="0"/>
              </w:rPr>
              <w:t>/</w:t>
            </w:r>
          </w:p>
        </w:tc>
        <w:tc>
          <w:tcPr>
            <w:tcW w:w="1276" w:type="dxa"/>
            <w:vAlign w:val="center"/>
          </w:tcPr>
          <w:p>
            <w:pPr>
              <w:pStyle w:val="34"/>
              <w:jc w:val="center"/>
              <w:rPr>
                <w:snapToGrid w:val="0"/>
              </w:rPr>
            </w:pPr>
            <w:r>
              <w:rPr>
                <w:snapToGrid w:val="0"/>
              </w:rPr>
              <w:t>/</w:t>
            </w:r>
          </w:p>
        </w:tc>
        <w:tc>
          <w:tcPr>
            <w:tcW w:w="1701" w:type="dxa"/>
            <w:vAlign w:val="center"/>
          </w:tcPr>
          <w:p>
            <w:pPr>
              <w:pStyle w:val="34"/>
              <w:jc w:val="center"/>
              <w:rPr>
                <w:snapToGrid w:val="0"/>
              </w:rPr>
            </w:pPr>
            <w:r>
              <w:rPr>
                <w:snapToGrid w:val="0"/>
              </w:rPr>
              <w:t>/</w:t>
            </w:r>
          </w:p>
        </w:tc>
        <w:tc>
          <w:tcPr>
            <w:tcW w:w="1559" w:type="dxa"/>
            <w:vAlign w:val="center"/>
          </w:tcPr>
          <w:p>
            <w:pPr>
              <w:pStyle w:val="34"/>
              <w:jc w:val="center"/>
              <w:rPr>
                <w:snapToGrid w:val="0"/>
              </w:rPr>
            </w:pPr>
            <w:r>
              <w:rPr>
                <w:snapToGrid w:val="0"/>
              </w:rPr>
              <w:t>/</w:t>
            </w:r>
          </w:p>
        </w:tc>
        <w:tc>
          <w:tcPr>
            <w:tcW w:w="1761" w:type="dxa"/>
            <w:vAlign w:val="center"/>
          </w:tcPr>
          <w:p>
            <w:pPr>
              <w:pStyle w:val="34"/>
              <w:jc w:val="center"/>
              <w:rPr>
                <w:snapToGrid w:val="0"/>
              </w:rPr>
            </w:pPr>
            <w:r>
              <w:rPr>
                <w:snapToGrid w:val="0"/>
              </w:rPr>
              <w:t>/</w:t>
            </w:r>
          </w:p>
        </w:tc>
        <w:tc>
          <w:tcPr>
            <w:tcW w:w="1745" w:type="dxa"/>
            <w:vAlign w:val="center"/>
          </w:tcPr>
          <w:p>
            <w:pPr>
              <w:pStyle w:val="34"/>
              <w:jc w:val="center"/>
              <w:rPr>
                <w:snapToGrid w:val="0"/>
              </w:rPr>
            </w:pPr>
            <w:r>
              <w:rPr>
                <w:snapToGrid w:val="0"/>
              </w:rPr>
              <w:t>/</w:t>
            </w:r>
          </w:p>
        </w:tc>
        <w:tc>
          <w:tcPr>
            <w:tcW w:w="1040" w:type="dxa"/>
            <w:vAlign w:val="center"/>
          </w:tcPr>
          <w:p>
            <w:pPr>
              <w:pStyle w:val="34"/>
              <w:jc w:val="center"/>
              <w:rPr>
                <w:snapToGrid w:val="0"/>
              </w:rPr>
            </w:pPr>
            <w:r>
              <w:rPr>
                <w:snapToGrid w:val="0"/>
              </w:rPr>
              <w:t>/</w:t>
            </w:r>
          </w:p>
        </w:tc>
      </w:tr>
    </w:tbl>
    <w:p>
      <w:pPr>
        <w:spacing w:before="192" w:beforeLines="80" w:after="24"/>
        <w:ind w:firstLine="480"/>
        <w:jc w:val="left"/>
        <w:rPr>
          <w:snapToGrid w:val="0"/>
          <w:spacing w:val="-6"/>
          <w:kern w:val="21"/>
          <w:szCs w:val="21"/>
        </w:rPr>
      </w:pPr>
      <w:r>
        <w:rPr>
          <w:snapToGrid w:val="0"/>
          <w:kern w:val="21"/>
          <w:szCs w:val="21"/>
        </w:rPr>
        <w:t>注：</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rFonts w:hint="eastAsia" w:ascii="宋体" w:hAnsi="宋体" w:cs="宋体"/>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rFonts w:hint="eastAsia" w:ascii="宋体" w:hAnsi="宋体" w:cs="宋体"/>
          <w:szCs w:val="21"/>
        </w:rPr>
        <w:t>①</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3 \* GB3 \* MERGEFORMAT </w:instrText>
      </w:r>
      <w:r>
        <w:rPr>
          <w:snapToGrid w:val="0"/>
          <w:spacing w:val="-6"/>
          <w:kern w:val="21"/>
          <w:szCs w:val="21"/>
        </w:rPr>
        <w:fldChar w:fldCharType="separate"/>
      </w:r>
      <w:r>
        <w:rPr>
          <w:rFonts w:hint="eastAsia" w:ascii="宋体" w:hAnsi="宋体" w:cs="宋体"/>
          <w:szCs w:val="21"/>
        </w:rPr>
        <w:t>③</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4 \* GB3 \* MERGEFORMAT </w:instrText>
      </w:r>
      <w:r>
        <w:rPr>
          <w:snapToGrid w:val="0"/>
          <w:spacing w:val="-6"/>
          <w:kern w:val="21"/>
          <w:szCs w:val="21"/>
        </w:rPr>
        <w:fldChar w:fldCharType="separate"/>
      </w:r>
      <w:r>
        <w:rPr>
          <w:rFonts w:hint="eastAsia" w:ascii="宋体" w:hAnsi="宋体" w:cs="宋体"/>
          <w:szCs w:val="21"/>
        </w:rPr>
        <w:t>④</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5 \* GB3 \* MERGEFORMAT </w:instrText>
      </w:r>
      <w:r>
        <w:rPr>
          <w:snapToGrid w:val="0"/>
          <w:spacing w:val="-16"/>
          <w:kern w:val="21"/>
          <w:szCs w:val="21"/>
        </w:rPr>
        <w:fldChar w:fldCharType="separate"/>
      </w:r>
      <w:r>
        <w:rPr>
          <w:rFonts w:hint="eastAsia" w:ascii="宋体" w:hAnsi="宋体" w:cs="宋体"/>
          <w:szCs w:val="21"/>
        </w:rPr>
        <w:t>⑤</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7 \* GB3 \* MERGEFORMAT </w:instrText>
      </w:r>
      <w:r>
        <w:rPr>
          <w:snapToGrid w:val="0"/>
          <w:spacing w:val="-6"/>
          <w:kern w:val="21"/>
          <w:szCs w:val="21"/>
        </w:rPr>
        <w:fldChar w:fldCharType="separate"/>
      </w:r>
      <w:r>
        <w:rPr>
          <w:rFonts w:hint="eastAsia" w:ascii="宋体" w:hAnsi="宋体" w:cs="宋体"/>
          <w:szCs w:val="21"/>
        </w:rPr>
        <w:t>⑦</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rFonts w:hint="eastAsia" w:ascii="宋体" w:hAnsi="宋体" w:cs="宋体"/>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rFonts w:hint="eastAsia" w:ascii="宋体" w:hAnsi="宋体" w:cs="宋体"/>
          <w:szCs w:val="21"/>
        </w:rPr>
        <w:t>①</w:t>
      </w:r>
      <w:r>
        <w:rPr>
          <w:snapToGrid w:val="0"/>
          <w:spacing w:val="-6"/>
          <w:kern w:val="21"/>
          <w:szCs w:val="21"/>
        </w:rPr>
        <w:fldChar w:fldCharType="end"/>
      </w:r>
    </w:p>
    <w:sectPr>
      <w:footerReference r:id="rId12" w:type="default"/>
      <w:pgSz w:w="16838" w:h="11906" w:orient="landscape"/>
      <w:pgMar w:top="1080" w:right="1440" w:bottom="1080" w:left="1440" w:header="851" w:footer="851" w:gutter="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0000000" w:usb3="00000000" w:csb0="2000019F" w:csb1="00000000"/>
  </w:font>
  <w:font w:name="仿宋_GB2312">
    <w:altName w:val="方正仿宋_GBK"/>
    <w:panose1 w:val="00000000000000000000"/>
    <w:charset w:val="86"/>
    <w:family w:val="modern"/>
    <w:pitch w:val="default"/>
    <w:sig w:usb0="00000000" w:usb1="00000000" w:usb2="00000000" w:usb3="00000000" w:csb0="00040000" w:csb1="00000000"/>
  </w:font>
  <w:font w:name="方正黑体_GBK">
    <w:panose1 w:val="02000000000000000000"/>
    <w:charset w:val="86"/>
    <w:family w:val="script"/>
    <w:pitch w:val="default"/>
    <w:sig w:usb0="00000001" w:usb1="08000000" w:usb2="00000000" w:usb3="00000000" w:csb0="00040000" w:csb1="00000000"/>
  </w:font>
  <w:font w:name="Cambria Math">
    <w:altName w:val="DejaVu Math TeX Gyre"/>
    <w:panose1 w:val="02040503050406030204"/>
    <w:charset w:val="00"/>
    <w:family w:val="roman"/>
    <w:pitch w:val="default"/>
    <w:sig w:usb0="00000000" w:usb1="00000000" w:usb2="00000000" w:usb3="00000000" w:csb0="2000019F" w:csb1="00000000"/>
  </w:font>
  <w:font w:name="MS Mincho">
    <w:altName w:val="方正书宋_GBK"/>
    <w:panose1 w:val="02020609040205080304"/>
    <w:charset w:val="80"/>
    <w:family w:val="modern"/>
    <w:pitch w:val="default"/>
    <w:sig w:usb0="00000000" w:usb1="00000000" w:usb2="00000012" w:usb3="00000000" w:csb0="4002009F" w:csb1="DFD7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oto Sans CJK JP Bold">
    <w:panose1 w:val="020B0800000000000000"/>
    <w:charset w:val="86"/>
    <w:family w:val="auto"/>
    <w:pitch w:val="default"/>
    <w:sig w:usb0="30000003" w:usb1="2BDF3C10" w:usb2="00000016" w:usb3="00000000" w:csb0="602E0107" w:csb1="0000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p>
  <w:p>
    <w:pPr>
      <w:tabs>
        <w:tab w:val="left" w:pos="5320"/>
      </w:tabs>
      <w:ind w:right="360" w:firstLine="0" w:firstLineChars="0"/>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9580118"/>
    </w:sdtPr>
    <w:sdtContent>
      <w:p>
        <w:pPr>
          <w:pStyle w:val="15"/>
          <w:ind w:firstLine="360"/>
          <w:jc w:val="center"/>
        </w:pPr>
        <w:r>
          <w:fldChar w:fldCharType="begin"/>
        </w:r>
        <w:r>
          <w:instrText xml:space="preserve">PAGE   \* MERGEFORMAT</w:instrText>
        </w:r>
        <w:r>
          <w:fldChar w:fldCharType="separate"/>
        </w:r>
        <w:r>
          <w:rPr>
            <w:lang w:val="zh-CN"/>
          </w:rPr>
          <w:t>26</w:t>
        </w:r>
        <w:r>
          <w:fldChar w:fldCharType="end"/>
        </w:r>
      </w:p>
    </w:sdtContent>
  </w:sdt>
  <w:p>
    <w:pPr>
      <w:tabs>
        <w:tab w:val="left" w:pos="5320"/>
      </w:tabs>
      <w:ind w:right="360" w:firstLine="0" w:firstLineChars="0"/>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99876225"/>
    </w:sdtPr>
    <w:sdtContent>
      <w:p>
        <w:pPr>
          <w:pStyle w:val="15"/>
          <w:ind w:firstLine="360"/>
          <w:jc w:val="center"/>
        </w:pPr>
        <w:r>
          <w:fldChar w:fldCharType="begin"/>
        </w:r>
        <w:r>
          <w:instrText xml:space="preserve">PAGE   \* MERGEFORMAT</w:instrText>
        </w:r>
        <w:r>
          <w:fldChar w:fldCharType="separate"/>
        </w:r>
        <w:r>
          <w:rPr>
            <w:lang w:val="zh-CN"/>
          </w:rPr>
          <w:t>51</w:t>
        </w:r>
        <w:r>
          <w:fldChar w:fldCharType="end"/>
        </w:r>
      </w:p>
    </w:sdtContent>
  </w:sdt>
  <w:p>
    <w:pPr>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bordersDoNotSurroundHeader w:val="true"/>
  <w:bordersDoNotSurroundFooter w:val="tru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E1MGQ3MGI4YWFlZjM0YTk4YzMwYmJiYTg5NmMwMTIifQ=="/>
  </w:docVars>
  <w:rsids>
    <w:rsidRoot w:val="00A14947"/>
    <w:rsid w:val="0000048E"/>
    <w:rsid w:val="00000DB8"/>
    <w:rsid w:val="000010BB"/>
    <w:rsid w:val="000010BF"/>
    <w:rsid w:val="00001E81"/>
    <w:rsid w:val="00002172"/>
    <w:rsid w:val="00002FBD"/>
    <w:rsid w:val="0000354E"/>
    <w:rsid w:val="00003851"/>
    <w:rsid w:val="00003C35"/>
    <w:rsid w:val="00003F5E"/>
    <w:rsid w:val="000040E2"/>
    <w:rsid w:val="00004861"/>
    <w:rsid w:val="00004A1F"/>
    <w:rsid w:val="00004E25"/>
    <w:rsid w:val="00005432"/>
    <w:rsid w:val="00005460"/>
    <w:rsid w:val="00005B4E"/>
    <w:rsid w:val="00005CA6"/>
    <w:rsid w:val="00006051"/>
    <w:rsid w:val="000060B3"/>
    <w:rsid w:val="0000629A"/>
    <w:rsid w:val="00006C61"/>
    <w:rsid w:val="00006F9C"/>
    <w:rsid w:val="0000758D"/>
    <w:rsid w:val="00007671"/>
    <w:rsid w:val="00007E9A"/>
    <w:rsid w:val="0001012B"/>
    <w:rsid w:val="0001019F"/>
    <w:rsid w:val="000110D3"/>
    <w:rsid w:val="0001135D"/>
    <w:rsid w:val="00011CE1"/>
    <w:rsid w:val="00011D6B"/>
    <w:rsid w:val="00012B2C"/>
    <w:rsid w:val="00012B59"/>
    <w:rsid w:val="0001355B"/>
    <w:rsid w:val="00013B33"/>
    <w:rsid w:val="000144CB"/>
    <w:rsid w:val="0001486A"/>
    <w:rsid w:val="00014CA9"/>
    <w:rsid w:val="00014E8C"/>
    <w:rsid w:val="000152AD"/>
    <w:rsid w:val="0001570E"/>
    <w:rsid w:val="000158B7"/>
    <w:rsid w:val="00015EE0"/>
    <w:rsid w:val="000168B8"/>
    <w:rsid w:val="000177FD"/>
    <w:rsid w:val="0001781E"/>
    <w:rsid w:val="000200B3"/>
    <w:rsid w:val="00020435"/>
    <w:rsid w:val="00020550"/>
    <w:rsid w:val="0002123B"/>
    <w:rsid w:val="0002183C"/>
    <w:rsid w:val="00021C28"/>
    <w:rsid w:val="000233DD"/>
    <w:rsid w:val="00023E37"/>
    <w:rsid w:val="00024CFE"/>
    <w:rsid w:val="00024D9D"/>
    <w:rsid w:val="000253A6"/>
    <w:rsid w:val="00025670"/>
    <w:rsid w:val="00026666"/>
    <w:rsid w:val="00027886"/>
    <w:rsid w:val="00027981"/>
    <w:rsid w:val="00027DD7"/>
    <w:rsid w:val="00030447"/>
    <w:rsid w:val="000307D6"/>
    <w:rsid w:val="00030D52"/>
    <w:rsid w:val="00030DC5"/>
    <w:rsid w:val="00030FFF"/>
    <w:rsid w:val="00031027"/>
    <w:rsid w:val="000311D8"/>
    <w:rsid w:val="00031EC0"/>
    <w:rsid w:val="00032413"/>
    <w:rsid w:val="00032D38"/>
    <w:rsid w:val="00032D4C"/>
    <w:rsid w:val="00032DBB"/>
    <w:rsid w:val="00033009"/>
    <w:rsid w:val="000331DB"/>
    <w:rsid w:val="00033FA6"/>
    <w:rsid w:val="000345B8"/>
    <w:rsid w:val="000363DE"/>
    <w:rsid w:val="0003665A"/>
    <w:rsid w:val="00036ACE"/>
    <w:rsid w:val="00036D27"/>
    <w:rsid w:val="00037267"/>
    <w:rsid w:val="00037330"/>
    <w:rsid w:val="000378DC"/>
    <w:rsid w:val="00037A37"/>
    <w:rsid w:val="00037E96"/>
    <w:rsid w:val="000401B4"/>
    <w:rsid w:val="000408A0"/>
    <w:rsid w:val="000409F7"/>
    <w:rsid w:val="00040C53"/>
    <w:rsid w:val="00040D82"/>
    <w:rsid w:val="00041F4F"/>
    <w:rsid w:val="00042539"/>
    <w:rsid w:val="00042767"/>
    <w:rsid w:val="0004315B"/>
    <w:rsid w:val="00043362"/>
    <w:rsid w:val="00043402"/>
    <w:rsid w:val="0004364B"/>
    <w:rsid w:val="0004379F"/>
    <w:rsid w:val="00043833"/>
    <w:rsid w:val="00043B67"/>
    <w:rsid w:val="0004405F"/>
    <w:rsid w:val="00044509"/>
    <w:rsid w:val="00044543"/>
    <w:rsid w:val="00044A29"/>
    <w:rsid w:val="00044AEA"/>
    <w:rsid w:val="00044FD9"/>
    <w:rsid w:val="000458DC"/>
    <w:rsid w:val="00046085"/>
    <w:rsid w:val="00046337"/>
    <w:rsid w:val="0004656D"/>
    <w:rsid w:val="00046725"/>
    <w:rsid w:val="0004675A"/>
    <w:rsid w:val="00046F7A"/>
    <w:rsid w:val="00047ABA"/>
    <w:rsid w:val="00047C96"/>
    <w:rsid w:val="00050EAB"/>
    <w:rsid w:val="000512AB"/>
    <w:rsid w:val="00051882"/>
    <w:rsid w:val="00051E8F"/>
    <w:rsid w:val="00051FD4"/>
    <w:rsid w:val="00052168"/>
    <w:rsid w:val="0005275A"/>
    <w:rsid w:val="000528DE"/>
    <w:rsid w:val="00052FEB"/>
    <w:rsid w:val="00053215"/>
    <w:rsid w:val="00053289"/>
    <w:rsid w:val="0005389C"/>
    <w:rsid w:val="00053E5D"/>
    <w:rsid w:val="00053E7D"/>
    <w:rsid w:val="00054C45"/>
    <w:rsid w:val="00054DB5"/>
    <w:rsid w:val="00054E2C"/>
    <w:rsid w:val="00055052"/>
    <w:rsid w:val="000553EB"/>
    <w:rsid w:val="00055408"/>
    <w:rsid w:val="0005552B"/>
    <w:rsid w:val="00055E14"/>
    <w:rsid w:val="00057312"/>
    <w:rsid w:val="00057815"/>
    <w:rsid w:val="00057EC4"/>
    <w:rsid w:val="00061013"/>
    <w:rsid w:val="000610E1"/>
    <w:rsid w:val="00061243"/>
    <w:rsid w:val="000616C5"/>
    <w:rsid w:val="000616F9"/>
    <w:rsid w:val="000617BB"/>
    <w:rsid w:val="000618AF"/>
    <w:rsid w:val="00061B1F"/>
    <w:rsid w:val="000620BF"/>
    <w:rsid w:val="0006274D"/>
    <w:rsid w:val="00062AF9"/>
    <w:rsid w:val="00062FC5"/>
    <w:rsid w:val="000640F2"/>
    <w:rsid w:val="0006464F"/>
    <w:rsid w:val="00064AC4"/>
    <w:rsid w:val="00064AE2"/>
    <w:rsid w:val="00064B25"/>
    <w:rsid w:val="00065B48"/>
    <w:rsid w:val="00065E49"/>
    <w:rsid w:val="00066550"/>
    <w:rsid w:val="000669B3"/>
    <w:rsid w:val="00066C48"/>
    <w:rsid w:val="000672C9"/>
    <w:rsid w:val="00067D2D"/>
    <w:rsid w:val="00067D68"/>
    <w:rsid w:val="00067DEF"/>
    <w:rsid w:val="00067E46"/>
    <w:rsid w:val="000702FD"/>
    <w:rsid w:val="00070662"/>
    <w:rsid w:val="00070812"/>
    <w:rsid w:val="00070829"/>
    <w:rsid w:val="00070892"/>
    <w:rsid w:val="0007101C"/>
    <w:rsid w:val="00071759"/>
    <w:rsid w:val="00071818"/>
    <w:rsid w:val="00072015"/>
    <w:rsid w:val="00072453"/>
    <w:rsid w:val="000724F8"/>
    <w:rsid w:val="00072575"/>
    <w:rsid w:val="00072D2E"/>
    <w:rsid w:val="00072F24"/>
    <w:rsid w:val="0007327B"/>
    <w:rsid w:val="000733C4"/>
    <w:rsid w:val="00073DEC"/>
    <w:rsid w:val="00074783"/>
    <w:rsid w:val="00074971"/>
    <w:rsid w:val="00074984"/>
    <w:rsid w:val="0007499D"/>
    <w:rsid w:val="000749F8"/>
    <w:rsid w:val="000750B8"/>
    <w:rsid w:val="00075259"/>
    <w:rsid w:val="00075D87"/>
    <w:rsid w:val="000765A8"/>
    <w:rsid w:val="00076C30"/>
    <w:rsid w:val="00077387"/>
    <w:rsid w:val="00077A44"/>
    <w:rsid w:val="00077C04"/>
    <w:rsid w:val="0008070B"/>
    <w:rsid w:val="00080E6F"/>
    <w:rsid w:val="000810AC"/>
    <w:rsid w:val="00081527"/>
    <w:rsid w:val="00081654"/>
    <w:rsid w:val="000819D5"/>
    <w:rsid w:val="000819EF"/>
    <w:rsid w:val="00081A02"/>
    <w:rsid w:val="00081F6F"/>
    <w:rsid w:val="00082231"/>
    <w:rsid w:val="00082356"/>
    <w:rsid w:val="00082D3D"/>
    <w:rsid w:val="00083096"/>
    <w:rsid w:val="0008315F"/>
    <w:rsid w:val="000834A5"/>
    <w:rsid w:val="0008353E"/>
    <w:rsid w:val="00083B84"/>
    <w:rsid w:val="00083BB2"/>
    <w:rsid w:val="00083EF2"/>
    <w:rsid w:val="00084148"/>
    <w:rsid w:val="000846AC"/>
    <w:rsid w:val="0008499B"/>
    <w:rsid w:val="0008499D"/>
    <w:rsid w:val="00084A05"/>
    <w:rsid w:val="00085189"/>
    <w:rsid w:val="000852B7"/>
    <w:rsid w:val="00085910"/>
    <w:rsid w:val="00085C0D"/>
    <w:rsid w:val="000861AE"/>
    <w:rsid w:val="000863E1"/>
    <w:rsid w:val="00086859"/>
    <w:rsid w:val="00086EF9"/>
    <w:rsid w:val="0008715C"/>
    <w:rsid w:val="0009003D"/>
    <w:rsid w:val="000902B1"/>
    <w:rsid w:val="000904C9"/>
    <w:rsid w:val="000905A9"/>
    <w:rsid w:val="00090D9E"/>
    <w:rsid w:val="0009150B"/>
    <w:rsid w:val="00091543"/>
    <w:rsid w:val="000915E0"/>
    <w:rsid w:val="00091E05"/>
    <w:rsid w:val="000920BD"/>
    <w:rsid w:val="000921A6"/>
    <w:rsid w:val="000921E6"/>
    <w:rsid w:val="00092A3A"/>
    <w:rsid w:val="00092D38"/>
    <w:rsid w:val="00092E98"/>
    <w:rsid w:val="00093064"/>
    <w:rsid w:val="000931F3"/>
    <w:rsid w:val="0009342D"/>
    <w:rsid w:val="0009377B"/>
    <w:rsid w:val="00093847"/>
    <w:rsid w:val="00094C3F"/>
    <w:rsid w:val="00095A23"/>
    <w:rsid w:val="00095BD0"/>
    <w:rsid w:val="000961AF"/>
    <w:rsid w:val="00096882"/>
    <w:rsid w:val="000977B6"/>
    <w:rsid w:val="00097EF6"/>
    <w:rsid w:val="000A1A6C"/>
    <w:rsid w:val="000A1D6B"/>
    <w:rsid w:val="000A1F3C"/>
    <w:rsid w:val="000A20C9"/>
    <w:rsid w:val="000A2325"/>
    <w:rsid w:val="000A2519"/>
    <w:rsid w:val="000A29CD"/>
    <w:rsid w:val="000A364E"/>
    <w:rsid w:val="000A366D"/>
    <w:rsid w:val="000A38D8"/>
    <w:rsid w:val="000A3DDA"/>
    <w:rsid w:val="000A3FEE"/>
    <w:rsid w:val="000A4626"/>
    <w:rsid w:val="000A5238"/>
    <w:rsid w:val="000A52BE"/>
    <w:rsid w:val="000A54FC"/>
    <w:rsid w:val="000A55BF"/>
    <w:rsid w:val="000A5EF5"/>
    <w:rsid w:val="000A618F"/>
    <w:rsid w:val="000A6394"/>
    <w:rsid w:val="000A6901"/>
    <w:rsid w:val="000A747B"/>
    <w:rsid w:val="000A79B1"/>
    <w:rsid w:val="000B00B3"/>
    <w:rsid w:val="000B031E"/>
    <w:rsid w:val="000B0544"/>
    <w:rsid w:val="000B058F"/>
    <w:rsid w:val="000B07C0"/>
    <w:rsid w:val="000B0B35"/>
    <w:rsid w:val="000B0C91"/>
    <w:rsid w:val="000B10FE"/>
    <w:rsid w:val="000B17C3"/>
    <w:rsid w:val="000B1BD7"/>
    <w:rsid w:val="000B1DA4"/>
    <w:rsid w:val="000B23CE"/>
    <w:rsid w:val="000B25E0"/>
    <w:rsid w:val="000B370B"/>
    <w:rsid w:val="000B382D"/>
    <w:rsid w:val="000B3DD6"/>
    <w:rsid w:val="000B4467"/>
    <w:rsid w:val="000B4DB9"/>
    <w:rsid w:val="000B57FF"/>
    <w:rsid w:val="000B64B8"/>
    <w:rsid w:val="000B6F9A"/>
    <w:rsid w:val="000B747C"/>
    <w:rsid w:val="000B7810"/>
    <w:rsid w:val="000B7982"/>
    <w:rsid w:val="000B7B67"/>
    <w:rsid w:val="000B7C3E"/>
    <w:rsid w:val="000C07F4"/>
    <w:rsid w:val="000C09AC"/>
    <w:rsid w:val="000C0F29"/>
    <w:rsid w:val="000C26B9"/>
    <w:rsid w:val="000C2CFB"/>
    <w:rsid w:val="000C3017"/>
    <w:rsid w:val="000C32DE"/>
    <w:rsid w:val="000C33C1"/>
    <w:rsid w:val="000C3647"/>
    <w:rsid w:val="000C3988"/>
    <w:rsid w:val="000C3A98"/>
    <w:rsid w:val="000C446E"/>
    <w:rsid w:val="000C4A96"/>
    <w:rsid w:val="000C4B21"/>
    <w:rsid w:val="000C63A5"/>
    <w:rsid w:val="000C64E0"/>
    <w:rsid w:val="000C681F"/>
    <w:rsid w:val="000C6C80"/>
    <w:rsid w:val="000C6D10"/>
    <w:rsid w:val="000C6FB4"/>
    <w:rsid w:val="000C75EB"/>
    <w:rsid w:val="000C767F"/>
    <w:rsid w:val="000C7923"/>
    <w:rsid w:val="000C7CF1"/>
    <w:rsid w:val="000D00E0"/>
    <w:rsid w:val="000D12BE"/>
    <w:rsid w:val="000D165A"/>
    <w:rsid w:val="000D1B92"/>
    <w:rsid w:val="000D29CF"/>
    <w:rsid w:val="000D2FC3"/>
    <w:rsid w:val="000D45AD"/>
    <w:rsid w:val="000D496D"/>
    <w:rsid w:val="000D5A44"/>
    <w:rsid w:val="000D62B4"/>
    <w:rsid w:val="000D6C92"/>
    <w:rsid w:val="000D6EE5"/>
    <w:rsid w:val="000D749B"/>
    <w:rsid w:val="000E06C0"/>
    <w:rsid w:val="000E0F46"/>
    <w:rsid w:val="000E11CC"/>
    <w:rsid w:val="000E1386"/>
    <w:rsid w:val="000E14A2"/>
    <w:rsid w:val="000E1698"/>
    <w:rsid w:val="000E2087"/>
    <w:rsid w:val="000E2483"/>
    <w:rsid w:val="000E2683"/>
    <w:rsid w:val="000E2895"/>
    <w:rsid w:val="000E2941"/>
    <w:rsid w:val="000E2D8B"/>
    <w:rsid w:val="000E3ED2"/>
    <w:rsid w:val="000E46F5"/>
    <w:rsid w:val="000E4892"/>
    <w:rsid w:val="000E5190"/>
    <w:rsid w:val="000E5584"/>
    <w:rsid w:val="000E584E"/>
    <w:rsid w:val="000E5F94"/>
    <w:rsid w:val="000E6F4A"/>
    <w:rsid w:val="000E731A"/>
    <w:rsid w:val="000E7330"/>
    <w:rsid w:val="000E7BF4"/>
    <w:rsid w:val="000F007F"/>
    <w:rsid w:val="000F0EB0"/>
    <w:rsid w:val="000F1755"/>
    <w:rsid w:val="000F1AF4"/>
    <w:rsid w:val="000F20D3"/>
    <w:rsid w:val="000F2523"/>
    <w:rsid w:val="000F2E7E"/>
    <w:rsid w:val="000F484F"/>
    <w:rsid w:val="000F489D"/>
    <w:rsid w:val="000F4BD6"/>
    <w:rsid w:val="000F4C46"/>
    <w:rsid w:val="000F504D"/>
    <w:rsid w:val="000F5431"/>
    <w:rsid w:val="000F5ABF"/>
    <w:rsid w:val="000F5D45"/>
    <w:rsid w:val="000F6A5D"/>
    <w:rsid w:val="000F706D"/>
    <w:rsid w:val="000F7D9B"/>
    <w:rsid w:val="000F7E75"/>
    <w:rsid w:val="000F7EF2"/>
    <w:rsid w:val="000F7F62"/>
    <w:rsid w:val="00100E10"/>
    <w:rsid w:val="00100E9E"/>
    <w:rsid w:val="00100ED2"/>
    <w:rsid w:val="0010115F"/>
    <w:rsid w:val="00101303"/>
    <w:rsid w:val="00101527"/>
    <w:rsid w:val="00101ACF"/>
    <w:rsid w:val="0010209F"/>
    <w:rsid w:val="00102168"/>
    <w:rsid w:val="00102924"/>
    <w:rsid w:val="00102D3B"/>
    <w:rsid w:val="001036D7"/>
    <w:rsid w:val="00103C8F"/>
    <w:rsid w:val="00103E36"/>
    <w:rsid w:val="0010428F"/>
    <w:rsid w:val="001049EA"/>
    <w:rsid w:val="00104B15"/>
    <w:rsid w:val="00106D46"/>
    <w:rsid w:val="0010707C"/>
    <w:rsid w:val="00107242"/>
    <w:rsid w:val="00107CA7"/>
    <w:rsid w:val="001100A8"/>
    <w:rsid w:val="0011101D"/>
    <w:rsid w:val="00111AFF"/>
    <w:rsid w:val="00111ED7"/>
    <w:rsid w:val="0011236B"/>
    <w:rsid w:val="001124F9"/>
    <w:rsid w:val="00112782"/>
    <w:rsid w:val="00113565"/>
    <w:rsid w:val="0011364E"/>
    <w:rsid w:val="00113690"/>
    <w:rsid w:val="00113D67"/>
    <w:rsid w:val="00114298"/>
    <w:rsid w:val="00114878"/>
    <w:rsid w:val="00114A14"/>
    <w:rsid w:val="00114D14"/>
    <w:rsid w:val="00115231"/>
    <w:rsid w:val="001155DD"/>
    <w:rsid w:val="00115789"/>
    <w:rsid w:val="00115D3E"/>
    <w:rsid w:val="0011625A"/>
    <w:rsid w:val="00116DA6"/>
    <w:rsid w:val="00116EBC"/>
    <w:rsid w:val="00116FAE"/>
    <w:rsid w:val="001176FB"/>
    <w:rsid w:val="001179F1"/>
    <w:rsid w:val="0012025B"/>
    <w:rsid w:val="0012089B"/>
    <w:rsid w:val="00121BC5"/>
    <w:rsid w:val="001235C0"/>
    <w:rsid w:val="0012386E"/>
    <w:rsid w:val="00123CD0"/>
    <w:rsid w:val="00124390"/>
    <w:rsid w:val="00125439"/>
    <w:rsid w:val="00125B64"/>
    <w:rsid w:val="00125FC6"/>
    <w:rsid w:val="0012610C"/>
    <w:rsid w:val="00126178"/>
    <w:rsid w:val="001261E6"/>
    <w:rsid w:val="00126D6C"/>
    <w:rsid w:val="00127DB6"/>
    <w:rsid w:val="001302BB"/>
    <w:rsid w:val="00130BB0"/>
    <w:rsid w:val="00130EB4"/>
    <w:rsid w:val="00130FA9"/>
    <w:rsid w:val="00131405"/>
    <w:rsid w:val="00131737"/>
    <w:rsid w:val="001318C4"/>
    <w:rsid w:val="00131EAD"/>
    <w:rsid w:val="00131F42"/>
    <w:rsid w:val="00132381"/>
    <w:rsid w:val="00132CBF"/>
    <w:rsid w:val="001336A4"/>
    <w:rsid w:val="00134D97"/>
    <w:rsid w:val="00135042"/>
    <w:rsid w:val="001357F1"/>
    <w:rsid w:val="001358FA"/>
    <w:rsid w:val="00135B01"/>
    <w:rsid w:val="00135B8B"/>
    <w:rsid w:val="001360CD"/>
    <w:rsid w:val="00136210"/>
    <w:rsid w:val="0013684E"/>
    <w:rsid w:val="00136A5C"/>
    <w:rsid w:val="00136D74"/>
    <w:rsid w:val="00136D7F"/>
    <w:rsid w:val="00137443"/>
    <w:rsid w:val="00137789"/>
    <w:rsid w:val="00137A67"/>
    <w:rsid w:val="001406B5"/>
    <w:rsid w:val="00140ACF"/>
    <w:rsid w:val="00140E3B"/>
    <w:rsid w:val="00140FA8"/>
    <w:rsid w:val="00141348"/>
    <w:rsid w:val="0014154C"/>
    <w:rsid w:val="00142AC6"/>
    <w:rsid w:val="00142FEB"/>
    <w:rsid w:val="0014314F"/>
    <w:rsid w:val="00143A2D"/>
    <w:rsid w:val="00143B4D"/>
    <w:rsid w:val="00144838"/>
    <w:rsid w:val="00144904"/>
    <w:rsid w:val="0014560D"/>
    <w:rsid w:val="00145631"/>
    <w:rsid w:val="00145A41"/>
    <w:rsid w:val="00145D72"/>
    <w:rsid w:val="00146333"/>
    <w:rsid w:val="0014657E"/>
    <w:rsid w:val="001468AA"/>
    <w:rsid w:val="00146C1B"/>
    <w:rsid w:val="00146CA1"/>
    <w:rsid w:val="00146E63"/>
    <w:rsid w:val="00147522"/>
    <w:rsid w:val="001477CD"/>
    <w:rsid w:val="00150363"/>
    <w:rsid w:val="0015045E"/>
    <w:rsid w:val="00150578"/>
    <w:rsid w:val="00150896"/>
    <w:rsid w:val="001509B4"/>
    <w:rsid w:val="001512EC"/>
    <w:rsid w:val="001514B4"/>
    <w:rsid w:val="00151675"/>
    <w:rsid w:val="00151AB5"/>
    <w:rsid w:val="00151F82"/>
    <w:rsid w:val="00152BA7"/>
    <w:rsid w:val="00152D43"/>
    <w:rsid w:val="00153113"/>
    <w:rsid w:val="001531C3"/>
    <w:rsid w:val="001532B0"/>
    <w:rsid w:val="001532CB"/>
    <w:rsid w:val="00153685"/>
    <w:rsid w:val="00153A4F"/>
    <w:rsid w:val="0015499B"/>
    <w:rsid w:val="00154F7F"/>
    <w:rsid w:val="00155085"/>
    <w:rsid w:val="001556A8"/>
    <w:rsid w:val="00155A9C"/>
    <w:rsid w:val="00156C48"/>
    <w:rsid w:val="00156CDC"/>
    <w:rsid w:val="00157080"/>
    <w:rsid w:val="001573EC"/>
    <w:rsid w:val="00157435"/>
    <w:rsid w:val="001574B8"/>
    <w:rsid w:val="00160176"/>
    <w:rsid w:val="00160B3C"/>
    <w:rsid w:val="00161A4D"/>
    <w:rsid w:val="00161AD7"/>
    <w:rsid w:val="00162A09"/>
    <w:rsid w:val="00164FB6"/>
    <w:rsid w:val="0016570F"/>
    <w:rsid w:val="00165943"/>
    <w:rsid w:val="001663F4"/>
    <w:rsid w:val="001679E4"/>
    <w:rsid w:val="00167ADB"/>
    <w:rsid w:val="00170752"/>
    <w:rsid w:val="0017085B"/>
    <w:rsid w:val="001711E4"/>
    <w:rsid w:val="001713E5"/>
    <w:rsid w:val="00172213"/>
    <w:rsid w:val="00172D29"/>
    <w:rsid w:val="00173479"/>
    <w:rsid w:val="00173689"/>
    <w:rsid w:val="00173C8D"/>
    <w:rsid w:val="00173DE6"/>
    <w:rsid w:val="00173E3B"/>
    <w:rsid w:val="00174095"/>
    <w:rsid w:val="00174103"/>
    <w:rsid w:val="00174CD4"/>
    <w:rsid w:val="0017504D"/>
    <w:rsid w:val="00175053"/>
    <w:rsid w:val="001755E7"/>
    <w:rsid w:val="00175768"/>
    <w:rsid w:val="00175DAF"/>
    <w:rsid w:val="0017671A"/>
    <w:rsid w:val="00177422"/>
    <w:rsid w:val="00177D37"/>
    <w:rsid w:val="00177EF6"/>
    <w:rsid w:val="001803B9"/>
    <w:rsid w:val="0018117C"/>
    <w:rsid w:val="001814D5"/>
    <w:rsid w:val="001815EE"/>
    <w:rsid w:val="00181609"/>
    <w:rsid w:val="001817E8"/>
    <w:rsid w:val="00181A92"/>
    <w:rsid w:val="00182367"/>
    <w:rsid w:val="00182ADA"/>
    <w:rsid w:val="001830CB"/>
    <w:rsid w:val="00183525"/>
    <w:rsid w:val="0018361D"/>
    <w:rsid w:val="00183990"/>
    <w:rsid w:val="00183A86"/>
    <w:rsid w:val="00183ADB"/>
    <w:rsid w:val="00183CE1"/>
    <w:rsid w:val="00184062"/>
    <w:rsid w:val="00184170"/>
    <w:rsid w:val="00184301"/>
    <w:rsid w:val="00184590"/>
    <w:rsid w:val="00184651"/>
    <w:rsid w:val="00184A80"/>
    <w:rsid w:val="0018550B"/>
    <w:rsid w:val="00185B72"/>
    <w:rsid w:val="00185DE1"/>
    <w:rsid w:val="00185F5F"/>
    <w:rsid w:val="001870D1"/>
    <w:rsid w:val="00187359"/>
    <w:rsid w:val="00187572"/>
    <w:rsid w:val="0018772C"/>
    <w:rsid w:val="0018781E"/>
    <w:rsid w:val="001879D3"/>
    <w:rsid w:val="0019037C"/>
    <w:rsid w:val="00190BA4"/>
    <w:rsid w:val="00190CE2"/>
    <w:rsid w:val="00191527"/>
    <w:rsid w:val="001919B8"/>
    <w:rsid w:val="00191C9F"/>
    <w:rsid w:val="00192311"/>
    <w:rsid w:val="0019262D"/>
    <w:rsid w:val="00192EE6"/>
    <w:rsid w:val="0019336B"/>
    <w:rsid w:val="001934D7"/>
    <w:rsid w:val="001938A8"/>
    <w:rsid w:val="00193AED"/>
    <w:rsid w:val="00193ECC"/>
    <w:rsid w:val="00194452"/>
    <w:rsid w:val="00195504"/>
    <w:rsid w:val="0019552A"/>
    <w:rsid w:val="00195AD4"/>
    <w:rsid w:val="00195E95"/>
    <w:rsid w:val="00196B95"/>
    <w:rsid w:val="001975C5"/>
    <w:rsid w:val="00197764"/>
    <w:rsid w:val="0019797C"/>
    <w:rsid w:val="001A013F"/>
    <w:rsid w:val="001A07F8"/>
    <w:rsid w:val="001A0856"/>
    <w:rsid w:val="001A0ABA"/>
    <w:rsid w:val="001A0FE1"/>
    <w:rsid w:val="001A15F0"/>
    <w:rsid w:val="001A1B35"/>
    <w:rsid w:val="001A3182"/>
    <w:rsid w:val="001A31DE"/>
    <w:rsid w:val="001A3F25"/>
    <w:rsid w:val="001A4276"/>
    <w:rsid w:val="001A48A2"/>
    <w:rsid w:val="001A63F9"/>
    <w:rsid w:val="001A695E"/>
    <w:rsid w:val="001A6C2A"/>
    <w:rsid w:val="001A6F61"/>
    <w:rsid w:val="001A6FFF"/>
    <w:rsid w:val="001A707B"/>
    <w:rsid w:val="001B04AF"/>
    <w:rsid w:val="001B056C"/>
    <w:rsid w:val="001B0E25"/>
    <w:rsid w:val="001B0ECB"/>
    <w:rsid w:val="001B12B1"/>
    <w:rsid w:val="001B14BC"/>
    <w:rsid w:val="001B1613"/>
    <w:rsid w:val="001B16B7"/>
    <w:rsid w:val="001B17AD"/>
    <w:rsid w:val="001B21A6"/>
    <w:rsid w:val="001B2309"/>
    <w:rsid w:val="001B2480"/>
    <w:rsid w:val="001B25BA"/>
    <w:rsid w:val="001B3009"/>
    <w:rsid w:val="001B3588"/>
    <w:rsid w:val="001B3A16"/>
    <w:rsid w:val="001B3BA5"/>
    <w:rsid w:val="001B42AE"/>
    <w:rsid w:val="001B448F"/>
    <w:rsid w:val="001B4A38"/>
    <w:rsid w:val="001B4CE1"/>
    <w:rsid w:val="001B50F2"/>
    <w:rsid w:val="001B53D9"/>
    <w:rsid w:val="001B54A0"/>
    <w:rsid w:val="001B5966"/>
    <w:rsid w:val="001B6153"/>
    <w:rsid w:val="001B6AC7"/>
    <w:rsid w:val="001B708D"/>
    <w:rsid w:val="001B7246"/>
    <w:rsid w:val="001B72B8"/>
    <w:rsid w:val="001B7E2D"/>
    <w:rsid w:val="001C0547"/>
    <w:rsid w:val="001C0A57"/>
    <w:rsid w:val="001C129B"/>
    <w:rsid w:val="001C1447"/>
    <w:rsid w:val="001C1657"/>
    <w:rsid w:val="001C1949"/>
    <w:rsid w:val="001C1AE7"/>
    <w:rsid w:val="001C20EC"/>
    <w:rsid w:val="001C260E"/>
    <w:rsid w:val="001C2D0A"/>
    <w:rsid w:val="001C2EFB"/>
    <w:rsid w:val="001C3276"/>
    <w:rsid w:val="001C3D61"/>
    <w:rsid w:val="001C479D"/>
    <w:rsid w:val="001C47A4"/>
    <w:rsid w:val="001C4D56"/>
    <w:rsid w:val="001C542F"/>
    <w:rsid w:val="001C55CB"/>
    <w:rsid w:val="001C631F"/>
    <w:rsid w:val="001C6343"/>
    <w:rsid w:val="001C6800"/>
    <w:rsid w:val="001C69B3"/>
    <w:rsid w:val="001C7992"/>
    <w:rsid w:val="001D0057"/>
    <w:rsid w:val="001D0202"/>
    <w:rsid w:val="001D02F2"/>
    <w:rsid w:val="001D03C8"/>
    <w:rsid w:val="001D07C9"/>
    <w:rsid w:val="001D106E"/>
    <w:rsid w:val="001D1515"/>
    <w:rsid w:val="001D1E16"/>
    <w:rsid w:val="001D2088"/>
    <w:rsid w:val="001D21F3"/>
    <w:rsid w:val="001D274B"/>
    <w:rsid w:val="001D286A"/>
    <w:rsid w:val="001D2B38"/>
    <w:rsid w:val="001D32D3"/>
    <w:rsid w:val="001D3A7F"/>
    <w:rsid w:val="001D3B5B"/>
    <w:rsid w:val="001D3BC2"/>
    <w:rsid w:val="001D3DA2"/>
    <w:rsid w:val="001D4156"/>
    <w:rsid w:val="001D444D"/>
    <w:rsid w:val="001D4631"/>
    <w:rsid w:val="001D4E60"/>
    <w:rsid w:val="001D5595"/>
    <w:rsid w:val="001D5983"/>
    <w:rsid w:val="001D5B44"/>
    <w:rsid w:val="001D6008"/>
    <w:rsid w:val="001D6103"/>
    <w:rsid w:val="001D61BE"/>
    <w:rsid w:val="001D6308"/>
    <w:rsid w:val="001D64D6"/>
    <w:rsid w:val="001D6E6B"/>
    <w:rsid w:val="001D6F76"/>
    <w:rsid w:val="001D7874"/>
    <w:rsid w:val="001D7F22"/>
    <w:rsid w:val="001E0053"/>
    <w:rsid w:val="001E05E8"/>
    <w:rsid w:val="001E0BE4"/>
    <w:rsid w:val="001E0C78"/>
    <w:rsid w:val="001E1005"/>
    <w:rsid w:val="001E16BC"/>
    <w:rsid w:val="001E1955"/>
    <w:rsid w:val="001E1E6E"/>
    <w:rsid w:val="001E2240"/>
    <w:rsid w:val="001E23C3"/>
    <w:rsid w:val="001E2E12"/>
    <w:rsid w:val="001E2E2F"/>
    <w:rsid w:val="001E2F38"/>
    <w:rsid w:val="001E34C1"/>
    <w:rsid w:val="001E35D7"/>
    <w:rsid w:val="001E35FB"/>
    <w:rsid w:val="001E3734"/>
    <w:rsid w:val="001E379F"/>
    <w:rsid w:val="001E3A6A"/>
    <w:rsid w:val="001E3C80"/>
    <w:rsid w:val="001E4637"/>
    <w:rsid w:val="001E4EEB"/>
    <w:rsid w:val="001E4FF8"/>
    <w:rsid w:val="001E5548"/>
    <w:rsid w:val="001E5674"/>
    <w:rsid w:val="001E5DEC"/>
    <w:rsid w:val="001E6614"/>
    <w:rsid w:val="001E73C0"/>
    <w:rsid w:val="001E7EEE"/>
    <w:rsid w:val="001E7F5E"/>
    <w:rsid w:val="001F0260"/>
    <w:rsid w:val="001F0B62"/>
    <w:rsid w:val="001F0F17"/>
    <w:rsid w:val="001F12CB"/>
    <w:rsid w:val="001F274B"/>
    <w:rsid w:val="001F2E49"/>
    <w:rsid w:val="001F3347"/>
    <w:rsid w:val="001F3F93"/>
    <w:rsid w:val="001F4331"/>
    <w:rsid w:val="001F4592"/>
    <w:rsid w:val="001F4661"/>
    <w:rsid w:val="001F47AF"/>
    <w:rsid w:val="001F50E4"/>
    <w:rsid w:val="001F527B"/>
    <w:rsid w:val="001F563E"/>
    <w:rsid w:val="001F5830"/>
    <w:rsid w:val="001F5BE0"/>
    <w:rsid w:val="001F69E4"/>
    <w:rsid w:val="001F6C49"/>
    <w:rsid w:val="001F6D1C"/>
    <w:rsid w:val="001F775D"/>
    <w:rsid w:val="001F7F2D"/>
    <w:rsid w:val="002002AC"/>
    <w:rsid w:val="002002C0"/>
    <w:rsid w:val="002007E2"/>
    <w:rsid w:val="00200AFD"/>
    <w:rsid w:val="00200CFA"/>
    <w:rsid w:val="0020115A"/>
    <w:rsid w:val="00201309"/>
    <w:rsid w:val="002019CE"/>
    <w:rsid w:val="00201D5B"/>
    <w:rsid w:val="00201FA6"/>
    <w:rsid w:val="00203D7A"/>
    <w:rsid w:val="00204977"/>
    <w:rsid w:val="00204CF8"/>
    <w:rsid w:val="00204F51"/>
    <w:rsid w:val="00205116"/>
    <w:rsid w:val="00205509"/>
    <w:rsid w:val="00205BD4"/>
    <w:rsid w:val="00206199"/>
    <w:rsid w:val="00206E43"/>
    <w:rsid w:val="00206EB0"/>
    <w:rsid w:val="0020791D"/>
    <w:rsid w:val="00207C26"/>
    <w:rsid w:val="00207ED4"/>
    <w:rsid w:val="00210646"/>
    <w:rsid w:val="00210797"/>
    <w:rsid w:val="00210B51"/>
    <w:rsid w:val="00210D26"/>
    <w:rsid w:val="00211723"/>
    <w:rsid w:val="00211D6B"/>
    <w:rsid w:val="0021239B"/>
    <w:rsid w:val="002125B4"/>
    <w:rsid w:val="00212824"/>
    <w:rsid w:val="00212A72"/>
    <w:rsid w:val="00212E0D"/>
    <w:rsid w:val="0021311D"/>
    <w:rsid w:val="00213BC5"/>
    <w:rsid w:val="002146F6"/>
    <w:rsid w:val="00214755"/>
    <w:rsid w:val="00214B67"/>
    <w:rsid w:val="00214CBD"/>
    <w:rsid w:val="00214FEB"/>
    <w:rsid w:val="002155B8"/>
    <w:rsid w:val="00215C92"/>
    <w:rsid w:val="00215F05"/>
    <w:rsid w:val="00216311"/>
    <w:rsid w:val="00216F52"/>
    <w:rsid w:val="002172A6"/>
    <w:rsid w:val="00217736"/>
    <w:rsid w:val="00217740"/>
    <w:rsid w:val="002179A0"/>
    <w:rsid w:val="00217C0A"/>
    <w:rsid w:val="00217E3C"/>
    <w:rsid w:val="00217F64"/>
    <w:rsid w:val="00220652"/>
    <w:rsid w:val="00220BAD"/>
    <w:rsid w:val="00220C89"/>
    <w:rsid w:val="00220E75"/>
    <w:rsid w:val="00221351"/>
    <w:rsid w:val="00221354"/>
    <w:rsid w:val="00221B49"/>
    <w:rsid w:val="00221B86"/>
    <w:rsid w:val="00221D15"/>
    <w:rsid w:val="002224A9"/>
    <w:rsid w:val="002224C1"/>
    <w:rsid w:val="002227D3"/>
    <w:rsid w:val="0022316E"/>
    <w:rsid w:val="0022318A"/>
    <w:rsid w:val="00223524"/>
    <w:rsid w:val="00223897"/>
    <w:rsid w:val="002238CB"/>
    <w:rsid w:val="00223942"/>
    <w:rsid w:val="00223BFA"/>
    <w:rsid w:val="00223CCA"/>
    <w:rsid w:val="00224839"/>
    <w:rsid w:val="00224863"/>
    <w:rsid w:val="002249B2"/>
    <w:rsid w:val="00224B68"/>
    <w:rsid w:val="00224FED"/>
    <w:rsid w:val="00225819"/>
    <w:rsid w:val="00226437"/>
    <w:rsid w:val="00226574"/>
    <w:rsid w:val="002275E8"/>
    <w:rsid w:val="00227868"/>
    <w:rsid w:val="002278EC"/>
    <w:rsid w:val="00227988"/>
    <w:rsid w:val="00227A34"/>
    <w:rsid w:val="0023021F"/>
    <w:rsid w:val="00230D55"/>
    <w:rsid w:val="002319B1"/>
    <w:rsid w:val="00231B96"/>
    <w:rsid w:val="00231CC2"/>
    <w:rsid w:val="00231CC4"/>
    <w:rsid w:val="00231DC1"/>
    <w:rsid w:val="002326C4"/>
    <w:rsid w:val="0023280E"/>
    <w:rsid w:val="0023286D"/>
    <w:rsid w:val="00232885"/>
    <w:rsid w:val="002329C1"/>
    <w:rsid w:val="00234050"/>
    <w:rsid w:val="00234560"/>
    <w:rsid w:val="002346FC"/>
    <w:rsid w:val="00235F7B"/>
    <w:rsid w:val="00236AC4"/>
    <w:rsid w:val="00237705"/>
    <w:rsid w:val="002377D1"/>
    <w:rsid w:val="00240E87"/>
    <w:rsid w:val="0024134F"/>
    <w:rsid w:val="00241B4B"/>
    <w:rsid w:val="00242ABF"/>
    <w:rsid w:val="00242F3D"/>
    <w:rsid w:val="0024329C"/>
    <w:rsid w:val="002439B6"/>
    <w:rsid w:val="00243AA7"/>
    <w:rsid w:val="00243E7F"/>
    <w:rsid w:val="0024414B"/>
    <w:rsid w:val="00244462"/>
    <w:rsid w:val="00244B9D"/>
    <w:rsid w:val="002454B8"/>
    <w:rsid w:val="00245A5F"/>
    <w:rsid w:val="00245BF1"/>
    <w:rsid w:val="00246181"/>
    <w:rsid w:val="00246257"/>
    <w:rsid w:val="00246B8A"/>
    <w:rsid w:val="00247259"/>
    <w:rsid w:val="00247DE4"/>
    <w:rsid w:val="00250301"/>
    <w:rsid w:val="002504BF"/>
    <w:rsid w:val="002506BC"/>
    <w:rsid w:val="00250839"/>
    <w:rsid w:val="0025103C"/>
    <w:rsid w:val="002512C9"/>
    <w:rsid w:val="002516B8"/>
    <w:rsid w:val="00251B2C"/>
    <w:rsid w:val="00251F1E"/>
    <w:rsid w:val="00252088"/>
    <w:rsid w:val="002525D7"/>
    <w:rsid w:val="00252C72"/>
    <w:rsid w:val="00252C75"/>
    <w:rsid w:val="00252DB3"/>
    <w:rsid w:val="00252EE2"/>
    <w:rsid w:val="002533E7"/>
    <w:rsid w:val="002537A4"/>
    <w:rsid w:val="002541C1"/>
    <w:rsid w:val="00254345"/>
    <w:rsid w:val="00254FA2"/>
    <w:rsid w:val="002561D6"/>
    <w:rsid w:val="002563DF"/>
    <w:rsid w:val="00256E66"/>
    <w:rsid w:val="00257054"/>
    <w:rsid w:val="0025732E"/>
    <w:rsid w:val="002574E8"/>
    <w:rsid w:val="0025794D"/>
    <w:rsid w:val="00257ADD"/>
    <w:rsid w:val="00257C53"/>
    <w:rsid w:val="002604BC"/>
    <w:rsid w:val="00261004"/>
    <w:rsid w:val="00261171"/>
    <w:rsid w:val="0026123B"/>
    <w:rsid w:val="00261910"/>
    <w:rsid w:val="00261CE3"/>
    <w:rsid w:val="002628A5"/>
    <w:rsid w:val="00262AC9"/>
    <w:rsid w:val="00262EEA"/>
    <w:rsid w:val="002638F7"/>
    <w:rsid w:val="00263928"/>
    <w:rsid w:val="0026435D"/>
    <w:rsid w:val="00264557"/>
    <w:rsid w:val="002649B2"/>
    <w:rsid w:val="0026582D"/>
    <w:rsid w:val="00266DB4"/>
    <w:rsid w:val="00267BAF"/>
    <w:rsid w:val="0027041A"/>
    <w:rsid w:val="00270696"/>
    <w:rsid w:val="002708BC"/>
    <w:rsid w:val="00270B8C"/>
    <w:rsid w:val="00270D1F"/>
    <w:rsid w:val="00270DCB"/>
    <w:rsid w:val="002718BE"/>
    <w:rsid w:val="00271A19"/>
    <w:rsid w:val="00271D28"/>
    <w:rsid w:val="002731F0"/>
    <w:rsid w:val="00273330"/>
    <w:rsid w:val="00273578"/>
    <w:rsid w:val="00274168"/>
    <w:rsid w:val="0027465A"/>
    <w:rsid w:val="00274A8F"/>
    <w:rsid w:val="00274F90"/>
    <w:rsid w:val="00275400"/>
    <w:rsid w:val="00275AD7"/>
    <w:rsid w:val="00275CDC"/>
    <w:rsid w:val="00275F82"/>
    <w:rsid w:val="00275F84"/>
    <w:rsid w:val="00276478"/>
    <w:rsid w:val="0027674A"/>
    <w:rsid w:val="00277123"/>
    <w:rsid w:val="002775B4"/>
    <w:rsid w:val="002776B5"/>
    <w:rsid w:val="00277985"/>
    <w:rsid w:val="00277A98"/>
    <w:rsid w:val="00277EF8"/>
    <w:rsid w:val="002805AB"/>
    <w:rsid w:val="00280FB6"/>
    <w:rsid w:val="00281256"/>
    <w:rsid w:val="00281337"/>
    <w:rsid w:val="00281570"/>
    <w:rsid w:val="00281A43"/>
    <w:rsid w:val="00281A6D"/>
    <w:rsid w:val="0028242D"/>
    <w:rsid w:val="00282D2D"/>
    <w:rsid w:val="00283216"/>
    <w:rsid w:val="0028349E"/>
    <w:rsid w:val="00284204"/>
    <w:rsid w:val="00284504"/>
    <w:rsid w:val="00284EA4"/>
    <w:rsid w:val="00285056"/>
    <w:rsid w:val="00285107"/>
    <w:rsid w:val="002851B4"/>
    <w:rsid w:val="002852CC"/>
    <w:rsid w:val="0028550B"/>
    <w:rsid w:val="0028557F"/>
    <w:rsid w:val="002858AA"/>
    <w:rsid w:val="002860A7"/>
    <w:rsid w:val="002862C9"/>
    <w:rsid w:val="0028660D"/>
    <w:rsid w:val="002873D6"/>
    <w:rsid w:val="00287717"/>
    <w:rsid w:val="002900C9"/>
    <w:rsid w:val="00290541"/>
    <w:rsid w:val="00290E94"/>
    <w:rsid w:val="00290F20"/>
    <w:rsid w:val="0029140E"/>
    <w:rsid w:val="0029141C"/>
    <w:rsid w:val="002916C2"/>
    <w:rsid w:val="00291773"/>
    <w:rsid w:val="0029204A"/>
    <w:rsid w:val="00292177"/>
    <w:rsid w:val="00292763"/>
    <w:rsid w:val="00292B85"/>
    <w:rsid w:val="00292E9C"/>
    <w:rsid w:val="0029339F"/>
    <w:rsid w:val="0029343B"/>
    <w:rsid w:val="00293466"/>
    <w:rsid w:val="00294454"/>
    <w:rsid w:val="00294A5E"/>
    <w:rsid w:val="0029520B"/>
    <w:rsid w:val="00295304"/>
    <w:rsid w:val="0029590D"/>
    <w:rsid w:val="00295DE1"/>
    <w:rsid w:val="002969EA"/>
    <w:rsid w:val="00296FF9"/>
    <w:rsid w:val="002971A3"/>
    <w:rsid w:val="0029760A"/>
    <w:rsid w:val="00297F2F"/>
    <w:rsid w:val="002A0FB0"/>
    <w:rsid w:val="002A168C"/>
    <w:rsid w:val="002A16AA"/>
    <w:rsid w:val="002A18A7"/>
    <w:rsid w:val="002A19E0"/>
    <w:rsid w:val="002A1A9D"/>
    <w:rsid w:val="002A1C9B"/>
    <w:rsid w:val="002A332B"/>
    <w:rsid w:val="002A34A3"/>
    <w:rsid w:val="002A34B2"/>
    <w:rsid w:val="002A383B"/>
    <w:rsid w:val="002A3D55"/>
    <w:rsid w:val="002A3DC7"/>
    <w:rsid w:val="002A4C6C"/>
    <w:rsid w:val="002A5263"/>
    <w:rsid w:val="002A6CE4"/>
    <w:rsid w:val="002A6E99"/>
    <w:rsid w:val="002A7569"/>
    <w:rsid w:val="002A7D0B"/>
    <w:rsid w:val="002B0263"/>
    <w:rsid w:val="002B165F"/>
    <w:rsid w:val="002B16D8"/>
    <w:rsid w:val="002B1DCA"/>
    <w:rsid w:val="002B2720"/>
    <w:rsid w:val="002B28A6"/>
    <w:rsid w:val="002B2902"/>
    <w:rsid w:val="002B2921"/>
    <w:rsid w:val="002B3595"/>
    <w:rsid w:val="002B3ED8"/>
    <w:rsid w:val="002B3F43"/>
    <w:rsid w:val="002B441B"/>
    <w:rsid w:val="002B491E"/>
    <w:rsid w:val="002B49E2"/>
    <w:rsid w:val="002B4B85"/>
    <w:rsid w:val="002B511C"/>
    <w:rsid w:val="002B59D2"/>
    <w:rsid w:val="002B5AB4"/>
    <w:rsid w:val="002B5BED"/>
    <w:rsid w:val="002B5C90"/>
    <w:rsid w:val="002B614E"/>
    <w:rsid w:val="002B630D"/>
    <w:rsid w:val="002B66C2"/>
    <w:rsid w:val="002B76A2"/>
    <w:rsid w:val="002B7B00"/>
    <w:rsid w:val="002B7C44"/>
    <w:rsid w:val="002C0893"/>
    <w:rsid w:val="002C0EE5"/>
    <w:rsid w:val="002C193F"/>
    <w:rsid w:val="002C196B"/>
    <w:rsid w:val="002C1C84"/>
    <w:rsid w:val="002C284C"/>
    <w:rsid w:val="002C2AA4"/>
    <w:rsid w:val="002C2B17"/>
    <w:rsid w:val="002C36D8"/>
    <w:rsid w:val="002C38BB"/>
    <w:rsid w:val="002C4F21"/>
    <w:rsid w:val="002C5CCD"/>
    <w:rsid w:val="002C5E7A"/>
    <w:rsid w:val="002C60AF"/>
    <w:rsid w:val="002C716A"/>
    <w:rsid w:val="002C74D0"/>
    <w:rsid w:val="002D003C"/>
    <w:rsid w:val="002D08E4"/>
    <w:rsid w:val="002D14AF"/>
    <w:rsid w:val="002D1978"/>
    <w:rsid w:val="002D1A5D"/>
    <w:rsid w:val="002D20B5"/>
    <w:rsid w:val="002D22A2"/>
    <w:rsid w:val="002D24FF"/>
    <w:rsid w:val="002D2AB1"/>
    <w:rsid w:val="002D2BD6"/>
    <w:rsid w:val="002D3129"/>
    <w:rsid w:val="002D3DD0"/>
    <w:rsid w:val="002D3E44"/>
    <w:rsid w:val="002D4129"/>
    <w:rsid w:val="002D5250"/>
    <w:rsid w:val="002D5977"/>
    <w:rsid w:val="002D5C90"/>
    <w:rsid w:val="002D64F9"/>
    <w:rsid w:val="002D68E3"/>
    <w:rsid w:val="002D6DD2"/>
    <w:rsid w:val="002D717E"/>
    <w:rsid w:val="002D723D"/>
    <w:rsid w:val="002D78D9"/>
    <w:rsid w:val="002D7AC9"/>
    <w:rsid w:val="002D7C9A"/>
    <w:rsid w:val="002E08B4"/>
    <w:rsid w:val="002E0E8E"/>
    <w:rsid w:val="002E16AA"/>
    <w:rsid w:val="002E17FD"/>
    <w:rsid w:val="002E1940"/>
    <w:rsid w:val="002E1CD7"/>
    <w:rsid w:val="002E1F0B"/>
    <w:rsid w:val="002E1F3A"/>
    <w:rsid w:val="002E298A"/>
    <w:rsid w:val="002E2C3F"/>
    <w:rsid w:val="002E2DD5"/>
    <w:rsid w:val="002E3473"/>
    <w:rsid w:val="002E390F"/>
    <w:rsid w:val="002E3ADF"/>
    <w:rsid w:val="002E3B17"/>
    <w:rsid w:val="002E40B4"/>
    <w:rsid w:val="002E4251"/>
    <w:rsid w:val="002E4509"/>
    <w:rsid w:val="002E4897"/>
    <w:rsid w:val="002E4AB7"/>
    <w:rsid w:val="002E4CAC"/>
    <w:rsid w:val="002E553D"/>
    <w:rsid w:val="002E59D6"/>
    <w:rsid w:val="002E67E5"/>
    <w:rsid w:val="002E6F9B"/>
    <w:rsid w:val="002E733C"/>
    <w:rsid w:val="002E7C7C"/>
    <w:rsid w:val="002E7C92"/>
    <w:rsid w:val="002E7DAB"/>
    <w:rsid w:val="002F0548"/>
    <w:rsid w:val="002F1048"/>
    <w:rsid w:val="002F1DFB"/>
    <w:rsid w:val="002F1FA7"/>
    <w:rsid w:val="002F20CD"/>
    <w:rsid w:val="002F2499"/>
    <w:rsid w:val="002F35ED"/>
    <w:rsid w:val="002F3768"/>
    <w:rsid w:val="002F3FBC"/>
    <w:rsid w:val="002F413F"/>
    <w:rsid w:val="002F438A"/>
    <w:rsid w:val="002F49A6"/>
    <w:rsid w:val="002F4F6F"/>
    <w:rsid w:val="002F5152"/>
    <w:rsid w:val="002F5537"/>
    <w:rsid w:val="002F605E"/>
    <w:rsid w:val="002F64D6"/>
    <w:rsid w:val="002F6926"/>
    <w:rsid w:val="00300373"/>
    <w:rsid w:val="00300563"/>
    <w:rsid w:val="00300BBE"/>
    <w:rsid w:val="00300DCA"/>
    <w:rsid w:val="0030166A"/>
    <w:rsid w:val="00301824"/>
    <w:rsid w:val="00301939"/>
    <w:rsid w:val="00301978"/>
    <w:rsid w:val="00301C39"/>
    <w:rsid w:val="00301DB7"/>
    <w:rsid w:val="00301FEF"/>
    <w:rsid w:val="00302255"/>
    <w:rsid w:val="003025B8"/>
    <w:rsid w:val="00302AC2"/>
    <w:rsid w:val="00302E2C"/>
    <w:rsid w:val="00302EFE"/>
    <w:rsid w:val="003031E2"/>
    <w:rsid w:val="0030332C"/>
    <w:rsid w:val="003033E9"/>
    <w:rsid w:val="00303F66"/>
    <w:rsid w:val="00304093"/>
    <w:rsid w:val="00304175"/>
    <w:rsid w:val="003043F5"/>
    <w:rsid w:val="0030514F"/>
    <w:rsid w:val="003051C2"/>
    <w:rsid w:val="003056BF"/>
    <w:rsid w:val="00305B4A"/>
    <w:rsid w:val="00305D56"/>
    <w:rsid w:val="00306308"/>
    <w:rsid w:val="00306C20"/>
    <w:rsid w:val="00307442"/>
    <w:rsid w:val="003078CF"/>
    <w:rsid w:val="00307E75"/>
    <w:rsid w:val="00310480"/>
    <w:rsid w:val="00311404"/>
    <w:rsid w:val="003114F5"/>
    <w:rsid w:val="00311C48"/>
    <w:rsid w:val="00311D4A"/>
    <w:rsid w:val="00312296"/>
    <w:rsid w:val="003127D3"/>
    <w:rsid w:val="00313CAC"/>
    <w:rsid w:val="00313CF6"/>
    <w:rsid w:val="00314911"/>
    <w:rsid w:val="00314F0E"/>
    <w:rsid w:val="00315D2E"/>
    <w:rsid w:val="0031685A"/>
    <w:rsid w:val="0031685E"/>
    <w:rsid w:val="003175A5"/>
    <w:rsid w:val="00317757"/>
    <w:rsid w:val="00317D2B"/>
    <w:rsid w:val="00317D41"/>
    <w:rsid w:val="003203E3"/>
    <w:rsid w:val="003208C3"/>
    <w:rsid w:val="0032194E"/>
    <w:rsid w:val="00321968"/>
    <w:rsid w:val="00321C53"/>
    <w:rsid w:val="00321D8E"/>
    <w:rsid w:val="003223FB"/>
    <w:rsid w:val="00322B5B"/>
    <w:rsid w:val="00323055"/>
    <w:rsid w:val="003239B0"/>
    <w:rsid w:val="00323A71"/>
    <w:rsid w:val="00323F3C"/>
    <w:rsid w:val="0032464E"/>
    <w:rsid w:val="00324842"/>
    <w:rsid w:val="00325928"/>
    <w:rsid w:val="00325BFB"/>
    <w:rsid w:val="003260A4"/>
    <w:rsid w:val="00326558"/>
    <w:rsid w:val="0032724A"/>
    <w:rsid w:val="00327476"/>
    <w:rsid w:val="003274A3"/>
    <w:rsid w:val="00327700"/>
    <w:rsid w:val="00327D9C"/>
    <w:rsid w:val="00327F55"/>
    <w:rsid w:val="00327FD3"/>
    <w:rsid w:val="00330012"/>
    <w:rsid w:val="003300CF"/>
    <w:rsid w:val="003305A9"/>
    <w:rsid w:val="0033080B"/>
    <w:rsid w:val="00330945"/>
    <w:rsid w:val="00330E31"/>
    <w:rsid w:val="003317C5"/>
    <w:rsid w:val="003321FF"/>
    <w:rsid w:val="00332863"/>
    <w:rsid w:val="00332F6D"/>
    <w:rsid w:val="00332FA3"/>
    <w:rsid w:val="00333005"/>
    <w:rsid w:val="003337FF"/>
    <w:rsid w:val="00334751"/>
    <w:rsid w:val="00334993"/>
    <w:rsid w:val="00335034"/>
    <w:rsid w:val="0033552D"/>
    <w:rsid w:val="00335BB8"/>
    <w:rsid w:val="0033625D"/>
    <w:rsid w:val="00336262"/>
    <w:rsid w:val="00336398"/>
    <w:rsid w:val="0033684D"/>
    <w:rsid w:val="00336BC4"/>
    <w:rsid w:val="00336D2D"/>
    <w:rsid w:val="003370E7"/>
    <w:rsid w:val="00337841"/>
    <w:rsid w:val="003378EC"/>
    <w:rsid w:val="00337B42"/>
    <w:rsid w:val="00337C02"/>
    <w:rsid w:val="00337C41"/>
    <w:rsid w:val="00340895"/>
    <w:rsid w:val="003408F1"/>
    <w:rsid w:val="003413D2"/>
    <w:rsid w:val="0034150A"/>
    <w:rsid w:val="0034188D"/>
    <w:rsid w:val="00341AC7"/>
    <w:rsid w:val="00341B42"/>
    <w:rsid w:val="00341C51"/>
    <w:rsid w:val="00341E18"/>
    <w:rsid w:val="00341EEB"/>
    <w:rsid w:val="003420A0"/>
    <w:rsid w:val="0034246E"/>
    <w:rsid w:val="0034264F"/>
    <w:rsid w:val="00342666"/>
    <w:rsid w:val="003428C4"/>
    <w:rsid w:val="00342B70"/>
    <w:rsid w:val="00342C62"/>
    <w:rsid w:val="00342C6D"/>
    <w:rsid w:val="00342C78"/>
    <w:rsid w:val="0034348F"/>
    <w:rsid w:val="003435DF"/>
    <w:rsid w:val="00343905"/>
    <w:rsid w:val="00343DBA"/>
    <w:rsid w:val="00343E96"/>
    <w:rsid w:val="00344496"/>
    <w:rsid w:val="0034527D"/>
    <w:rsid w:val="003457B3"/>
    <w:rsid w:val="003469F3"/>
    <w:rsid w:val="0034758B"/>
    <w:rsid w:val="00347BFE"/>
    <w:rsid w:val="00347EB9"/>
    <w:rsid w:val="0035027C"/>
    <w:rsid w:val="0035073C"/>
    <w:rsid w:val="00350D5A"/>
    <w:rsid w:val="00350E26"/>
    <w:rsid w:val="00351706"/>
    <w:rsid w:val="00351C2C"/>
    <w:rsid w:val="00351D3B"/>
    <w:rsid w:val="003520CA"/>
    <w:rsid w:val="00352523"/>
    <w:rsid w:val="003525A4"/>
    <w:rsid w:val="003525CD"/>
    <w:rsid w:val="00352619"/>
    <w:rsid w:val="0035270C"/>
    <w:rsid w:val="00352791"/>
    <w:rsid w:val="00352ADD"/>
    <w:rsid w:val="00353D7A"/>
    <w:rsid w:val="00354B7A"/>
    <w:rsid w:val="00354FEE"/>
    <w:rsid w:val="003556F4"/>
    <w:rsid w:val="00355AA2"/>
    <w:rsid w:val="003562E1"/>
    <w:rsid w:val="00356463"/>
    <w:rsid w:val="00356607"/>
    <w:rsid w:val="00356653"/>
    <w:rsid w:val="003566A0"/>
    <w:rsid w:val="00356976"/>
    <w:rsid w:val="0035716F"/>
    <w:rsid w:val="0035743F"/>
    <w:rsid w:val="0035749D"/>
    <w:rsid w:val="00357BE2"/>
    <w:rsid w:val="00360084"/>
    <w:rsid w:val="00360108"/>
    <w:rsid w:val="00360206"/>
    <w:rsid w:val="003606F9"/>
    <w:rsid w:val="00360BFA"/>
    <w:rsid w:val="00360D61"/>
    <w:rsid w:val="00360D7E"/>
    <w:rsid w:val="00361314"/>
    <w:rsid w:val="003613AE"/>
    <w:rsid w:val="0036170C"/>
    <w:rsid w:val="003619DA"/>
    <w:rsid w:val="00362261"/>
    <w:rsid w:val="003624CA"/>
    <w:rsid w:val="003627EE"/>
    <w:rsid w:val="00362F2E"/>
    <w:rsid w:val="00363749"/>
    <w:rsid w:val="00363B40"/>
    <w:rsid w:val="00363BEA"/>
    <w:rsid w:val="003645B5"/>
    <w:rsid w:val="00364733"/>
    <w:rsid w:val="003648B5"/>
    <w:rsid w:val="00364FDC"/>
    <w:rsid w:val="00365E34"/>
    <w:rsid w:val="003662F0"/>
    <w:rsid w:val="0036669F"/>
    <w:rsid w:val="00366E0F"/>
    <w:rsid w:val="00367019"/>
    <w:rsid w:val="0036727F"/>
    <w:rsid w:val="003673B0"/>
    <w:rsid w:val="00367839"/>
    <w:rsid w:val="00367DA8"/>
    <w:rsid w:val="00367EB5"/>
    <w:rsid w:val="00370992"/>
    <w:rsid w:val="00370DA2"/>
    <w:rsid w:val="003710DF"/>
    <w:rsid w:val="0037172E"/>
    <w:rsid w:val="003719CF"/>
    <w:rsid w:val="00371A3E"/>
    <w:rsid w:val="003721A4"/>
    <w:rsid w:val="00372345"/>
    <w:rsid w:val="00372814"/>
    <w:rsid w:val="00372ABB"/>
    <w:rsid w:val="00372B42"/>
    <w:rsid w:val="00372B81"/>
    <w:rsid w:val="00372D5A"/>
    <w:rsid w:val="00372FDC"/>
    <w:rsid w:val="0037330A"/>
    <w:rsid w:val="00373487"/>
    <w:rsid w:val="003735EC"/>
    <w:rsid w:val="00374AC9"/>
    <w:rsid w:val="00374C9C"/>
    <w:rsid w:val="00374F41"/>
    <w:rsid w:val="003754BA"/>
    <w:rsid w:val="00376B5B"/>
    <w:rsid w:val="003771DD"/>
    <w:rsid w:val="003774EA"/>
    <w:rsid w:val="0038002F"/>
    <w:rsid w:val="003802D8"/>
    <w:rsid w:val="0038124C"/>
    <w:rsid w:val="00381931"/>
    <w:rsid w:val="00381A72"/>
    <w:rsid w:val="00382268"/>
    <w:rsid w:val="00382392"/>
    <w:rsid w:val="00382483"/>
    <w:rsid w:val="0038286F"/>
    <w:rsid w:val="003831AC"/>
    <w:rsid w:val="003835E8"/>
    <w:rsid w:val="003838BA"/>
    <w:rsid w:val="00383D9D"/>
    <w:rsid w:val="00384676"/>
    <w:rsid w:val="003848F4"/>
    <w:rsid w:val="00384ACD"/>
    <w:rsid w:val="00384BE9"/>
    <w:rsid w:val="00385005"/>
    <w:rsid w:val="00385447"/>
    <w:rsid w:val="0038572E"/>
    <w:rsid w:val="00385BEA"/>
    <w:rsid w:val="00386234"/>
    <w:rsid w:val="00386781"/>
    <w:rsid w:val="00386AA1"/>
    <w:rsid w:val="00386B81"/>
    <w:rsid w:val="00386C1F"/>
    <w:rsid w:val="00387056"/>
    <w:rsid w:val="0038779E"/>
    <w:rsid w:val="00390309"/>
    <w:rsid w:val="00390857"/>
    <w:rsid w:val="00391212"/>
    <w:rsid w:val="00391C15"/>
    <w:rsid w:val="00393B9C"/>
    <w:rsid w:val="003947B8"/>
    <w:rsid w:val="00396272"/>
    <w:rsid w:val="003962B5"/>
    <w:rsid w:val="003964CC"/>
    <w:rsid w:val="00397461"/>
    <w:rsid w:val="003977E8"/>
    <w:rsid w:val="00397887"/>
    <w:rsid w:val="003978BE"/>
    <w:rsid w:val="00397B96"/>
    <w:rsid w:val="003A0605"/>
    <w:rsid w:val="003A1E29"/>
    <w:rsid w:val="003A2E36"/>
    <w:rsid w:val="003A35A5"/>
    <w:rsid w:val="003A3B18"/>
    <w:rsid w:val="003A3CA2"/>
    <w:rsid w:val="003A4332"/>
    <w:rsid w:val="003A47C9"/>
    <w:rsid w:val="003A4BF3"/>
    <w:rsid w:val="003A57B6"/>
    <w:rsid w:val="003A5F00"/>
    <w:rsid w:val="003A6004"/>
    <w:rsid w:val="003A6278"/>
    <w:rsid w:val="003A6E09"/>
    <w:rsid w:val="003A7F66"/>
    <w:rsid w:val="003B0822"/>
    <w:rsid w:val="003B0D41"/>
    <w:rsid w:val="003B1028"/>
    <w:rsid w:val="003B1485"/>
    <w:rsid w:val="003B1486"/>
    <w:rsid w:val="003B1DA0"/>
    <w:rsid w:val="003B1F65"/>
    <w:rsid w:val="003B214A"/>
    <w:rsid w:val="003B2369"/>
    <w:rsid w:val="003B2D4A"/>
    <w:rsid w:val="003B34F8"/>
    <w:rsid w:val="003B3EC6"/>
    <w:rsid w:val="003B406F"/>
    <w:rsid w:val="003B420D"/>
    <w:rsid w:val="003B4A10"/>
    <w:rsid w:val="003B4EA0"/>
    <w:rsid w:val="003B58F5"/>
    <w:rsid w:val="003B608D"/>
    <w:rsid w:val="003B6518"/>
    <w:rsid w:val="003B6A87"/>
    <w:rsid w:val="003B74BF"/>
    <w:rsid w:val="003B7B48"/>
    <w:rsid w:val="003B7C7F"/>
    <w:rsid w:val="003C08D2"/>
    <w:rsid w:val="003C10FA"/>
    <w:rsid w:val="003C151A"/>
    <w:rsid w:val="003C1763"/>
    <w:rsid w:val="003C2A1A"/>
    <w:rsid w:val="003C2B0E"/>
    <w:rsid w:val="003C2FA3"/>
    <w:rsid w:val="003C3653"/>
    <w:rsid w:val="003C4144"/>
    <w:rsid w:val="003C4F63"/>
    <w:rsid w:val="003C4F68"/>
    <w:rsid w:val="003C51E9"/>
    <w:rsid w:val="003C57FA"/>
    <w:rsid w:val="003C5921"/>
    <w:rsid w:val="003C5931"/>
    <w:rsid w:val="003C593B"/>
    <w:rsid w:val="003C5C6F"/>
    <w:rsid w:val="003C6654"/>
    <w:rsid w:val="003C6852"/>
    <w:rsid w:val="003C6C16"/>
    <w:rsid w:val="003C6C85"/>
    <w:rsid w:val="003C6CB7"/>
    <w:rsid w:val="003C6E32"/>
    <w:rsid w:val="003C7075"/>
    <w:rsid w:val="003C756F"/>
    <w:rsid w:val="003D08EC"/>
    <w:rsid w:val="003D145B"/>
    <w:rsid w:val="003D15BB"/>
    <w:rsid w:val="003D1B22"/>
    <w:rsid w:val="003D214A"/>
    <w:rsid w:val="003D21B7"/>
    <w:rsid w:val="003D2425"/>
    <w:rsid w:val="003D2505"/>
    <w:rsid w:val="003D2818"/>
    <w:rsid w:val="003D2E1F"/>
    <w:rsid w:val="003D2FB7"/>
    <w:rsid w:val="003D35D7"/>
    <w:rsid w:val="003D407E"/>
    <w:rsid w:val="003D4998"/>
    <w:rsid w:val="003D4D8A"/>
    <w:rsid w:val="003D4DCB"/>
    <w:rsid w:val="003D5095"/>
    <w:rsid w:val="003D51BA"/>
    <w:rsid w:val="003D53D3"/>
    <w:rsid w:val="003D5662"/>
    <w:rsid w:val="003D592C"/>
    <w:rsid w:val="003D5CB0"/>
    <w:rsid w:val="003D6144"/>
    <w:rsid w:val="003D6A8C"/>
    <w:rsid w:val="003D7117"/>
    <w:rsid w:val="003D739F"/>
    <w:rsid w:val="003D73C9"/>
    <w:rsid w:val="003D794D"/>
    <w:rsid w:val="003D7BBB"/>
    <w:rsid w:val="003D7D40"/>
    <w:rsid w:val="003D7FE0"/>
    <w:rsid w:val="003E0157"/>
    <w:rsid w:val="003E0734"/>
    <w:rsid w:val="003E1097"/>
    <w:rsid w:val="003E19DD"/>
    <w:rsid w:val="003E22A9"/>
    <w:rsid w:val="003E243F"/>
    <w:rsid w:val="003E3058"/>
    <w:rsid w:val="003E312B"/>
    <w:rsid w:val="003E34DF"/>
    <w:rsid w:val="003E39F8"/>
    <w:rsid w:val="003E4443"/>
    <w:rsid w:val="003E4AC6"/>
    <w:rsid w:val="003E6B4F"/>
    <w:rsid w:val="003E6C8F"/>
    <w:rsid w:val="003E6F80"/>
    <w:rsid w:val="003E71CC"/>
    <w:rsid w:val="003E7673"/>
    <w:rsid w:val="003E76A9"/>
    <w:rsid w:val="003E79E4"/>
    <w:rsid w:val="003E7C03"/>
    <w:rsid w:val="003F017C"/>
    <w:rsid w:val="003F02D2"/>
    <w:rsid w:val="003F0809"/>
    <w:rsid w:val="003F1064"/>
    <w:rsid w:val="003F1468"/>
    <w:rsid w:val="003F1798"/>
    <w:rsid w:val="003F211D"/>
    <w:rsid w:val="003F218E"/>
    <w:rsid w:val="003F23F5"/>
    <w:rsid w:val="003F256D"/>
    <w:rsid w:val="003F2948"/>
    <w:rsid w:val="003F2B83"/>
    <w:rsid w:val="003F34BB"/>
    <w:rsid w:val="003F3E3E"/>
    <w:rsid w:val="003F3E5C"/>
    <w:rsid w:val="003F4448"/>
    <w:rsid w:val="003F479B"/>
    <w:rsid w:val="003F47F6"/>
    <w:rsid w:val="003F50BC"/>
    <w:rsid w:val="003F50C6"/>
    <w:rsid w:val="003F51FD"/>
    <w:rsid w:val="003F5FA7"/>
    <w:rsid w:val="003F6A8C"/>
    <w:rsid w:val="003F6E92"/>
    <w:rsid w:val="003F7189"/>
    <w:rsid w:val="003F755C"/>
    <w:rsid w:val="003F7DAC"/>
    <w:rsid w:val="00400317"/>
    <w:rsid w:val="00400C87"/>
    <w:rsid w:val="00400EBA"/>
    <w:rsid w:val="00401257"/>
    <w:rsid w:val="00401436"/>
    <w:rsid w:val="004015B4"/>
    <w:rsid w:val="00401B89"/>
    <w:rsid w:val="00402772"/>
    <w:rsid w:val="004030D6"/>
    <w:rsid w:val="004032D3"/>
    <w:rsid w:val="004033B4"/>
    <w:rsid w:val="004036B3"/>
    <w:rsid w:val="0040380C"/>
    <w:rsid w:val="0040390F"/>
    <w:rsid w:val="00404AF8"/>
    <w:rsid w:val="00405894"/>
    <w:rsid w:val="00405FA1"/>
    <w:rsid w:val="004063CE"/>
    <w:rsid w:val="004065D9"/>
    <w:rsid w:val="00406658"/>
    <w:rsid w:val="004067FD"/>
    <w:rsid w:val="00406DCD"/>
    <w:rsid w:val="00406F01"/>
    <w:rsid w:val="0040700C"/>
    <w:rsid w:val="004071F3"/>
    <w:rsid w:val="004073F4"/>
    <w:rsid w:val="004075C2"/>
    <w:rsid w:val="00407B36"/>
    <w:rsid w:val="00407F33"/>
    <w:rsid w:val="0041088D"/>
    <w:rsid w:val="004117CD"/>
    <w:rsid w:val="00411DA2"/>
    <w:rsid w:val="004121BA"/>
    <w:rsid w:val="00413269"/>
    <w:rsid w:val="00413706"/>
    <w:rsid w:val="00413786"/>
    <w:rsid w:val="00413BAB"/>
    <w:rsid w:val="00413C10"/>
    <w:rsid w:val="00414002"/>
    <w:rsid w:val="004144A3"/>
    <w:rsid w:val="00414CCC"/>
    <w:rsid w:val="004154C7"/>
    <w:rsid w:val="004157F4"/>
    <w:rsid w:val="00415BB4"/>
    <w:rsid w:val="00416505"/>
    <w:rsid w:val="004169BB"/>
    <w:rsid w:val="00416D50"/>
    <w:rsid w:val="00416F71"/>
    <w:rsid w:val="00416FD5"/>
    <w:rsid w:val="0041720B"/>
    <w:rsid w:val="004172A0"/>
    <w:rsid w:val="004172A5"/>
    <w:rsid w:val="004172DC"/>
    <w:rsid w:val="00417772"/>
    <w:rsid w:val="00417C65"/>
    <w:rsid w:val="004202F0"/>
    <w:rsid w:val="00420756"/>
    <w:rsid w:val="00420A45"/>
    <w:rsid w:val="00420AC3"/>
    <w:rsid w:val="00420E6A"/>
    <w:rsid w:val="00420FE5"/>
    <w:rsid w:val="00421561"/>
    <w:rsid w:val="0042176B"/>
    <w:rsid w:val="004217AB"/>
    <w:rsid w:val="00421AE5"/>
    <w:rsid w:val="00421F95"/>
    <w:rsid w:val="00422222"/>
    <w:rsid w:val="004224A1"/>
    <w:rsid w:val="00422949"/>
    <w:rsid w:val="00422D48"/>
    <w:rsid w:val="00423035"/>
    <w:rsid w:val="00423B2A"/>
    <w:rsid w:val="00423B30"/>
    <w:rsid w:val="00423BCB"/>
    <w:rsid w:val="00423E2B"/>
    <w:rsid w:val="004243D5"/>
    <w:rsid w:val="0042460F"/>
    <w:rsid w:val="00424611"/>
    <w:rsid w:val="00424E99"/>
    <w:rsid w:val="00424F16"/>
    <w:rsid w:val="004250E3"/>
    <w:rsid w:val="0042579D"/>
    <w:rsid w:val="00425A9E"/>
    <w:rsid w:val="00425D56"/>
    <w:rsid w:val="00425EAF"/>
    <w:rsid w:val="0042621E"/>
    <w:rsid w:val="004265A1"/>
    <w:rsid w:val="00426AD6"/>
    <w:rsid w:val="00426D6B"/>
    <w:rsid w:val="004272F7"/>
    <w:rsid w:val="004276B9"/>
    <w:rsid w:val="00430254"/>
    <w:rsid w:val="0043049A"/>
    <w:rsid w:val="00430769"/>
    <w:rsid w:val="00430887"/>
    <w:rsid w:val="00430A41"/>
    <w:rsid w:val="00430B71"/>
    <w:rsid w:val="00430C77"/>
    <w:rsid w:val="00430F6F"/>
    <w:rsid w:val="004310C0"/>
    <w:rsid w:val="004310D1"/>
    <w:rsid w:val="00431E46"/>
    <w:rsid w:val="00431E6C"/>
    <w:rsid w:val="00431FB2"/>
    <w:rsid w:val="004321B9"/>
    <w:rsid w:val="0043232C"/>
    <w:rsid w:val="00432C41"/>
    <w:rsid w:val="00432E5B"/>
    <w:rsid w:val="00433401"/>
    <w:rsid w:val="004336D7"/>
    <w:rsid w:val="00433911"/>
    <w:rsid w:val="00433CE7"/>
    <w:rsid w:val="00434D2B"/>
    <w:rsid w:val="00435377"/>
    <w:rsid w:val="00435FE1"/>
    <w:rsid w:val="0043611F"/>
    <w:rsid w:val="004362A7"/>
    <w:rsid w:val="00436563"/>
    <w:rsid w:val="004374C7"/>
    <w:rsid w:val="00437548"/>
    <w:rsid w:val="00437916"/>
    <w:rsid w:val="00437FF4"/>
    <w:rsid w:val="004404F3"/>
    <w:rsid w:val="00440914"/>
    <w:rsid w:val="00440FC1"/>
    <w:rsid w:val="0044111C"/>
    <w:rsid w:val="0044113C"/>
    <w:rsid w:val="00441583"/>
    <w:rsid w:val="0044167D"/>
    <w:rsid w:val="00441CBD"/>
    <w:rsid w:val="00441E2A"/>
    <w:rsid w:val="00441E63"/>
    <w:rsid w:val="00441EF2"/>
    <w:rsid w:val="0044213C"/>
    <w:rsid w:val="004426DD"/>
    <w:rsid w:val="00442A6F"/>
    <w:rsid w:val="004433B2"/>
    <w:rsid w:val="0044367E"/>
    <w:rsid w:val="00444673"/>
    <w:rsid w:val="0044479C"/>
    <w:rsid w:val="00444A7F"/>
    <w:rsid w:val="00445655"/>
    <w:rsid w:val="0044589B"/>
    <w:rsid w:val="004458CC"/>
    <w:rsid w:val="00446D22"/>
    <w:rsid w:val="00447151"/>
    <w:rsid w:val="00447246"/>
    <w:rsid w:val="00447B51"/>
    <w:rsid w:val="00450644"/>
    <w:rsid w:val="004506DC"/>
    <w:rsid w:val="00450CB9"/>
    <w:rsid w:val="004525D2"/>
    <w:rsid w:val="00452738"/>
    <w:rsid w:val="00452DEB"/>
    <w:rsid w:val="00453284"/>
    <w:rsid w:val="0045379B"/>
    <w:rsid w:val="00453E7E"/>
    <w:rsid w:val="004542A3"/>
    <w:rsid w:val="0045469F"/>
    <w:rsid w:val="00454C8A"/>
    <w:rsid w:val="00454E7F"/>
    <w:rsid w:val="00455823"/>
    <w:rsid w:val="00455E20"/>
    <w:rsid w:val="00456091"/>
    <w:rsid w:val="0045670A"/>
    <w:rsid w:val="004567E4"/>
    <w:rsid w:val="00456BB2"/>
    <w:rsid w:val="00456BFF"/>
    <w:rsid w:val="00456D50"/>
    <w:rsid w:val="004570A3"/>
    <w:rsid w:val="004576B1"/>
    <w:rsid w:val="004578BB"/>
    <w:rsid w:val="0045797E"/>
    <w:rsid w:val="00457B4B"/>
    <w:rsid w:val="004602E8"/>
    <w:rsid w:val="00460375"/>
    <w:rsid w:val="00460387"/>
    <w:rsid w:val="00460F20"/>
    <w:rsid w:val="004611B5"/>
    <w:rsid w:val="004618F7"/>
    <w:rsid w:val="00461A05"/>
    <w:rsid w:val="00461BD7"/>
    <w:rsid w:val="00461CDC"/>
    <w:rsid w:val="0046237D"/>
    <w:rsid w:val="004625CD"/>
    <w:rsid w:val="00462694"/>
    <w:rsid w:val="00463307"/>
    <w:rsid w:val="004635BA"/>
    <w:rsid w:val="00464A9F"/>
    <w:rsid w:val="00464BE1"/>
    <w:rsid w:val="0046512A"/>
    <w:rsid w:val="004657EC"/>
    <w:rsid w:val="00465E2A"/>
    <w:rsid w:val="004661D1"/>
    <w:rsid w:val="00466321"/>
    <w:rsid w:val="00466925"/>
    <w:rsid w:val="00467319"/>
    <w:rsid w:val="00470DAB"/>
    <w:rsid w:val="00470E42"/>
    <w:rsid w:val="00471AC5"/>
    <w:rsid w:val="004721BF"/>
    <w:rsid w:val="004726C8"/>
    <w:rsid w:val="004728BD"/>
    <w:rsid w:val="00472B95"/>
    <w:rsid w:val="0047385D"/>
    <w:rsid w:val="004738A4"/>
    <w:rsid w:val="00473A4C"/>
    <w:rsid w:val="00473BCD"/>
    <w:rsid w:val="00473E87"/>
    <w:rsid w:val="00473F43"/>
    <w:rsid w:val="00474247"/>
    <w:rsid w:val="00474B14"/>
    <w:rsid w:val="00475DAC"/>
    <w:rsid w:val="00475E20"/>
    <w:rsid w:val="004760E6"/>
    <w:rsid w:val="00476127"/>
    <w:rsid w:val="00476193"/>
    <w:rsid w:val="0047621F"/>
    <w:rsid w:val="0047623F"/>
    <w:rsid w:val="00477006"/>
    <w:rsid w:val="0047750A"/>
    <w:rsid w:val="0047755E"/>
    <w:rsid w:val="0047786C"/>
    <w:rsid w:val="00480214"/>
    <w:rsid w:val="004806CD"/>
    <w:rsid w:val="0048081D"/>
    <w:rsid w:val="00480C00"/>
    <w:rsid w:val="004817D8"/>
    <w:rsid w:val="00481C80"/>
    <w:rsid w:val="00481E47"/>
    <w:rsid w:val="00482364"/>
    <w:rsid w:val="004825C4"/>
    <w:rsid w:val="00482919"/>
    <w:rsid w:val="00482C4A"/>
    <w:rsid w:val="0048351C"/>
    <w:rsid w:val="004837B8"/>
    <w:rsid w:val="004839FB"/>
    <w:rsid w:val="00483E66"/>
    <w:rsid w:val="00483F42"/>
    <w:rsid w:val="00483F4A"/>
    <w:rsid w:val="00484691"/>
    <w:rsid w:val="00484B9B"/>
    <w:rsid w:val="00485008"/>
    <w:rsid w:val="004851FF"/>
    <w:rsid w:val="004855F6"/>
    <w:rsid w:val="00485B88"/>
    <w:rsid w:val="00485EFF"/>
    <w:rsid w:val="004860DE"/>
    <w:rsid w:val="00486228"/>
    <w:rsid w:val="004865DD"/>
    <w:rsid w:val="0048661E"/>
    <w:rsid w:val="00486F95"/>
    <w:rsid w:val="0048727D"/>
    <w:rsid w:val="00487577"/>
    <w:rsid w:val="0049045E"/>
    <w:rsid w:val="00490710"/>
    <w:rsid w:val="004909F7"/>
    <w:rsid w:val="0049143C"/>
    <w:rsid w:val="004915E4"/>
    <w:rsid w:val="004916AA"/>
    <w:rsid w:val="004916CC"/>
    <w:rsid w:val="0049203C"/>
    <w:rsid w:val="0049239D"/>
    <w:rsid w:val="00492624"/>
    <w:rsid w:val="00492AE2"/>
    <w:rsid w:val="00492B03"/>
    <w:rsid w:val="00492E3C"/>
    <w:rsid w:val="00492EF0"/>
    <w:rsid w:val="0049356B"/>
    <w:rsid w:val="004935AC"/>
    <w:rsid w:val="00493A45"/>
    <w:rsid w:val="00493C1A"/>
    <w:rsid w:val="00493F45"/>
    <w:rsid w:val="0049439C"/>
    <w:rsid w:val="00494670"/>
    <w:rsid w:val="00495365"/>
    <w:rsid w:val="004958B0"/>
    <w:rsid w:val="00496107"/>
    <w:rsid w:val="00496309"/>
    <w:rsid w:val="00496457"/>
    <w:rsid w:val="00496685"/>
    <w:rsid w:val="004968B9"/>
    <w:rsid w:val="00497434"/>
    <w:rsid w:val="0049759C"/>
    <w:rsid w:val="00497AB4"/>
    <w:rsid w:val="004A0230"/>
    <w:rsid w:val="004A0562"/>
    <w:rsid w:val="004A0DB7"/>
    <w:rsid w:val="004A10AD"/>
    <w:rsid w:val="004A1F7A"/>
    <w:rsid w:val="004A246D"/>
    <w:rsid w:val="004A2559"/>
    <w:rsid w:val="004A318D"/>
    <w:rsid w:val="004A3465"/>
    <w:rsid w:val="004A37C8"/>
    <w:rsid w:val="004A3823"/>
    <w:rsid w:val="004A3C13"/>
    <w:rsid w:val="004A3EB4"/>
    <w:rsid w:val="004A49F9"/>
    <w:rsid w:val="004A503E"/>
    <w:rsid w:val="004A52EB"/>
    <w:rsid w:val="004A53F2"/>
    <w:rsid w:val="004A5655"/>
    <w:rsid w:val="004A5DA1"/>
    <w:rsid w:val="004A64F5"/>
    <w:rsid w:val="004A69EF"/>
    <w:rsid w:val="004A7EAE"/>
    <w:rsid w:val="004B138D"/>
    <w:rsid w:val="004B179E"/>
    <w:rsid w:val="004B19C6"/>
    <w:rsid w:val="004B19FB"/>
    <w:rsid w:val="004B1BC0"/>
    <w:rsid w:val="004B1C02"/>
    <w:rsid w:val="004B212D"/>
    <w:rsid w:val="004B2C2C"/>
    <w:rsid w:val="004B301C"/>
    <w:rsid w:val="004B353D"/>
    <w:rsid w:val="004B3CCE"/>
    <w:rsid w:val="004B3EA0"/>
    <w:rsid w:val="004B427D"/>
    <w:rsid w:val="004B4B26"/>
    <w:rsid w:val="004B4DB2"/>
    <w:rsid w:val="004B5483"/>
    <w:rsid w:val="004B681B"/>
    <w:rsid w:val="004B6BC9"/>
    <w:rsid w:val="004B6C9A"/>
    <w:rsid w:val="004B6ECD"/>
    <w:rsid w:val="004B70BF"/>
    <w:rsid w:val="004B783F"/>
    <w:rsid w:val="004B7B2D"/>
    <w:rsid w:val="004C0357"/>
    <w:rsid w:val="004C0F1F"/>
    <w:rsid w:val="004C16C4"/>
    <w:rsid w:val="004C199B"/>
    <w:rsid w:val="004C20AC"/>
    <w:rsid w:val="004C239E"/>
    <w:rsid w:val="004C2570"/>
    <w:rsid w:val="004C2E20"/>
    <w:rsid w:val="004C361F"/>
    <w:rsid w:val="004C455D"/>
    <w:rsid w:val="004C5712"/>
    <w:rsid w:val="004C5965"/>
    <w:rsid w:val="004C5981"/>
    <w:rsid w:val="004C5ADC"/>
    <w:rsid w:val="004C5BBC"/>
    <w:rsid w:val="004C623A"/>
    <w:rsid w:val="004C6CDC"/>
    <w:rsid w:val="004C7158"/>
    <w:rsid w:val="004C73E7"/>
    <w:rsid w:val="004C772A"/>
    <w:rsid w:val="004C7F34"/>
    <w:rsid w:val="004D008F"/>
    <w:rsid w:val="004D06A9"/>
    <w:rsid w:val="004D15B3"/>
    <w:rsid w:val="004D167E"/>
    <w:rsid w:val="004D18B6"/>
    <w:rsid w:val="004D23B0"/>
    <w:rsid w:val="004D2B6D"/>
    <w:rsid w:val="004D35A1"/>
    <w:rsid w:val="004D3811"/>
    <w:rsid w:val="004D38DF"/>
    <w:rsid w:val="004D3A84"/>
    <w:rsid w:val="004D3E31"/>
    <w:rsid w:val="004D4150"/>
    <w:rsid w:val="004D458B"/>
    <w:rsid w:val="004D4634"/>
    <w:rsid w:val="004D4755"/>
    <w:rsid w:val="004D5525"/>
    <w:rsid w:val="004D5F47"/>
    <w:rsid w:val="004D5FC1"/>
    <w:rsid w:val="004D6604"/>
    <w:rsid w:val="004D6C37"/>
    <w:rsid w:val="004D6D3F"/>
    <w:rsid w:val="004D7019"/>
    <w:rsid w:val="004D716B"/>
    <w:rsid w:val="004D77B2"/>
    <w:rsid w:val="004D7B68"/>
    <w:rsid w:val="004E0172"/>
    <w:rsid w:val="004E090A"/>
    <w:rsid w:val="004E10C6"/>
    <w:rsid w:val="004E192C"/>
    <w:rsid w:val="004E1A46"/>
    <w:rsid w:val="004E2647"/>
    <w:rsid w:val="004E26BD"/>
    <w:rsid w:val="004E278F"/>
    <w:rsid w:val="004E2C80"/>
    <w:rsid w:val="004E3004"/>
    <w:rsid w:val="004E35E3"/>
    <w:rsid w:val="004E382C"/>
    <w:rsid w:val="004E3B99"/>
    <w:rsid w:val="004E3C36"/>
    <w:rsid w:val="004E4F01"/>
    <w:rsid w:val="004E5114"/>
    <w:rsid w:val="004E58A0"/>
    <w:rsid w:val="004E5B49"/>
    <w:rsid w:val="004E6356"/>
    <w:rsid w:val="004E6946"/>
    <w:rsid w:val="004E70F7"/>
    <w:rsid w:val="004E75A5"/>
    <w:rsid w:val="004E75DA"/>
    <w:rsid w:val="004E767F"/>
    <w:rsid w:val="004E793B"/>
    <w:rsid w:val="004F1A88"/>
    <w:rsid w:val="004F1AD8"/>
    <w:rsid w:val="004F1CAA"/>
    <w:rsid w:val="004F1E6D"/>
    <w:rsid w:val="004F2EA6"/>
    <w:rsid w:val="004F30CC"/>
    <w:rsid w:val="004F332E"/>
    <w:rsid w:val="004F3A49"/>
    <w:rsid w:val="004F3AC0"/>
    <w:rsid w:val="004F3B42"/>
    <w:rsid w:val="004F420C"/>
    <w:rsid w:val="004F43B5"/>
    <w:rsid w:val="004F4E87"/>
    <w:rsid w:val="004F6F85"/>
    <w:rsid w:val="004F72BD"/>
    <w:rsid w:val="004F760F"/>
    <w:rsid w:val="005011A8"/>
    <w:rsid w:val="005015EB"/>
    <w:rsid w:val="00501E09"/>
    <w:rsid w:val="005023DE"/>
    <w:rsid w:val="00502E1C"/>
    <w:rsid w:val="00503605"/>
    <w:rsid w:val="005039CB"/>
    <w:rsid w:val="005039D4"/>
    <w:rsid w:val="00503D25"/>
    <w:rsid w:val="00503E32"/>
    <w:rsid w:val="00503FB8"/>
    <w:rsid w:val="00504417"/>
    <w:rsid w:val="00504A42"/>
    <w:rsid w:val="00504B6E"/>
    <w:rsid w:val="00504D39"/>
    <w:rsid w:val="00505012"/>
    <w:rsid w:val="00505379"/>
    <w:rsid w:val="0050558F"/>
    <w:rsid w:val="00505E78"/>
    <w:rsid w:val="0050612C"/>
    <w:rsid w:val="00506286"/>
    <w:rsid w:val="005073FB"/>
    <w:rsid w:val="00507E02"/>
    <w:rsid w:val="005100DC"/>
    <w:rsid w:val="005104C0"/>
    <w:rsid w:val="005104E6"/>
    <w:rsid w:val="00510813"/>
    <w:rsid w:val="00510AB1"/>
    <w:rsid w:val="00510EC3"/>
    <w:rsid w:val="0051149C"/>
    <w:rsid w:val="00511990"/>
    <w:rsid w:val="00511C89"/>
    <w:rsid w:val="00511DE0"/>
    <w:rsid w:val="0051206A"/>
    <w:rsid w:val="00512390"/>
    <w:rsid w:val="00512DC7"/>
    <w:rsid w:val="005134A0"/>
    <w:rsid w:val="00513648"/>
    <w:rsid w:val="0051386C"/>
    <w:rsid w:val="005146A3"/>
    <w:rsid w:val="005146F7"/>
    <w:rsid w:val="00514870"/>
    <w:rsid w:val="00514AFA"/>
    <w:rsid w:val="00514B9B"/>
    <w:rsid w:val="00514D3A"/>
    <w:rsid w:val="00514D73"/>
    <w:rsid w:val="00514FB4"/>
    <w:rsid w:val="005151E9"/>
    <w:rsid w:val="0051528E"/>
    <w:rsid w:val="00516B0F"/>
    <w:rsid w:val="00517025"/>
    <w:rsid w:val="00517D8B"/>
    <w:rsid w:val="00517F02"/>
    <w:rsid w:val="00520095"/>
    <w:rsid w:val="005201F8"/>
    <w:rsid w:val="00520761"/>
    <w:rsid w:val="005208E7"/>
    <w:rsid w:val="00520918"/>
    <w:rsid w:val="00520BE1"/>
    <w:rsid w:val="00520E72"/>
    <w:rsid w:val="005211E9"/>
    <w:rsid w:val="00521E0E"/>
    <w:rsid w:val="00522AFB"/>
    <w:rsid w:val="00522DD8"/>
    <w:rsid w:val="00524303"/>
    <w:rsid w:val="00524363"/>
    <w:rsid w:val="00524A26"/>
    <w:rsid w:val="00524F2A"/>
    <w:rsid w:val="00525029"/>
    <w:rsid w:val="00525622"/>
    <w:rsid w:val="005257C8"/>
    <w:rsid w:val="005258A2"/>
    <w:rsid w:val="00525A20"/>
    <w:rsid w:val="00525BEA"/>
    <w:rsid w:val="00526E36"/>
    <w:rsid w:val="005272A4"/>
    <w:rsid w:val="00527329"/>
    <w:rsid w:val="00527D3A"/>
    <w:rsid w:val="00530786"/>
    <w:rsid w:val="0053084D"/>
    <w:rsid w:val="00530B4E"/>
    <w:rsid w:val="00530E08"/>
    <w:rsid w:val="00530FE4"/>
    <w:rsid w:val="005312EC"/>
    <w:rsid w:val="005314F9"/>
    <w:rsid w:val="0053161A"/>
    <w:rsid w:val="00531760"/>
    <w:rsid w:val="00531809"/>
    <w:rsid w:val="00531824"/>
    <w:rsid w:val="00531901"/>
    <w:rsid w:val="00531E35"/>
    <w:rsid w:val="00531EF3"/>
    <w:rsid w:val="00532095"/>
    <w:rsid w:val="0053362D"/>
    <w:rsid w:val="00533648"/>
    <w:rsid w:val="00533709"/>
    <w:rsid w:val="00533D01"/>
    <w:rsid w:val="00534584"/>
    <w:rsid w:val="005352AD"/>
    <w:rsid w:val="005356FE"/>
    <w:rsid w:val="00535BE8"/>
    <w:rsid w:val="00536171"/>
    <w:rsid w:val="0053618F"/>
    <w:rsid w:val="005361A3"/>
    <w:rsid w:val="00536B76"/>
    <w:rsid w:val="00536EF7"/>
    <w:rsid w:val="0053793A"/>
    <w:rsid w:val="00537A8F"/>
    <w:rsid w:val="00537D99"/>
    <w:rsid w:val="00537EC1"/>
    <w:rsid w:val="00537FD8"/>
    <w:rsid w:val="005401AE"/>
    <w:rsid w:val="0054020A"/>
    <w:rsid w:val="0054033F"/>
    <w:rsid w:val="00540469"/>
    <w:rsid w:val="005404C2"/>
    <w:rsid w:val="005404FB"/>
    <w:rsid w:val="00540584"/>
    <w:rsid w:val="00540C13"/>
    <w:rsid w:val="005410FE"/>
    <w:rsid w:val="005411E3"/>
    <w:rsid w:val="00541480"/>
    <w:rsid w:val="00541964"/>
    <w:rsid w:val="00541970"/>
    <w:rsid w:val="00542E07"/>
    <w:rsid w:val="00543E8A"/>
    <w:rsid w:val="00544087"/>
    <w:rsid w:val="005446D6"/>
    <w:rsid w:val="00544830"/>
    <w:rsid w:val="005449AD"/>
    <w:rsid w:val="00545424"/>
    <w:rsid w:val="00545696"/>
    <w:rsid w:val="00545E96"/>
    <w:rsid w:val="005466F2"/>
    <w:rsid w:val="00546ACA"/>
    <w:rsid w:val="00546CD2"/>
    <w:rsid w:val="005475B7"/>
    <w:rsid w:val="005475C5"/>
    <w:rsid w:val="005477F7"/>
    <w:rsid w:val="0055073F"/>
    <w:rsid w:val="005509A5"/>
    <w:rsid w:val="00550D8A"/>
    <w:rsid w:val="00550DDD"/>
    <w:rsid w:val="00550F31"/>
    <w:rsid w:val="00550FD8"/>
    <w:rsid w:val="00551235"/>
    <w:rsid w:val="0055181C"/>
    <w:rsid w:val="00551A77"/>
    <w:rsid w:val="00552BAA"/>
    <w:rsid w:val="00552EF0"/>
    <w:rsid w:val="005531F0"/>
    <w:rsid w:val="00553690"/>
    <w:rsid w:val="00553C3A"/>
    <w:rsid w:val="005541E3"/>
    <w:rsid w:val="0055422C"/>
    <w:rsid w:val="0055434A"/>
    <w:rsid w:val="005543CC"/>
    <w:rsid w:val="00554902"/>
    <w:rsid w:val="005549C7"/>
    <w:rsid w:val="00554A7B"/>
    <w:rsid w:val="00555206"/>
    <w:rsid w:val="0055572C"/>
    <w:rsid w:val="005559B7"/>
    <w:rsid w:val="00555CAD"/>
    <w:rsid w:val="00555DDC"/>
    <w:rsid w:val="00556361"/>
    <w:rsid w:val="00557768"/>
    <w:rsid w:val="00557BEE"/>
    <w:rsid w:val="00560189"/>
    <w:rsid w:val="00560971"/>
    <w:rsid w:val="00560D51"/>
    <w:rsid w:val="00561012"/>
    <w:rsid w:val="0056106A"/>
    <w:rsid w:val="00561924"/>
    <w:rsid w:val="00561C90"/>
    <w:rsid w:val="0056311B"/>
    <w:rsid w:val="00563DA4"/>
    <w:rsid w:val="00564504"/>
    <w:rsid w:val="0056512C"/>
    <w:rsid w:val="0056579F"/>
    <w:rsid w:val="00565862"/>
    <w:rsid w:val="00565EB9"/>
    <w:rsid w:val="00566B0A"/>
    <w:rsid w:val="005670C9"/>
    <w:rsid w:val="00567CBA"/>
    <w:rsid w:val="00570F1D"/>
    <w:rsid w:val="005713F7"/>
    <w:rsid w:val="00571C86"/>
    <w:rsid w:val="005720AE"/>
    <w:rsid w:val="00572EF5"/>
    <w:rsid w:val="00573835"/>
    <w:rsid w:val="00573ED2"/>
    <w:rsid w:val="005741C8"/>
    <w:rsid w:val="0057448E"/>
    <w:rsid w:val="00574650"/>
    <w:rsid w:val="00575433"/>
    <w:rsid w:val="005755B7"/>
    <w:rsid w:val="00575977"/>
    <w:rsid w:val="00575A25"/>
    <w:rsid w:val="00575AD2"/>
    <w:rsid w:val="00576054"/>
    <w:rsid w:val="00576820"/>
    <w:rsid w:val="00576BD4"/>
    <w:rsid w:val="00576C02"/>
    <w:rsid w:val="00576F88"/>
    <w:rsid w:val="0058074D"/>
    <w:rsid w:val="00580FF2"/>
    <w:rsid w:val="00581236"/>
    <w:rsid w:val="00581A25"/>
    <w:rsid w:val="00581EDF"/>
    <w:rsid w:val="00582569"/>
    <w:rsid w:val="00582A57"/>
    <w:rsid w:val="0058316B"/>
    <w:rsid w:val="0058326B"/>
    <w:rsid w:val="00583C6C"/>
    <w:rsid w:val="00583E00"/>
    <w:rsid w:val="00584B9C"/>
    <w:rsid w:val="00584E90"/>
    <w:rsid w:val="00584F55"/>
    <w:rsid w:val="00585118"/>
    <w:rsid w:val="00585553"/>
    <w:rsid w:val="0058691D"/>
    <w:rsid w:val="00586E6E"/>
    <w:rsid w:val="00587C17"/>
    <w:rsid w:val="005901EA"/>
    <w:rsid w:val="005902AF"/>
    <w:rsid w:val="00590B04"/>
    <w:rsid w:val="005915ED"/>
    <w:rsid w:val="0059184E"/>
    <w:rsid w:val="00591C1B"/>
    <w:rsid w:val="00592419"/>
    <w:rsid w:val="0059290F"/>
    <w:rsid w:val="0059302D"/>
    <w:rsid w:val="00593035"/>
    <w:rsid w:val="00593456"/>
    <w:rsid w:val="005934DB"/>
    <w:rsid w:val="00593A64"/>
    <w:rsid w:val="00593D7D"/>
    <w:rsid w:val="00594077"/>
    <w:rsid w:val="00594428"/>
    <w:rsid w:val="00594D46"/>
    <w:rsid w:val="00594D77"/>
    <w:rsid w:val="0059565A"/>
    <w:rsid w:val="00595C97"/>
    <w:rsid w:val="005969E4"/>
    <w:rsid w:val="00596B3B"/>
    <w:rsid w:val="005971CF"/>
    <w:rsid w:val="0059720B"/>
    <w:rsid w:val="00597824"/>
    <w:rsid w:val="005978BC"/>
    <w:rsid w:val="005A0140"/>
    <w:rsid w:val="005A029C"/>
    <w:rsid w:val="005A0337"/>
    <w:rsid w:val="005A06B7"/>
    <w:rsid w:val="005A0BBB"/>
    <w:rsid w:val="005A10D0"/>
    <w:rsid w:val="005A13C3"/>
    <w:rsid w:val="005A14B9"/>
    <w:rsid w:val="005A1759"/>
    <w:rsid w:val="005A1782"/>
    <w:rsid w:val="005A2F39"/>
    <w:rsid w:val="005A48ED"/>
    <w:rsid w:val="005A4AA5"/>
    <w:rsid w:val="005A4F46"/>
    <w:rsid w:val="005A4FBB"/>
    <w:rsid w:val="005A575E"/>
    <w:rsid w:val="005A60EC"/>
    <w:rsid w:val="005A6470"/>
    <w:rsid w:val="005A683A"/>
    <w:rsid w:val="005A68A7"/>
    <w:rsid w:val="005A6BC7"/>
    <w:rsid w:val="005A6FE2"/>
    <w:rsid w:val="005A7C53"/>
    <w:rsid w:val="005A7EC6"/>
    <w:rsid w:val="005B0155"/>
    <w:rsid w:val="005B0720"/>
    <w:rsid w:val="005B0E65"/>
    <w:rsid w:val="005B1700"/>
    <w:rsid w:val="005B2DD7"/>
    <w:rsid w:val="005B316F"/>
    <w:rsid w:val="005B3D11"/>
    <w:rsid w:val="005B4228"/>
    <w:rsid w:val="005B499F"/>
    <w:rsid w:val="005B4CE9"/>
    <w:rsid w:val="005B54B4"/>
    <w:rsid w:val="005B597B"/>
    <w:rsid w:val="005B5AE5"/>
    <w:rsid w:val="005B606F"/>
    <w:rsid w:val="005B60BF"/>
    <w:rsid w:val="005B6717"/>
    <w:rsid w:val="005B6756"/>
    <w:rsid w:val="005B78F8"/>
    <w:rsid w:val="005B79D9"/>
    <w:rsid w:val="005B7AF9"/>
    <w:rsid w:val="005B7B4E"/>
    <w:rsid w:val="005B7DC1"/>
    <w:rsid w:val="005C0153"/>
    <w:rsid w:val="005C02E5"/>
    <w:rsid w:val="005C0AFD"/>
    <w:rsid w:val="005C20E8"/>
    <w:rsid w:val="005C2298"/>
    <w:rsid w:val="005C2339"/>
    <w:rsid w:val="005C23C7"/>
    <w:rsid w:val="005C2423"/>
    <w:rsid w:val="005C28AB"/>
    <w:rsid w:val="005C3A3E"/>
    <w:rsid w:val="005C3C6A"/>
    <w:rsid w:val="005C3E19"/>
    <w:rsid w:val="005C4003"/>
    <w:rsid w:val="005C40E8"/>
    <w:rsid w:val="005C4427"/>
    <w:rsid w:val="005C5111"/>
    <w:rsid w:val="005C54E2"/>
    <w:rsid w:val="005C56CE"/>
    <w:rsid w:val="005C5F17"/>
    <w:rsid w:val="005C63E6"/>
    <w:rsid w:val="005C6C3B"/>
    <w:rsid w:val="005C7362"/>
    <w:rsid w:val="005C7F18"/>
    <w:rsid w:val="005D0E52"/>
    <w:rsid w:val="005D1429"/>
    <w:rsid w:val="005D1853"/>
    <w:rsid w:val="005D1CAA"/>
    <w:rsid w:val="005D1FDA"/>
    <w:rsid w:val="005D21A2"/>
    <w:rsid w:val="005D2804"/>
    <w:rsid w:val="005D2B6E"/>
    <w:rsid w:val="005D34AE"/>
    <w:rsid w:val="005D361B"/>
    <w:rsid w:val="005D36AB"/>
    <w:rsid w:val="005D3AED"/>
    <w:rsid w:val="005D4214"/>
    <w:rsid w:val="005D4590"/>
    <w:rsid w:val="005D5CFF"/>
    <w:rsid w:val="005D6016"/>
    <w:rsid w:val="005D622B"/>
    <w:rsid w:val="005D64E2"/>
    <w:rsid w:val="005D6635"/>
    <w:rsid w:val="005D6B8E"/>
    <w:rsid w:val="005D6F13"/>
    <w:rsid w:val="005D7A70"/>
    <w:rsid w:val="005D7C64"/>
    <w:rsid w:val="005D7DF2"/>
    <w:rsid w:val="005E0EA2"/>
    <w:rsid w:val="005E1389"/>
    <w:rsid w:val="005E182E"/>
    <w:rsid w:val="005E18C7"/>
    <w:rsid w:val="005E2149"/>
    <w:rsid w:val="005E2368"/>
    <w:rsid w:val="005E253F"/>
    <w:rsid w:val="005E254E"/>
    <w:rsid w:val="005E2612"/>
    <w:rsid w:val="005E27A5"/>
    <w:rsid w:val="005E362A"/>
    <w:rsid w:val="005E3795"/>
    <w:rsid w:val="005E3BCD"/>
    <w:rsid w:val="005E3E0C"/>
    <w:rsid w:val="005E4794"/>
    <w:rsid w:val="005E4CD2"/>
    <w:rsid w:val="005E4CD8"/>
    <w:rsid w:val="005E5122"/>
    <w:rsid w:val="005E5180"/>
    <w:rsid w:val="005E5990"/>
    <w:rsid w:val="005E5A79"/>
    <w:rsid w:val="005E5B55"/>
    <w:rsid w:val="005E7830"/>
    <w:rsid w:val="005E7931"/>
    <w:rsid w:val="005E7E74"/>
    <w:rsid w:val="005F0667"/>
    <w:rsid w:val="005F0716"/>
    <w:rsid w:val="005F0A1D"/>
    <w:rsid w:val="005F1A62"/>
    <w:rsid w:val="005F1C27"/>
    <w:rsid w:val="005F25D6"/>
    <w:rsid w:val="005F2E99"/>
    <w:rsid w:val="005F33B0"/>
    <w:rsid w:val="005F3823"/>
    <w:rsid w:val="005F3EDD"/>
    <w:rsid w:val="005F45AE"/>
    <w:rsid w:val="005F590B"/>
    <w:rsid w:val="005F5A87"/>
    <w:rsid w:val="005F65AE"/>
    <w:rsid w:val="005F69A9"/>
    <w:rsid w:val="005F6D89"/>
    <w:rsid w:val="005F6E1A"/>
    <w:rsid w:val="005F6EDA"/>
    <w:rsid w:val="005F7191"/>
    <w:rsid w:val="005F7429"/>
    <w:rsid w:val="005F7B9B"/>
    <w:rsid w:val="00600292"/>
    <w:rsid w:val="00600866"/>
    <w:rsid w:val="00600CDA"/>
    <w:rsid w:val="00600E13"/>
    <w:rsid w:val="00601DA1"/>
    <w:rsid w:val="00602B52"/>
    <w:rsid w:val="00602EB4"/>
    <w:rsid w:val="0060312F"/>
    <w:rsid w:val="00603191"/>
    <w:rsid w:val="00604104"/>
    <w:rsid w:val="0060410A"/>
    <w:rsid w:val="00604461"/>
    <w:rsid w:val="00604672"/>
    <w:rsid w:val="006046B5"/>
    <w:rsid w:val="006056EB"/>
    <w:rsid w:val="006063EB"/>
    <w:rsid w:val="006066DC"/>
    <w:rsid w:val="00606A0D"/>
    <w:rsid w:val="00606BBF"/>
    <w:rsid w:val="00606ED0"/>
    <w:rsid w:val="00606F18"/>
    <w:rsid w:val="00607531"/>
    <w:rsid w:val="00607883"/>
    <w:rsid w:val="006079E7"/>
    <w:rsid w:val="00607FD9"/>
    <w:rsid w:val="00610418"/>
    <w:rsid w:val="00610702"/>
    <w:rsid w:val="00610761"/>
    <w:rsid w:val="00610D81"/>
    <w:rsid w:val="00610D96"/>
    <w:rsid w:val="00611121"/>
    <w:rsid w:val="0061166F"/>
    <w:rsid w:val="00611988"/>
    <w:rsid w:val="00612052"/>
    <w:rsid w:val="00613045"/>
    <w:rsid w:val="0061318E"/>
    <w:rsid w:val="00613240"/>
    <w:rsid w:val="00613AD2"/>
    <w:rsid w:val="006148E4"/>
    <w:rsid w:val="00614CEA"/>
    <w:rsid w:val="006153D9"/>
    <w:rsid w:val="00615A22"/>
    <w:rsid w:val="00615D79"/>
    <w:rsid w:val="0061630F"/>
    <w:rsid w:val="00616AB2"/>
    <w:rsid w:val="00617618"/>
    <w:rsid w:val="0061765E"/>
    <w:rsid w:val="006177FA"/>
    <w:rsid w:val="006179BA"/>
    <w:rsid w:val="00617A53"/>
    <w:rsid w:val="00617C86"/>
    <w:rsid w:val="00617CC3"/>
    <w:rsid w:val="00617DEB"/>
    <w:rsid w:val="00617EFC"/>
    <w:rsid w:val="0062005A"/>
    <w:rsid w:val="006203C5"/>
    <w:rsid w:val="00620683"/>
    <w:rsid w:val="00620E0B"/>
    <w:rsid w:val="006211B5"/>
    <w:rsid w:val="006212D3"/>
    <w:rsid w:val="0062175A"/>
    <w:rsid w:val="00621AFB"/>
    <w:rsid w:val="006222EC"/>
    <w:rsid w:val="00622570"/>
    <w:rsid w:val="00622694"/>
    <w:rsid w:val="00622D64"/>
    <w:rsid w:val="006236C1"/>
    <w:rsid w:val="006238BA"/>
    <w:rsid w:val="006239A0"/>
    <w:rsid w:val="006239C7"/>
    <w:rsid w:val="006240C6"/>
    <w:rsid w:val="00624149"/>
    <w:rsid w:val="0062418E"/>
    <w:rsid w:val="006250DE"/>
    <w:rsid w:val="006251C0"/>
    <w:rsid w:val="00625479"/>
    <w:rsid w:val="0062571F"/>
    <w:rsid w:val="00625770"/>
    <w:rsid w:val="0062587B"/>
    <w:rsid w:val="00625BF6"/>
    <w:rsid w:val="00626097"/>
    <w:rsid w:val="0062664B"/>
    <w:rsid w:val="0062677D"/>
    <w:rsid w:val="006268AB"/>
    <w:rsid w:val="00626CF0"/>
    <w:rsid w:val="00626E3F"/>
    <w:rsid w:val="006275C4"/>
    <w:rsid w:val="00627A60"/>
    <w:rsid w:val="00627AEA"/>
    <w:rsid w:val="00627C33"/>
    <w:rsid w:val="0063004D"/>
    <w:rsid w:val="00630721"/>
    <w:rsid w:val="00630861"/>
    <w:rsid w:val="006308AE"/>
    <w:rsid w:val="00630ACB"/>
    <w:rsid w:val="00630CBC"/>
    <w:rsid w:val="00630F84"/>
    <w:rsid w:val="00631455"/>
    <w:rsid w:val="0063145D"/>
    <w:rsid w:val="00631471"/>
    <w:rsid w:val="00631880"/>
    <w:rsid w:val="00631D74"/>
    <w:rsid w:val="00633543"/>
    <w:rsid w:val="0063377F"/>
    <w:rsid w:val="00633D6C"/>
    <w:rsid w:val="00634581"/>
    <w:rsid w:val="0063471C"/>
    <w:rsid w:val="00634AF9"/>
    <w:rsid w:val="006350D1"/>
    <w:rsid w:val="0063520A"/>
    <w:rsid w:val="00635273"/>
    <w:rsid w:val="00635914"/>
    <w:rsid w:val="00636563"/>
    <w:rsid w:val="00636621"/>
    <w:rsid w:val="00636A94"/>
    <w:rsid w:val="00636EC7"/>
    <w:rsid w:val="0063701F"/>
    <w:rsid w:val="00637528"/>
    <w:rsid w:val="006377A6"/>
    <w:rsid w:val="00637A3D"/>
    <w:rsid w:val="00637AE5"/>
    <w:rsid w:val="00637E55"/>
    <w:rsid w:val="00637F8E"/>
    <w:rsid w:val="006411EF"/>
    <w:rsid w:val="0064146F"/>
    <w:rsid w:val="00641489"/>
    <w:rsid w:val="006414B2"/>
    <w:rsid w:val="006417D1"/>
    <w:rsid w:val="00641A76"/>
    <w:rsid w:val="00641DE2"/>
    <w:rsid w:val="0064255C"/>
    <w:rsid w:val="0064301E"/>
    <w:rsid w:val="0064314E"/>
    <w:rsid w:val="006432EB"/>
    <w:rsid w:val="006434CC"/>
    <w:rsid w:val="006434F0"/>
    <w:rsid w:val="00643979"/>
    <w:rsid w:val="00643B0F"/>
    <w:rsid w:val="006441D1"/>
    <w:rsid w:val="006443E7"/>
    <w:rsid w:val="00644908"/>
    <w:rsid w:val="00644F4E"/>
    <w:rsid w:val="00645960"/>
    <w:rsid w:val="00645F56"/>
    <w:rsid w:val="006467AE"/>
    <w:rsid w:val="0064695F"/>
    <w:rsid w:val="00646AEA"/>
    <w:rsid w:val="006475D2"/>
    <w:rsid w:val="006476EC"/>
    <w:rsid w:val="006501CC"/>
    <w:rsid w:val="00650522"/>
    <w:rsid w:val="00650924"/>
    <w:rsid w:val="00650CB5"/>
    <w:rsid w:val="00650E9A"/>
    <w:rsid w:val="00650EA5"/>
    <w:rsid w:val="00651341"/>
    <w:rsid w:val="00652CFF"/>
    <w:rsid w:val="00653049"/>
    <w:rsid w:val="00653606"/>
    <w:rsid w:val="006539D2"/>
    <w:rsid w:val="00653E6B"/>
    <w:rsid w:val="0065450E"/>
    <w:rsid w:val="00654568"/>
    <w:rsid w:val="006545FD"/>
    <w:rsid w:val="00654736"/>
    <w:rsid w:val="006547D0"/>
    <w:rsid w:val="00654E68"/>
    <w:rsid w:val="006557BB"/>
    <w:rsid w:val="00655E2F"/>
    <w:rsid w:val="0065643C"/>
    <w:rsid w:val="006565A0"/>
    <w:rsid w:val="00657409"/>
    <w:rsid w:val="00657415"/>
    <w:rsid w:val="00657A4E"/>
    <w:rsid w:val="006604E8"/>
    <w:rsid w:val="00660942"/>
    <w:rsid w:val="006609DA"/>
    <w:rsid w:val="00660FA6"/>
    <w:rsid w:val="00660FDD"/>
    <w:rsid w:val="006611A8"/>
    <w:rsid w:val="00661226"/>
    <w:rsid w:val="00661985"/>
    <w:rsid w:val="00661C31"/>
    <w:rsid w:val="00661EC2"/>
    <w:rsid w:val="00661FA5"/>
    <w:rsid w:val="00662249"/>
    <w:rsid w:val="0066256D"/>
    <w:rsid w:val="0066259D"/>
    <w:rsid w:val="006626D2"/>
    <w:rsid w:val="0066301A"/>
    <w:rsid w:val="00663169"/>
    <w:rsid w:val="00664037"/>
    <w:rsid w:val="00664DDA"/>
    <w:rsid w:val="00664F72"/>
    <w:rsid w:val="006652FD"/>
    <w:rsid w:val="00665913"/>
    <w:rsid w:val="00665C76"/>
    <w:rsid w:val="00666519"/>
    <w:rsid w:val="00666ABB"/>
    <w:rsid w:val="00666F50"/>
    <w:rsid w:val="00666FCF"/>
    <w:rsid w:val="006701FD"/>
    <w:rsid w:val="0067046D"/>
    <w:rsid w:val="0067049A"/>
    <w:rsid w:val="006708D9"/>
    <w:rsid w:val="006708F2"/>
    <w:rsid w:val="0067094C"/>
    <w:rsid w:val="006709A0"/>
    <w:rsid w:val="00670B5A"/>
    <w:rsid w:val="0067137C"/>
    <w:rsid w:val="0067189A"/>
    <w:rsid w:val="006719E1"/>
    <w:rsid w:val="00671B79"/>
    <w:rsid w:val="006729F4"/>
    <w:rsid w:val="00673894"/>
    <w:rsid w:val="006739E2"/>
    <w:rsid w:val="00673D9F"/>
    <w:rsid w:val="006747C4"/>
    <w:rsid w:val="006748B8"/>
    <w:rsid w:val="00674992"/>
    <w:rsid w:val="006749F7"/>
    <w:rsid w:val="00674B67"/>
    <w:rsid w:val="00674CB4"/>
    <w:rsid w:val="00675343"/>
    <w:rsid w:val="0067544A"/>
    <w:rsid w:val="006758F2"/>
    <w:rsid w:val="00675BCC"/>
    <w:rsid w:val="00675C00"/>
    <w:rsid w:val="00676139"/>
    <w:rsid w:val="0067695D"/>
    <w:rsid w:val="00676C00"/>
    <w:rsid w:val="006772C5"/>
    <w:rsid w:val="00677543"/>
    <w:rsid w:val="006775C3"/>
    <w:rsid w:val="006779F0"/>
    <w:rsid w:val="00677B06"/>
    <w:rsid w:val="00680338"/>
    <w:rsid w:val="00680483"/>
    <w:rsid w:val="006805EE"/>
    <w:rsid w:val="00680993"/>
    <w:rsid w:val="00680DC6"/>
    <w:rsid w:val="006815EC"/>
    <w:rsid w:val="006817B6"/>
    <w:rsid w:val="006820B1"/>
    <w:rsid w:val="0068214D"/>
    <w:rsid w:val="00682285"/>
    <w:rsid w:val="00682776"/>
    <w:rsid w:val="00682A4D"/>
    <w:rsid w:val="00683E6B"/>
    <w:rsid w:val="0068436F"/>
    <w:rsid w:val="00684731"/>
    <w:rsid w:val="00684A44"/>
    <w:rsid w:val="00684C6D"/>
    <w:rsid w:val="00684E13"/>
    <w:rsid w:val="00685B9B"/>
    <w:rsid w:val="00685C2A"/>
    <w:rsid w:val="00685CD8"/>
    <w:rsid w:val="00686DBB"/>
    <w:rsid w:val="00686E00"/>
    <w:rsid w:val="00686F0C"/>
    <w:rsid w:val="0068738B"/>
    <w:rsid w:val="00687D8B"/>
    <w:rsid w:val="00687DF1"/>
    <w:rsid w:val="00687FB5"/>
    <w:rsid w:val="006908DD"/>
    <w:rsid w:val="00690908"/>
    <w:rsid w:val="00690A10"/>
    <w:rsid w:val="00690AD4"/>
    <w:rsid w:val="00690AEC"/>
    <w:rsid w:val="00690FF7"/>
    <w:rsid w:val="00691C21"/>
    <w:rsid w:val="00692885"/>
    <w:rsid w:val="0069290A"/>
    <w:rsid w:val="00692D89"/>
    <w:rsid w:val="00693580"/>
    <w:rsid w:val="00693955"/>
    <w:rsid w:val="006945F1"/>
    <w:rsid w:val="00694991"/>
    <w:rsid w:val="00694D22"/>
    <w:rsid w:val="0069527C"/>
    <w:rsid w:val="00695567"/>
    <w:rsid w:val="00695705"/>
    <w:rsid w:val="006959D9"/>
    <w:rsid w:val="00696417"/>
    <w:rsid w:val="006965A8"/>
    <w:rsid w:val="0069661D"/>
    <w:rsid w:val="00696887"/>
    <w:rsid w:val="00696F78"/>
    <w:rsid w:val="0069775A"/>
    <w:rsid w:val="00697813"/>
    <w:rsid w:val="00697CF9"/>
    <w:rsid w:val="006A0155"/>
    <w:rsid w:val="006A0A46"/>
    <w:rsid w:val="006A0DDA"/>
    <w:rsid w:val="006A0E34"/>
    <w:rsid w:val="006A0FCA"/>
    <w:rsid w:val="006A0FD2"/>
    <w:rsid w:val="006A10CB"/>
    <w:rsid w:val="006A1462"/>
    <w:rsid w:val="006A17D5"/>
    <w:rsid w:val="006A1A35"/>
    <w:rsid w:val="006A1C68"/>
    <w:rsid w:val="006A2ACF"/>
    <w:rsid w:val="006A2B4A"/>
    <w:rsid w:val="006A2EB7"/>
    <w:rsid w:val="006A3946"/>
    <w:rsid w:val="006A3EE8"/>
    <w:rsid w:val="006A3F69"/>
    <w:rsid w:val="006A40B1"/>
    <w:rsid w:val="006A492B"/>
    <w:rsid w:val="006A4C03"/>
    <w:rsid w:val="006A525B"/>
    <w:rsid w:val="006A533A"/>
    <w:rsid w:val="006A5376"/>
    <w:rsid w:val="006A57EA"/>
    <w:rsid w:val="006A5C93"/>
    <w:rsid w:val="006A6727"/>
    <w:rsid w:val="006A6972"/>
    <w:rsid w:val="006A6B47"/>
    <w:rsid w:val="006A72BF"/>
    <w:rsid w:val="006A73C2"/>
    <w:rsid w:val="006B03F2"/>
    <w:rsid w:val="006B1580"/>
    <w:rsid w:val="006B185E"/>
    <w:rsid w:val="006B1C63"/>
    <w:rsid w:val="006B2DE7"/>
    <w:rsid w:val="006B303D"/>
    <w:rsid w:val="006B3173"/>
    <w:rsid w:val="006B3233"/>
    <w:rsid w:val="006B37DC"/>
    <w:rsid w:val="006B3F2F"/>
    <w:rsid w:val="006B4630"/>
    <w:rsid w:val="006B4662"/>
    <w:rsid w:val="006B484D"/>
    <w:rsid w:val="006B4A40"/>
    <w:rsid w:val="006B4A9D"/>
    <w:rsid w:val="006B4AD3"/>
    <w:rsid w:val="006B4DE9"/>
    <w:rsid w:val="006B4F49"/>
    <w:rsid w:val="006B4F68"/>
    <w:rsid w:val="006B5A04"/>
    <w:rsid w:val="006B5A5E"/>
    <w:rsid w:val="006B5CC2"/>
    <w:rsid w:val="006B5CF8"/>
    <w:rsid w:val="006B68C3"/>
    <w:rsid w:val="006B68DB"/>
    <w:rsid w:val="006B700B"/>
    <w:rsid w:val="006B7059"/>
    <w:rsid w:val="006B772A"/>
    <w:rsid w:val="006B7A6C"/>
    <w:rsid w:val="006C00E6"/>
    <w:rsid w:val="006C0381"/>
    <w:rsid w:val="006C0592"/>
    <w:rsid w:val="006C0823"/>
    <w:rsid w:val="006C0A37"/>
    <w:rsid w:val="006C0A3A"/>
    <w:rsid w:val="006C0C81"/>
    <w:rsid w:val="006C0DC9"/>
    <w:rsid w:val="006C0F9A"/>
    <w:rsid w:val="006C191C"/>
    <w:rsid w:val="006C1FD0"/>
    <w:rsid w:val="006C2117"/>
    <w:rsid w:val="006C22A0"/>
    <w:rsid w:val="006C2600"/>
    <w:rsid w:val="006C272E"/>
    <w:rsid w:val="006C49C1"/>
    <w:rsid w:val="006C4C53"/>
    <w:rsid w:val="006C5479"/>
    <w:rsid w:val="006C5646"/>
    <w:rsid w:val="006C5B72"/>
    <w:rsid w:val="006C6309"/>
    <w:rsid w:val="006C6468"/>
    <w:rsid w:val="006C680B"/>
    <w:rsid w:val="006C69E6"/>
    <w:rsid w:val="006C69FF"/>
    <w:rsid w:val="006C73B1"/>
    <w:rsid w:val="006D03FA"/>
    <w:rsid w:val="006D06D6"/>
    <w:rsid w:val="006D0A1A"/>
    <w:rsid w:val="006D13AA"/>
    <w:rsid w:val="006D13B5"/>
    <w:rsid w:val="006D19E0"/>
    <w:rsid w:val="006D1A8F"/>
    <w:rsid w:val="006D27B0"/>
    <w:rsid w:val="006D2BCA"/>
    <w:rsid w:val="006D2F1A"/>
    <w:rsid w:val="006D32C6"/>
    <w:rsid w:val="006D3404"/>
    <w:rsid w:val="006D42E2"/>
    <w:rsid w:val="006D4478"/>
    <w:rsid w:val="006D4613"/>
    <w:rsid w:val="006D4624"/>
    <w:rsid w:val="006D4BB9"/>
    <w:rsid w:val="006D4BCE"/>
    <w:rsid w:val="006D5232"/>
    <w:rsid w:val="006D5237"/>
    <w:rsid w:val="006D5839"/>
    <w:rsid w:val="006D5AEC"/>
    <w:rsid w:val="006D6290"/>
    <w:rsid w:val="006D6A2A"/>
    <w:rsid w:val="006D73CA"/>
    <w:rsid w:val="006E029F"/>
    <w:rsid w:val="006E06EC"/>
    <w:rsid w:val="006E0BA2"/>
    <w:rsid w:val="006E12D1"/>
    <w:rsid w:val="006E12FF"/>
    <w:rsid w:val="006E1AD3"/>
    <w:rsid w:val="006E1F27"/>
    <w:rsid w:val="006E2602"/>
    <w:rsid w:val="006E2743"/>
    <w:rsid w:val="006E2BCE"/>
    <w:rsid w:val="006E372D"/>
    <w:rsid w:val="006E38AA"/>
    <w:rsid w:val="006E3AAB"/>
    <w:rsid w:val="006E3B48"/>
    <w:rsid w:val="006E4565"/>
    <w:rsid w:val="006E4CE7"/>
    <w:rsid w:val="006E5192"/>
    <w:rsid w:val="006E5744"/>
    <w:rsid w:val="006E5A8A"/>
    <w:rsid w:val="006E5F5A"/>
    <w:rsid w:val="006E5FF2"/>
    <w:rsid w:val="006E607E"/>
    <w:rsid w:val="006E6477"/>
    <w:rsid w:val="006E6544"/>
    <w:rsid w:val="006E75A8"/>
    <w:rsid w:val="006F0042"/>
    <w:rsid w:val="006F0483"/>
    <w:rsid w:val="006F0495"/>
    <w:rsid w:val="006F04C9"/>
    <w:rsid w:val="006F0D34"/>
    <w:rsid w:val="006F0E69"/>
    <w:rsid w:val="006F0E81"/>
    <w:rsid w:val="006F1B4D"/>
    <w:rsid w:val="006F1E9E"/>
    <w:rsid w:val="006F21F3"/>
    <w:rsid w:val="006F2AC8"/>
    <w:rsid w:val="006F2EDC"/>
    <w:rsid w:val="006F334A"/>
    <w:rsid w:val="006F3C09"/>
    <w:rsid w:val="006F445B"/>
    <w:rsid w:val="006F4561"/>
    <w:rsid w:val="006F4A63"/>
    <w:rsid w:val="006F4A94"/>
    <w:rsid w:val="006F505C"/>
    <w:rsid w:val="006F5600"/>
    <w:rsid w:val="006F5B3D"/>
    <w:rsid w:val="006F5DAC"/>
    <w:rsid w:val="006F60B9"/>
    <w:rsid w:val="006F65EA"/>
    <w:rsid w:val="006F6D01"/>
    <w:rsid w:val="006F73E1"/>
    <w:rsid w:val="006F74E8"/>
    <w:rsid w:val="00700019"/>
    <w:rsid w:val="00700724"/>
    <w:rsid w:val="00700AA9"/>
    <w:rsid w:val="0070114C"/>
    <w:rsid w:val="007013DF"/>
    <w:rsid w:val="00701DB6"/>
    <w:rsid w:val="00701E3D"/>
    <w:rsid w:val="00701E5C"/>
    <w:rsid w:val="00701ECB"/>
    <w:rsid w:val="00702893"/>
    <w:rsid w:val="00703071"/>
    <w:rsid w:val="00703623"/>
    <w:rsid w:val="00703B31"/>
    <w:rsid w:val="00703F9B"/>
    <w:rsid w:val="00704721"/>
    <w:rsid w:val="00704758"/>
    <w:rsid w:val="007048C9"/>
    <w:rsid w:val="00704BA4"/>
    <w:rsid w:val="00704C2F"/>
    <w:rsid w:val="0070519F"/>
    <w:rsid w:val="00705F60"/>
    <w:rsid w:val="00706C5D"/>
    <w:rsid w:val="007071FF"/>
    <w:rsid w:val="007075CB"/>
    <w:rsid w:val="00707A47"/>
    <w:rsid w:val="00707A98"/>
    <w:rsid w:val="00707D49"/>
    <w:rsid w:val="00707E2A"/>
    <w:rsid w:val="00707EAC"/>
    <w:rsid w:val="00710398"/>
    <w:rsid w:val="00711312"/>
    <w:rsid w:val="00711332"/>
    <w:rsid w:val="007113E5"/>
    <w:rsid w:val="007119A5"/>
    <w:rsid w:val="00711B66"/>
    <w:rsid w:val="00712E3C"/>
    <w:rsid w:val="00713A36"/>
    <w:rsid w:val="00714139"/>
    <w:rsid w:val="00714557"/>
    <w:rsid w:val="007145E9"/>
    <w:rsid w:val="007146DA"/>
    <w:rsid w:val="00715BC7"/>
    <w:rsid w:val="0071658F"/>
    <w:rsid w:val="007168E1"/>
    <w:rsid w:val="00716BC0"/>
    <w:rsid w:val="00716C18"/>
    <w:rsid w:val="00716D36"/>
    <w:rsid w:val="00717386"/>
    <w:rsid w:val="007174EB"/>
    <w:rsid w:val="0071780F"/>
    <w:rsid w:val="00717988"/>
    <w:rsid w:val="00717F55"/>
    <w:rsid w:val="00717F62"/>
    <w:rsid w:val="00717FB7"/>
    <w:rsid w:val="007201E0"/>
    <w:rsid w:val="0072082E"/>
    <w:rsid w:val="00721191"/>
    <w:rsid w:val="007213DB"/>
    <w:rsid w:val="00721AB5"/>
    <w:rsid w:val="00722390"/>
    <w:rsid w:val="007233C3"/>
    <w:rsid w:val="007236A0"/>
    <w:rsid w:val="00723AA1"/>
    <w:rsid w:val="00723FDB"/>
    <w:rsid w:val="007245EA"/>
    <w:rsid w:val="00724D12"/>
    <w:rsid w:val="00725026"/>
    <w:rsid w:val="007250D3"/>
    <w:rsid w:val="0072562A"/>
    <w:rsid w:val="00725924"/>
    <w:rsid w:val="007265E5"/>
    <w:rsid w:val="007273E8"/>
    <w:rsid w:val="007274DE"/>
    <w:rsid w:val="00727ADC"/>
    <w:rsid w:val="007308A7"/>
    <w:rsid w:val="007309C9"/>
    <w:rsid w:val="00730BEA"/>
    <w:rsid w:val="00731412"/>
    <w:rsid w:val="00731518"/>
    <w:rsid w:val="00731620"/>
    <w:rsid w:val="0073165F"/>
    <w:rsid w:val="0073171F"/>
    <w:rsid w:val="00731DA6"/>
    <w:rsid w:val="00732011"/>
    <w:rsid w:val="00732267"/>
    <w:rsid w:val="00732920"/>
    <w:rsid w:val="00732922"/>
    <w:rsid w:val="00732EA8"/>
    <w:rsid w:val="0073316F"/>
    <w:rsid w:val="0073420F"/>
    <w:rsid w:val="0073446F"/>
    <w:rsid w:val="0073449D"/>
    <w:rsid w:val="0073480E"/>
    <w:rsid w:val="00734995"/>
    <w:rsid w:val="00734AC1"/>
    <w:rsid w:val="00735633"/>
    <w:rsid w:val="00735BAB"/>
    <w:rsid w:val="00735FA9"/>
    <w:rsid w:val="0073610E"/>
    <w:rsid w:val="007364A3"/>
    <w:rsid w:val="007368B4"/>
    <w:rsid w:val="00736C40"/>
    <w:rsid w:val="0073702B"/>
    <w:rsid w:val="00737897"/>
    <w:rsid w:val="007379A3"/>
    <w:rsid w:val="00737FEE"/>
    <w:rsid w:val="00740979"/>
    <w:rsid w:val="00741434"/>
    <w:rsid w:val="00741AC5"/>
    <w:rsid w:val="00741D9F"/>
    <w:rsid w:val="007423CC"/>
    <w:rsid w:val="00742465"/>
    <w:rsid w:val="007424B2"/>
    <w:rsid w:val="007425B3"/>
    <w:rsid w:val="00742B04"/>
    <w:rsid w:val="00743743"/>
    <w:rsid w:val="00743DC0"/>
    <w:rsid w:val="00744F73"/>
    <w:rsid w:val="00745862"/>
    <w:rsid w:val="0074658D"/>
    <w:rsid w:val="007473DB"/>
    <w:rsid w:val="0074740A"/>
    <w:rsid w:val="00750BBC"/>
    <w:rsid w:val="00750CAA"/>
    <w:rsid w:val="0075162E"/>
    <w:rsid w:val="007519DB"/>
    <w:rsid w:val="00751C4A"/>
    <w:rsid w:val="00751CC1"/>
    <w:rsid w:val="00751E3A"/>
    <w:rsid w:val="00751FC0"/>
    <w:rsid w:val="00752196"/>
    <w:rsid w:val="007522A1"/>
    <w:rsid w:val="007522F6"/>
    <w:rsid w:val="00752CA7"/>
    <w:rsid w:val="00753A96"/>
    <w:rsid w:val="00753B1E"/>
    <w:rsid w:val="00753C75"/>
    <w:rsid w:val="00754034"/>
    <w:rsid w:val="00755060"/>
    <w:rsid w:val="007553FA"/>
    <w:rsid w:val="0075586A"/>
    <w:rsid w:val="00755CF2"/>
    <w:rsid w:val="0075637C"/>
    <w:rsid w:val="00756556"/>
    <w:rsid w:val="00756F86"/>
    <w:rsid w:val="00761182"/>
    <w:rsid w:val="00761645"/>
    <w:rsid w:val="007618C4"/>
    <w:rsid w:val="00761ECC"/>
    <w:rsid w:val="0076208F"/>
    <w:rsid w:val="0076230C"/>
    <w:rsid w:val="00762D51"/>
    <w:rsid w:val="00762E5B"/>
    <w:rsid w:val="00762F7D"/>
    <w:rsid w:val="00763644"/>
    <w:rsid w:val="0076376C"/>
    <w:rsid w:val="00763FC2"/>
    <w:rsid w:val="007648D0"/>
    <w:rsid w:val="0076492E"/>
    <w:rsid w:val="007649ED"/>
    <w:rsid w:val="0076564D"/>
    <w:rsid w:val="007666DC"/>
    <w:rsid w:val="00766ACC"/>
    <w:rsid w:val="007676D0"/>
    <w:rsid w:val="00767980"/>
    <w:rsid w:val="00767B62"/>
    <w:rsid w:val="0077023E"/>
    <w:rsid w:val="00770350"/>
    <w:rsid w:val="0077048D"/>
    <w:rsid w:val="007709C7"/>
    <w:rsid w:val="00770B19"/>
    <w:rsid w:val="00770B66"/>
    <w:rsid w:val="00770E23"/>
    <w:rsid w:val="00771070"/>
    <w:rsid w:val="00771D7A"/>
    <w:rsid w:val="00771E4E"/>
    <w:rsid w:val="00772168"/>
    <w:rsid w:val="0077224B"/>
    <w:rsid w:val="00772BA7"/>
    <w:rsid w:val="00772C50"/>
    <w:rsid w:val="0077372D"/>
    <w:rsid w:val="00773737"/>
    <w:rsid w:val="0077389B"/>
    <w:rsid w:val="00773933"/>
    <w:rsid w:val="00773A44"/>
    <w:rsid w:val="00773BBB"/>
    <w:rsid w:val="00773C88"/>
    <w:rsid w:val="00773ED2"/>
    <w:rsid w:val="00774272"/>
    <w:rsid w:val="007744E8"/>
    <w:rsid w:val="00774610"/>
    <w:rsid w:val="0077463F"/>
    <w:rsid w:val="00774F92"/>
    <w:rsid w:val="007750DD"/>
    <w:rsid w:val="007757EF"/>
    <w:rsid w:val="00775983"/>
    <w:rsid w:val="00775AAA"/>
    <w:rsid w:val="00776170"/>
    <w:rsid w:val="00776299"/>
    <w:rsid w:val="0077687E"/>
    <w:rsid w:val="00776C81"/>
    <w:rsid w:val="00777089"/>
    <w:rsid w:val="00777096"/>
    <w:rsid w:val="007770F5"/>
    <w:rsid w:val="00777292"/>
    <w:rsid w:val="00780072"/>
    <w:rsid w:val="00780A8E"/>
    <w:rsid w:val="007814BC"/>
    <w:rsid w:val="007815D2"/>
    <w:rsid w:val="007817B3"/>
    <w:rsid w:val="0078224C"/>
    <w:rsid w:val="007826F1"/>
    <w:rsid w:val="007828A0"/>
    <w:rsid w:val="00782BCD"/>
    <w:rsid w:val="007832A6"/>
    <w:rsid w:val="00783698"/>
    <w:rsid w:val="007836EA"/>
    <w:rsid w:val="007837BD"/>
    <w:rsid w:val="00784304"/>
    <w:rsid w:val="00784B0B"/>
    <w:rsid w:val="00784CDA"/>
    <w:rsid w:val="00784FCC"/>
    <w:rsid w:val="0078516B"/>
    <w:rsid w:val="00785897"/>
    <w:rsid w:val="00786B7C"/>
    <w:rsid w:val="00786BAC"/>
    <w:rsid w:val="00786DAD"/>
    <w:rsid w:val="00787C02"/>
    <w:rsid w:val="00787FB1"/>
    <w:rsid w:val="0079065D"/>
    <w:rsid w:val="007906C4"/>
    <w:rsid w:val="00791138"/>
    <w:rsid w:val="0079156C"/>
    <w:rsid w:val="00791C12"/>
    <w:rsid w:val="00791DED"/>
    <w:rsid w:val="0079220A"/>
    <w:rsid w:val="007923D4"/>
    <w:rsid w:val="00792776"/>
    <w:rsid w:val="00792AB8"/>
    <w:rsid w:val="00792FEE"/>
    <w:rsid w:val="00793135"/>
    <w:rsid w:val="00793775"/>
    <w:rsid w:val="007940EA"/>
    <w:rsid w:val="00794404"/>
    <w:rsid w:val="00794453"/>
    <w:rsid w:val="00794D2F"/>
    <w:rsid w:val="00794D6A"/>
    <w:rsid w:val="00794EC9"/>
    <w:rsid w:val="00794ECC"/>
    <w:rsid w:val="00795333"/>
    <w:rsid w:val="0079545B"/>
    <w:rsid w:val="007961F9"/>
    <w:rsid w:val="007962D3"/>
    <w:rsid w:val="00796751"/>
    <w:rsid w:val="007967E8"/>
    <w:rsid w:val="007973A3"/>
    <w:rsid w:val="007979E3"/>
    <w:rsid w:val="007A03A4"/>
    <w:rsid w:val="007A0B13"/>
    <w:rsid w:val="007A0F88"/>
    <w:rsid w:val="007A0FB4"/>
    <w:rsid w:val="007A1439"/>
    <w:rsid w:val="007A1794"/>
    <w:rsid w:val="007A1DC9"/>
    <w:rsid w:val="007A1EA3"/>
    <w:rsid w:val="007A2170"/>
    <w:rsid w:val="007A22BF"/>
    <w:rsid w:val="007A2AAF"/>
    <w:rsid w:val="007A2D15"/>
    <w:rsid w:val="007A30B4"/>
    <w:rsid w:val="007A3323"/>
    <w:rsid w:val="007A3BA1"/>
    <w:rsid w:val="007A3D0A"/>
    <w:rsid w:val="007A3D64"/>
    <w:rsid w:val="007A419A"/>
    <w:rsid w:val="007A44F8"/>
    <w:rsid w:val="007A4A85"/>
    <w:rsid w:val="007A4B05"/>
    <w:rsid w:val="007A52DC"/>
    <w:rsid w:val="007A54C2"/>
    <w:rsid w:val="007A587A"/>
    <w:rsid w:val="007A59CD"/>
    <w:rsid w:val="007A5A7A"/>
    <w:rsid w:val="007A5BDC"/>
    <w:rsid w:val="007A5DAA"/>
    <w:rsid w:val="007A5E0A"/>
    <w:rsid w:val="007A5FEA"/>
    <w:rsid w:val="007A6802"/>
    <w:rsid w:val="007A6EED"/>
    <w:rsid w:val="007A72E8"/>
    <w:rsid w:val="007B00C3"/>
    <w:rsid w:val="007B0608"/>
    <w:rsid w:val="007B07A7"/>
    <w:rsid w:val="007B0881"/>
    <w:rsid w:val="007B0F0B"/>
    <w:rsid w:val="007B10CB"/>
    <w:rsid w:val="007B125C"/>
    <w:rsid w:val="007B1929"/>
    <w:rsid w:val="007B1A56"/>
    <w:rsid w:val="007B1F01"/>
    <w:rsid w:val="007B2988"/>
    <w:rsid w:val="007B29A6"/>
    <w:rsid w:val="007B31AF"/>
    <w:rsid w:val="007B4460"/>
    <w:rsid w:val="007B4EE6"/>
    <w:rsid w:val="007B56F0"/>
    <w:rsid w:val="007B63E6"/>
    <w:rsid w:val="007B68EC"/>
    <w:rsid w:val="007B72B8"/>
    <w:rsid w:val="007B7A58"/>
    <w:rsid w:val="007C069F"/>
    <w:rsid w:val="007C1347"/>
    <w:rsid w:val="007C16EE"/>
    <w:rsid w:val="007C17FF"/>
    <w:rsid w:val="007C196D"/>
    <w:rsid w:val="007C1B4C"/>
    <w:rsid w:val="007C1CB9"/>
    <w:rsid w:val="007C1EE7"/>
    <w:rsid w:val="007C1F7E"/>
    <w:rsid w:val="007C2092"/>
    <w:rsid w:val="007C21B5"/>
    <w:rsid w:val="007C23FB"/>
    <w:rsid w:val="007C2ADB"/>
    <w:rsid w:val="007C2C1E"/>
    <w:rsid w:val="007C2FDA"/>
    <w:rsid w:val="007C31DF"/>
    <w:rsid w:val="007C3648"/>
    <w:rsid w:val="007C40FF"/>
    <w:rsid w:val="007C413C"/>
    <w:rsid w:val="007C4225"/>
    <w:rsid w:val="007C45DA"/>
    <w:rsid w:val="007C463B"/>
    <w:rsid w:val="007C5501"/>
    <w:rsid w:val="007C555D"/>
    <w:rsid w:val="007C5572"/>
    <w:rsid w:val="007C5826"/>
    <w:rsid w:val="007C5AF4"/>
    <w:rsid w:val="007C5B16"/>
    <w:rsid w:val="007C5F26"/>
    <w:rsid w:val="007C612B"/>
    <w:rsid w:val="007C6623"/>
    <w:rsid w:val="007C6DCB"/>
    <w:rsid w:val="007C760F"/>
    <w:rsid w:val="007C7712"/>
    <w:rsid w:val="007C7854"/>
    <w:rsid w:val="007D037D"/>
    <w:rsid w:val="007D043F"/>
    <w:rsid w:val="007D0609"/>
    <w:rsid w:val="007D0722"/>
    <w:rsid w:val="007D0BA6"/>
    <w:rsid w:val="007D0C87"/>
    <w:rsid w:val="007D1681"/>
    <w:rsid w:val="007D2A24"/>
    <w:rsid w:val="007D2DF8"/>
    <w:rsid w:val="007D305B"/>
    <w:rsid w:val="007D4402"/>
    <w:rsid w:val="007D4C41"/>
    <w:rsid w:val="007D4F14"/>
    <w:rsid w:val="007D515C"/>
    <w:rsid w:val="007D59FE"/>
    <w:rsid w:val="007D60AF"/>
    <w:rsid w:val="007D64E2"/>
    <w:rsid w:val="007D7419"/>
    <w:rsid w:val="007D74D9"/>
    <w:rsid w:val="007D776C"/>
    <w:rsid w:val="007D789D"/>
    <w:rsid w:val="007D7C88"/>
    <w:rsid w:val="007E19EF"/>
    <w:rsid w:val="007E2C55"/>
    <w:rsid w:val="007E3000"/>
    <w:rsid w:val="007E32F5"/>
    <w:rsid w:val="007E37E3"/>
    <w:rsid w:val="007E4244"/>
    <w:rsid w:val="007E464D"/>
    <w:rsid w:val="007E49C8"/>
    <w:rsid w:val="007E4BD2"/>
    <w:rsid w:val="007E52CF"/>
    <w:rsid w:val="007E57A0"/>
    <w:rsid w:val="007E58AF"/>
    <w:rsid w:val="007E5A64"/>
    <w:rsid w:val="007E5BC0"/>
    <w:rsid w:val="007E5E55"/>
    <w:rsid w:val="007E6407"/>
    <w:rsid w:val="007E6412"/>
    <w:rsid w:val="007E6858"/>
    <w:rsid w:val="007E7183"/>
    <w:rsid w:val="007E726C"/>
    <w:rsid w:val="007E7A99"/>
    <w:rsid w:val="007E7F7B"/>
    <w:rsid w:val="007F0422"/>
    <w:rsid w:val="007F06CE"/>
    <w:rsid w:val="007F0787"/>
    <w:rsid w:val="007F0AE7"/>
    <w:rsid w:val="007F1AE0"/>
    <w:rsid w:val="007F27DA"/>
    <w:rsid w:val="007F2B31"/>
    <w:rsid w:val="007F3E7F"/>
    <w:rsid w:val="007F429A"/>
    <w:rsid w:val="007F4BD7"/>
    <w:rsid w:val="007F4BEB"/>
    <w:rsid w:val="007F5049"/>
    <w:rsid w:val="007F5C0C"/>
    <w:rsid w:val="007F6831"/>
    <w:rsid w:val="007F6E0A"/>
    <w:rsid w:val="0080007F"/>
    <w:rsid w:val="008000DB"/>
    <w:rsid w:val="00800BAB"/>
    <w:rsid w:val="00800BC4"/>
    <w:rsid w:val="00801393"/>
    <w:rsid w:val="00802302"/>
    <w:rsid w:val="00802321"/>
    <w:rsid w:val="00802F88"/>
    <w:rsid w:val="00803C6C"/>
    <w:rsid w:val="008049B5"/>
    <w:rsid w:val="008051AE"/>
    <w:rsid w:val="008055E2"/>
    <w:rsid w:val="00806DFB"/>
    <w:rsid w:val="00807743"/>
    <w:rsid w:val="00807D80"/>
    <w:rsid w:val="00810239"/>
    <w:rsid w:val="00810C8F"/>
    <w:rsid w:val="00810E22"/>
    <w:rsid w:val="00811BB0"/>
    <w:rsid w:val="00811D25"/>
    <w:rsid w:val="00812116"/>
    <w:rsid w:val="0081232B"/>
    <w:rsid w:val="0081293E"/>
    <w:rsid w:val="00812FCE"/>
    <w:rsid w:val="008136C6"/>
    <w:rsid w:val="0081394B"/>
    <w:rsid w:val="008139FB"/>
    <w:rsid w:val="008140F6"/>
    <w:rsid w:val="008147BF"/>
    <w:rsid w:val="00814AE2"/>
    <w:rsid w:val="00814AE5"/>
    <w:rsid w:val="00815465"/>
    <w:rsid w:val="008154DB"/>
    <w:rsid w:val="00815C41"/>
    <w:rsid w:val="0081622A"/>
    <w:rsid w:val="008163CD"/>
    <w:rsid w:val="008166F0"/>
    <w:rsid w:val="00816A4F"/>
    <w:rsid w:val="00816C35"/>
    <w:rsid w:val="00817E9A"/>
    <w:rsid w:val="00820241"/>
    <w:rsid w:val="00820624"/>
    <w:rsid w:val="00820D48"/>
    <w:rsid w:val="008212D1"/>
    <w:rsid w:val="00821592"/>
    <w:rsid w:val="00822B75"/>
    <w:rsid w:val="0082327D"/>
    <w:rsid w:val="008233CA"/>
    <w:rsid w:val="008233F1"/>
    <w:rsid w:val="00823651"/>
    <w:rsid w:val="00823699"/>
    <w:rsid w:val="00823988"/>
    <w:rsid w:val="00823CF0"/>
    <w:rsid w:val="00823D61"/>
    <w:rsid w:val="008246B5"/>
    <w:rsid w:val="00824A2D"/>
    <w:rsid w:val="00824B3C"/>
    <w:rsid w:val="00824C63"/>
    <w:rsid w:val="00824E79"/>
    <w:rsid w:val="00824EF1"/>
    <w:rsid w:val="00825C88"/>
    <w:rsid w:val="0082600E"/>
    <w:rsid w:val="00826870"/>
    <w:rsid w:val="00826ED9"/>
    <w:rsid w:val="00826F58"/>
    <w:rsid w:val="00827869"/>
    <w:rsid w:val="0082792F"/>
    <w:rsid w:val="00830180"/>
    <w:rsid w:val="00830641"/>
    <w:rsid w:val="008306BD"/>
    <w:rsid w:val="00830976"/>
    <w:rsid w:val="00830A13"/>
    <w:rsid w:val="00831714"/>
    <w:rsid w:val="008317A6"/>
    <w:rsid w:val="0083192D"/>
    <w:rsid w:val="00831A80"/>
    <w:rsid w:val="008322CC"/>
    <w:rsid w:val="00832837"/>
    <w:rsid w:val="00832E2A"/>
    <w:rsid w:val="0083305E"/>
    <w:rsid w:val="00833743"/>
    <w:rsid w:val="008340A4"/>
    <w:rsid w:val="008341FA"/>
    <w:rsid w:val="008344E6"/>
    <w:rsid w:val="008349CF"/>
    <w:rsid w:val="00834BE8"/>
    <w:rsid w:val="00834D38"/>
    <w:rsid w:val="00834E0A"/>
    <w:rsid w:val="0083537B"/>
    <w:rsid w:val="008355DD"/>
    <w:rsid w:val="00835C03"/>
    <w:rsid w:val="00835EAE"/>
    <w:rsid w:val="008362E7"/>
    <w:rsid w:val="00836C1C"/>
    <w:rsid w:val="00836F08"/>
    <w:rsid w:val="0083749C"/>
    <w:rsid w:val="00840A90"/>
    <w:rsid w:val="00840BC4"/>
    <w:rsid w:val="00841BDF"/>
    <w:rsid w:val="00841CDB"/>
    <w:rsid w:val="00841E2C"/>
    <w:rsid w:val="00841E46"/>
    <w:rsid w:val="008428D5"/>
    <w:rsid w:val="00842E10"/>
    <w:rsid w:val="00842FEF"/>
    <w:rsid w:val="008436FB"/>
    <w:rsid w:val="008439C1"/>
    <w:rsid w:val="00843AAF"/>
    <w:rsid w:val="00843B51"/>
    <w:rsid w:val="00843CAB"/>
    <w:rsid w:val="00843D4C"/>
    <w:rsid w:val="00843D78"/>
    <w:rsid w:val="0084422C"/>
    <w:rsid w:val="008447CB"/>
    <w:rsid w:val="008449E6"/>
    <w:rsid w:val="0084512B"/>
    <w:rsid w:val="00845262"/>
    <w:rsid w:val="0084564E"/>
    <w:rsid w:val="008467AA"/>
    <w:rsid w:val="00846A34"/>
    <w:rsid w:val="00847CD3"/>
    <w:rsid w:val="00850439"/>
    <w:rsid w:val="00850464"/>
    <w:rsid w:val="008509F5"/>
    <w:rsid w:val="00850CEB"/>
    <w:rsid w:val="00850ED9"/>
    <w:rsid w:val="008519EE"/>
    <w:rsid w:val="00851B45"/>
    <w:rsid w:val="00851C3C"/>
    <w:rsid w:val="00851F6B"/>
    <w:rsid w:val="008522FD"/>
    <w:rsid w:val="008524A8"/>
    <w:rsid w:val="00852852"/>
    <w:rsid w:val="00852A7A"/>
    <w:rsid w:val="00852CA2"/>
    <w:rsid w:val="00852D54"/>
    <w:rsid w:val="00853A52"/>
    <w:rsid w:val="00854D3E"/>
    <w:rsid w:val="00855966"/>
    <w:rsid w:val="008572FB"/>
    <w:rsid w:val="0086030D"/>
    <w:rsid w:val="008603B5"/>
    <w:rsid w:val="0086070A"/>
    <w:rsid w:val="00860CA4"/>
    <w:rsid w:val="00860EDC"/>
    <w:rsid w:val="00861160"/>
    <w:rsid w:val="008615B8"/>
    <w:rsid w:val="00861659"/>
    <w:rsid w:val="008617A2"/>
    <w:rsid w:val="008619AD"/>
    <w:rsid w:val="00862C70"/>
    <w:rsid w:val="0086376E"/>
    <w:rsid w:val="00863ECC"/>
    <w:rsid w:val="00864A7E"/>
    <w:rsid w:val="0086511E"/>
    <w:rsid w:val="00865219"/>
    <w:rsid w:val="008659C1"/>
    <w:rsid w:val="00865AD7"/>
    <w:rsid w:val="00865BF7"/>
    <w:rsid w:val="00865FC3"/>
    <w:rsid w:val="00867535"/>
    <w:rsid w:val="00867758"/>
    <w:rsid w:val="00867B59"/>
    <w:rsid w:val="008701E9"/>
    <w:rsid w:val="0087030F"/>
    <w:rsid w:val="0087061C"/>
    <w:rsid w:val="0087135F"/>
    <w:rsid w:val="00871603"/>
    <w:rsid w:val="00871634"/>
    <w:rsid w:val="008720A0"/>
    <w:rsid w:val="00872838"/>
    <w:rsid w:val="00872D94"/>
    <w:rsid w:val="00872DC2"/>
    <w:rsid w:val="0087343F"/>
    <w:rsid w:val="008741DA"/>
    <w:rsid w:val="00874C18"/>
    <w:rsid w:val="00875020"/>
    <w:rsid w:val="008751E0"/>
    <w:rsid w:val="008755EC"/>
    <w:rsid w:val="00875816"/>
    <w:rsid w:val="00875877"/>
    <w:rsid w:val="008762A0"/>
    <w:rsid w:val="00876D65"/>
    <w:rsid w:val="0087700E"/>
    <w:rsid w:val="00877E2A"/>
    <w:rsid w:val="00880277"/>
    <w:rsid w:val="00880364"/>
    <w:rsid w:val="0088084D"/>
    <w:rsid w:val="00881043"/>
    <w:rsid w:val="008811AD"/>
    <w:rsid w:val="00881381"/>
    <w:rsid w:val="00881556"/>
    <w:rsid w:val="00881B68"/>
    <w:rsid w:val="008820C6"/>
    <w:rsid w:val="0088212D"/>
    <w:rsid w:val="0088238E"/>
    <w:rsid w:val="00882607"/>
    <w:rsid w:val="00882688"/>
    <w:rsid w:val="00883B2E"/>
    <w:rsid w:val="00884015"/>
    <w:rsid w:val="008840A7"/>
    <w:rsid w:val="00884483"/>
    <w:rsid w:val="00884BD5"/>
    <w:rsid w:val="00884FB4"/>
    <w:rsid w:val="0088510F"/>
    <w:rsid w:val="008859D3"/>
    <w:rsid w:val="00886215"/>
    <w:rsid w:val="00886722"/>
    <w:rsid w:val="00886B17"/>
    <w:rsid w:val="00887E85"/>
    <w:rsid w:val="008905B9"/>
    <w:rsid w:val="00890C03"/>
    <w:rsid w:val="00891592"/>
    <w:rsid w:val="008915D5"/>
    <w:rsid w:val="008916FE"/>
    <w:rsid w:val="00891E6A"/>
    <w:rsid w:val="00891E9E"/>
    <w:rsid w:val="008927A2"/>
    <w:rsid w:val="00893337"/>
    <w:rsid w:val="00893396"/>
    <w:rsid w:val="008939B4"/>
    <w:rsid w:val="00894C29"/>
    <w:rsid w:val="00894C85"/>
    <w:rsid w:val="00894D98"/>
    <w:rsid w:val="00895DA8"/>
    <w:rsid w:val="0089611D"/>
    <w:rsid w:val="0089683A"/>
    <w:rsid w:val="00896C90"/>
    <w:rsid w:val="00897407"/>
    <w:rsid w:val="00897ABA"/>
    <w:rsid w:val="00897D5E"/>
    <w:rsid w:val="00897F31"/>
    <w:rsid w:val="008A015C"/>
    <w:rsid w:val="008A015D"/>
    <w:rsid w:val="008A051B"/>
    <w:rsid w:val="008A098F"/>
    <w:rsid w:val="008A0BAD"/>
    <w:rsid w:val="008A116C"/>
    <w:rsid w:val="008A1583"/>
    <w:rsid w:val="008A160F"/>
    <w:rsid w:val="008A1A67"/>
    <w:rsid w:val="008A1C4A"/>
    <w:rsid w:val="008A1E07"/>
    <w:rsid w:val="008A29ED"/>
    <w:rsid w:val="008A2E98"/>
    <w:rsid w:val="008A2F68"/>
    <w:rsid w:val="008A317B"/>
    <w:rsid w:val="008A31FF"/>
    <w:rsid w:val="008A3950"/>
    <w:rsid w:val="008A4587"/>
    <w:rsid w:val="008A4674"/>
    <w:rsid w:val="008A48BC"/>
    <w:rsid w:val="008A4B35"/>
    <w:rsid w:val="008A4BAC"/>
    <w:rsid w:val="008A5A03"/>
    <w:rsid w:val="008A5EA6"/>
    <w:rsid w:val="008A6135"/>
    <w:rsid w:val="008A6B3F"/>
    <w:rsid w:val="008A6DAA"/>
    <w:rsid w:val="008A744B"/>
    <w:rsid w:val="008A756C"/>
    <w:rsid w:val="008A7971"/>
    <w:rsid w:val="008A7B28"/>
    <w:rsid w:val="008A7DB5"/>
    <w:rsid w:val="008B049A"/>
    <w:rsid w:val="008B04A7"/>
    <w:rsid w:val="008B070F"/>
    <w:rsid w:val="008B0887"/>
    <w:rsid w:val="008B1A74"/>
    <w:rsid w:val="008B3592"/>
    <w:rsid w:val="008B3829"/>
    <w:rsid w:val="008B4C7D"/>
    <w:rsid w:val="008B4FA6"/>
    <w:rsid w:val="008B5282"/>
    <w:rsid w:val="008B533C"/>
    <w:rsid w:val="008B53FC"/>
    <w:rsid w:val="008B5972"/>
    <w:rsid w:val="008B5FE5"/>
    <w:rsid w:val="008B6A8C"/>
    <w:rsid w:val="008B6DA6"/>
    <w:rsid w:val="008B744C"/>
    <w:rsid w:val="008B752D"/>
    <w:rsid w:val="008B7623"/>
    <w:rsid w:val="008B7C17"/>
    <w:rsid w:val="008C07F8"/>
    <w:rsid w:val="008C087C"/>
    <w:rsid w:val="008C0B26"/>
    <w:rsid w:val="008C1197"/>
    <w:rsid w:val="008C13FD"/>
    <w:rsid w:val="008C2A2E"/>
    <w:rsid w:val="008C2D01"/>
    <w:rsid w:val="008C2E9F"/>
    <w:rsid w:val="008C376B"/>
    <w:rsid w:val="008C39BA"/>
    <w:rsid w:val="008C39D9"/>
    <w:rsid w:val="008C3E60"/>
    <w:rsid w:val="008C3FEF"/>
    <w:rsid w:val="008C40E6"/>
    <w:rsid w:val="008C4233"/>
    <w:rsid w:val="008C441F"/>
    <w:rsid w:val="008C57F9"/>
    <w:rsid w:val="008C5962"/>
    <w:rsid w:val="008C5EB4"/>
    <w:rsid w:val="008C5EC3"/>
    <w:rsid w:val="008C5FD0"/>
    <w:rsid w:val="008C68FE"/>
    <w:rsid w:val="008C6B50"/>
    <w:rsid w:val="008C7278"/>
    <w:rsid w:val="008C7592"/>
    <w:rsid w:val="008C78F7"/>
    <w:rsid w:val="008D0018"/>
    <w:rsid w:val="008D0570"/>
    <w:rsid w:val="008D099B"/>
    <w:rsid w:val="008D0F7A"/>
    <w:rsid w:val="008D1285"/>
    <w:rsid w:val="008D19B8"/>
    <w:rsid w:val="008D2826"/>
    <w:rsid w:val="008D33D2"/>
    <w:rsid w:val="008D3872"/>
    <w:rsid w:val="008D38AF"/>
    <w:rsid w:val="008D3C87"/>
    <w:rsid w:val="008D3E28"/>
    <w:rsid w:val="008D466B"/>
    <w:rsid w:val="008D4CA1"/>
    <w:rsid w:val="008D4FC0"/>
    <w:rsid w:val="008D514D"/>
    <w:rsid w:val="008D5F26"/>
    <w:rsid w:val="008D6764"/>
    <w:rsid w:val="008D6796"/>
    <w:rsid w:val="008D68E4"/>
    <w:rsid w:val="008D6967"/>
    <w:rsid w:val="008D7557"/>
    <w:rsid w:val="008E0506"/>
    <w:rsid w:val="008E0560"/>
    <w:rsid w:val="008E0CFF"/>
    <w:rsid w:val="008E1BA6"/>
    <w:rsid w:val="008E26DA"/>
    <w:rsid w:val="008E3810"/>
    <w:rsid w:val="008E38E6"/>
    <w:rsid w:val="008E3A53"/>
    <w:rsid w:val="008E400E"/>
    <w:rsid w:val="008E4297"/>
    <w:rsid w:val="008E4985"/>
    <w:rsid w:val="008E4AA0"/>
    <w:rsid w:val="008E4BFE"/>
    <w:rsid w:val="008E5D6B"/>
    <w:rsid w:val="008E68D4"/>
    <w:rsid w:val="008E6B10"/>
    <w:rsid w:val="008E6BC7"/>
    <w:rsid w:val="008E736A"/>
    <w:rsid w:val="008E74D0"/>
    <w:rsid w:val="008E76F0"/>
    <w:rsid w:val="008E79F1"/>
    <w:rsid w:val="008E7BC7"/>
    <w:rsid w:val="008E7CD1"/>
    <w:rsid w:val="008F0411"/>
    <w:rsid w:val="008F046B"/>
    <w:rsid w:val="008F066A"/>
    <w:rsid w:val="008F068C"/>
    <w:rsid w:val="008F0E81"/>
    <w:rsid w:val="008F1342"/>
    <w:rsid w:val="008F15FE"/>
    <w:rsid w:val="008F1768"/>
    <w:rsid w:val="008F1F1D"/>
    <w:rsid w:val="008F2306"/>
    <w:rsid w:val="008F29EA"/>
    <w:rsid w:val="008F2CDA"/>
    <w:rsid w:val="008F2D29"/>
    <w:rsid w:val="008F2DBF"/>
    <w:rsid w:val="008F2F84"/>
    <w:rsid w:val="008F33BC"/>
    <w:rsid w:val="008F3BFB"/>
    <w:rsid w:val="008F3C3A"/>
    <w:rsid w:val="008F46E0"/>
    <w:rsid w:val="008F4B24"/>
    <w:rsid w:val="008F4EBA"/>
    <w:rsid w:val="008F5187"/>
    <w:rsid w:val="008F56D5"/>
    <w:rsid w:val="008F57B8"/>
    <w:rsid w:val="008F60D8"/>
    <w:rsid w:val="008F61D7"/>
    <w:rsid w:val="008F6A01"/>
    <w:rsid w:val="008F6AE6"/>
    <w:rsid w:val="008F6BA9"/>
    <w:rsid w:val="008F703B"/>
    <w:rsid w:val="00900B60"/>
    <w:rsid w:val="00900FDE"/>
    <w:rsid w:val="00901C3D"/>
    <w:rsid w:val="00902001"/>
    <w:rsid w:val="00902004"/>
    <w:rsid w:val="00902217"/>
    <w:rsid w:val="009023F3"/>
    <w:rsid w:val="00902727"/>
    <w:rsid w:val="009030E3"/>
    <w:rsid w:val="0090312B"/>
    <w:rsid w:val="00903C23"/>
    <w:rsid w:val="00903D4C"/>
    <w:rsid w:val="00904043"/>
    <w:rsid w:val="009040CD"/>
    <w:rsid w:val="009052FB"/>
    <w:rsid w:val="00905880"/>
    <w:rsid w:val="00906369"/>
    <w:rsid w:val="0090700F"/>
    <w:rsid w:val="009075B2"/>
    <w:rsid w:val="00910349"/>
    <w:rsid w:val="00910767"/>
    <w:rsid w:val="00910D94"/>
    <w:rsid w:val="00910FF2"/>
    <w:rsid w:val="00911163"/>
    <w:rsid w:val="009112AF"/>
    <w:rsid w:val="009115E2"/>
    <w:rsid w:val="00911813"/>
    <w:rsid w:val="00911BA0"/>
    <w:rsid w:val="00911CA0"/>
    <w:rsid w:val="00911FAE"/>
    <w:rsid w:val="0091209B"/>
    <w:rsid w:val="0091225E"/>
    <w:rsid w:val="009122DE"/>
    <w:rsid w:val="00912E91"/>
    <w:rsid w:val="00913057"/>
    <w:rsid w:val="00913058"/>
    <w:rsid w:val="00913852"/>
    <w:rsid w:val="00913FCF"/>
    <w:rsid w:val="00914FB9"/>
    <w:rsid w:val="009153CD"/>
    <w:rsid w:val="00915475"/>
    <w:rsid w:val="009156B7"/>
    <w:rsid w:val="0091690E"/>
    <w:rsid w:val="00916A68"/>
    <w:rsid w:val="0091736D"/>
    <w:rsid w:val="00917F89"/>
    <w:rsid w:val="009200C4"/>
    <w:rsid w:val="009208BD"/>
    <w:rsid w:val="0092096B"/>
    <w:rsid w:val="00920A27"/>
    <w:rsid w:val="00920F33"/>
    <w:rsid w:val="009219B1"/>
    <w:rsid w:val="009221E4"/>
    <w:rsid w:val="00922B2D"/>
    <w:rsid w:val="00922C90"/>
    <w:rsid w:val="00923128"/>
    <w:rsid w:val="00923373"/>
    <w:rsid w:val="009237F0"/>
    <w:rsid w:val="00923C9C"/>
    <w:rsid w:val="009244A7"/>
    <w:rsid w:val="00924E76"/>
    <w:rsid w:val="00925500"/>
    <w:rsid w:val="00925590"/>
    <w:rsid w:val="00925B1A"/>
    <w:rsid w:val="00925B24"/>
    <w:rsid w:val="00926BB8"/>
    <w:rsid w:val="00926C79"/>
    <w:rsid w:val="00927204"/>
    <w:rsid w:val="00927783"/>
    <w:rsid w:val="00927931"/>
    <w:rsid w:val="00927C21"/>
    <w:rsid w:val="00927D1F"/>
    <w:rsid w:val="0093019B"/>
    <w:rsid w:val="0093037A"/>
    <w:rsid w:val="0093066F"/>
    <w:rsid w:val="00930C11"/>
    <w:rsid w:val="00930E19"/>
    <w:rsid w:val="009313C8"/>
    <w:rsid w:val="00932092"/>
    <w:rsid w:val="00932290"/>
    <w:rsid w:val="0093244C"/>
    <w:rsid w:val="0093245E"/>
    <w:rsid w:val="009326C2"/>
    <w:rsid w:val="0093350C"/>
    <w:rsid w:val="00933527"/>
    <w:rsid w:val="00933CBE"/>
    <w:rsid w:val="00933E98"/>
    <w:rsid w:val="009344B3"/>
    <w:rsid w:val="00934F6B"/>
    <w:rsid w:val="00935956"/>
    <w:rsid w:val="00935A1A"/>
    <w:rsid w:val="00936E4A"/>
    <w:rsid w:val="00936FA4"/>
    <w:rsid w:val="00937390"/>
    <w:rsid w:val="00937991"/>
    <w:rsid w:val="009401A7"/>
    <w:rsid w:val="00940271"/>
    <w:rsid w:val="0094083F"/>
    <w:rsid w:val="00940A3E"/>
    <w:rsid w:val="0094154D"/>
    <w:rsid w:val="009415D9"/>
    <w:rsid w:val="009415E7"/>
    <w:rsid w:val="00941C58"/>
    <w:rsid w:val="00942595"/>
    <w:rsid w:val="00942872"/>
    <w:rsid w:val="009428DC"/>
    <w:rsid w:val="00942D3F"/>
    <w:rsid w:val="00942F70"/>
    <w:rsid w:val="00943683"/>
    <w:rsid w:val="00943AA9"/>
    <w:rsid w:val="00943C14"/>
    <w:rsid w:val="00944253"/>
    <w:rsid w:val="009444E8"/>
    <w:rsid w:val="00945026"/>
    <w:rsid w:val="00945C95"/>
    <w:rsid w:val="00945F7D"/>
    <w:rsid w:val="0094675F"/>
    <w:rsid w:val="00946A91"/>
    <w:rsid w:val="00946ABE"/>
    <w:rsid w:val="00946AC9"/>
    <w:rsid w:val="00946D8C"/>
    <w:rsid w:val="00946F3B"/>
    <w:rsid w:val="009473C3"/>
    <w:rsid w:val="00947679"/>
    <w:rsid w:val="009478F5"/>
    <w:rsid w:val="009504DC"/>
    <w:rsid w:val="00951114"/>
    <w:rsid w:val="00951552"/>
    <w:rsid w:val="0095155F"/>
    <w:rsid w:val="00951FDF"/>
    <w:rsid w:val="00952918"/>
    <w:rsid w:val="00952B9C"/>
    <w:rsid w:val="00952E99"/>
    <w:rsid w:val="00953115"/>
    <w:rsid w:val="009533BC"/>
    <w:rsid w:val="009535D6"/>
    <w:rsid w:val="00953A59"/>
    <w:rsid w:val="00954429"/>
    <w:rsid w:val="00954558"/>
    <w:rsid w:val="0095490A"/>
    <w:rsid w:val="009550F9"/>
    <w:rsid w:val="00955180"/>
    <w:rsid w:val="00955305"/>
    <w:rsid w:val="00955EF0"/>
    <w:rsid w:val="00955FE3"/>
    <w:rsid w:val="0095601D"/>
    <w:rsid w:val="009561BE"/>
    <w:rsid w:val="009563CE"/>
    <w:rsid w:val="00956EA0"/>
    <w:rsid w:val="0095767B"/>
    <w:rsid w:val="009578CC"/>
    <w:rsid w:val="00957B6B"/>
    <w:rsid w:val="00957FBD"/>
    <w:rsid w:val="00960077"/>
    <w:rsid w:val="009605E2"/>
    <w:rsid w:val="00960E85"/>
    <w:rsid w:val="0096159D"/>
    <w:rsid w:val="00961673"/>
    <w:rsid w:val="009616D3"/>
    <w:rsid w:val="00961C5F"/>
    <w:rsid w:val="00961FB3"/>
    <w:rsid w:val="00962481"/>
    <w:rsid w:val="009626F3"/>
    <w:rsid w:val="00962BA4"/>
    <w:rsid w:val="00962DF6"/>
    <w:rsid w:val="00963211"/>
    <w:rsid w:val="0096352A"/>
    <w:rsid w:val="00963801"/>
    <w:rsid w:val="00963D01"/>
    <w:rsid w:val="00963E3F"/>
    <w:rsid w:val="00964625"/>
    <w:rsid w:val="00964F4A"/>
    <w:rsid w:val="0096538C"/>
    <w:rsid w:val="009659D4"/>
    <w:rsid w:val="00965AF8"/>
    <w:rsid w:val="00965E9F"/>
    <w:rsid w:val="0096644F"/>
    <w:rsid w:val="009669CF"/>
    <w:rsid w:val="00966DC0"/>
    <w:rsid w:val="00967281"/>
    <w:rsid w:val="009672F9"/>
    <w:rsid w:val="009700C1"/>
    <w:rsid w:val="009702A1"/>
    <w:rsid w:val="00970A38"/>
    <w:rsid w:val="00972572"/>
    <w:rsid w:val="0097295E"/>
    <w:rsid w:val="00972C2A"/>
    <w:rsid w:val="00972C90"/>
    <w:rsid w:val="0097348D"/>
    <w:rsid w:val="009734CD"/>
    <w:rsid w:val="0097394D"/>
    <w:rsid w:val="00973F33"/>
    <w:rsid w:val="0097461A"/>
    <w:rsid w:val="00974621"/>
    <w:rsid w:val="0097466C"/>
    <w:rsid w:val="009746F9"/>
    <w:rsid w:val="0097490E"/>
    <w:rsid w:val="00974A69"/>
    <w:rsid w:val="00974EC9"/>
    <w:rsid w:val="00974F6C"/>
    <w:rsid w:val="00975F3B"/>
    <w:rsid w:val="0097621C"/>
    <w:rsid w:val="00976328"/>
    <w:rsid w:val="009764E2"/>
    <w:rsid w:val="0097680D"/>
    <w:rsid w:val="009771CF"/>
    <w:rsid w:val="00977247"/>
    <w:rsid w:val="00977858"/>
    <w:rsid w:val="0098043E"/>
    <w:rsid w:val="00980520"/>
    <w:rsid w:val="0098148D"/>
    <w:rsid w:val="0098162B"/>
    <w:rsid w:val="009816B1"/>
    <w:rsid w:val="00981D89"/>
    <w:rsid w:val="00982438"/>
    <w:rsid w:val="0098397F"/>
    <w:rsid w:val="00983B14"/>
    <w:rsid w:val="00983D5B"/>
    <w:rsid w:val="00983FB6"/>
    <w:rsid w:val="0098404C"/>
    <w:rsid w:val="009841C3"/>
    <w:rsid w:val="00984970"/>
    <w:rsid w:val="00985283"/>
    <w:rsid w:val="00985A59"/>
    <w:rsid w:val="00985BD5"/>
    <w:rsid w:val="00985CE7"/>
    <w:rsid w:val="009866A7"/>
    <w:rsid w:val="00986A82"/>
    <w:rsid w:val="00986AC8"/>
    <w:rsid w:val="00986C77"/>
    <w:rsid w:val="00986FEC"/>
    <w:rsid w:val="0098742C"/>
    <w:rsid w:val="00987763"/>
    <w:rsid w:val="00987F66"/>
    <w:rsid w:val="00991CB0"/>
    <w:rsid w:val="00992005"/>
    <w:rsid w:val="0099249E"/>
    <w:rsid w:val="00992656"/>
    <w:rsid w:val="00993021"/>
    <w:rsid w:val="0099344D"/>
    <w:rsid w:val="009936F6"/>
    <w:rsid w:val="0099448E"/>
    <w:rsid w:val="0099476B"/>
    <w:rsid w:val="00994FC2"/>
    <w:rsid w:val="009950D2"/>
    <w:rsid w:val="0099513F"/>
    <w:rsid w:val="00995992"/>
    <w:rsid w:val="009959E7"/>
    <w:rsid w:val="009959EE"/>
    <w:rsid w:val="00996363"/>
    <w:rsid w:val="0099656C"/>
    <w:rsid w:val="00996DC3"/>
    <w:rsid w:val="0099765B"/>
    <w:rsid w:val="00997DB4"/>
    <w:rsid w:val="00997DE5"/>
    <w:rsid w:val="009A03E5"/>
    <w:rsid w:val="009A05E1"/>
    <w:rsid w:val="009A0806"/>
    <w:rsid w:val="009A0F3B"/>
    <w:rsid w:val="009A1086"/>
    <w:rsid w:val="009A113B"/>
    <w:rsid w:val="009A1474"/>
    <w:rsid w:val="009A181E"/>
    <w:rsid w:val="009A1BB4"/>
    <w:rsid w:val="009A2628"/>
    <w:rsid w:val="009A3200"/>
    <w:rsid w:val="009A3270"/>
    <w:rsid w:val="009A33AC"/>
    <w:rsid w:val="009A35AF"/>
    <w:rsid w:val="009A3685"/>
    <w:rsid w:val="009A36C2"/>
    <w:rsid w:val="009A3D58"/>
    <w:rsid w:val="009A568F"/>
    <w:rsid w:val="009A585B"/>
    <w:rsid w:val="009A593A"/>
    <w:rsid w:val="009A5D0C"/>
    <w:rsid w:val="009A5E15"/>
    <w:rsid w:val="009A5E56"/>
    <w:rsid w:val="009A6C58"/>
    <w:rsid w:val="009A6CCD"/>
    <w:rsid w:val="009A6E84"/>
    <w:rsid w:val="009A6F12"/>
    <w:rsid w:val="009A70A7"/>
    <w:rsid w:val="009A724D"/>
    <w:rsid w:val="009A73F9"/>
    <w:rsid w:val="009A768B"/>
    <w:rsid w:val="009A7693"/>
    <w:rsid w:val="009A773B"/>
    <w:rsid w:val="009A7E7F"/>
    <w:rsid w:val="009B0017"/>
    <w:rsid w:val="009B007A"/>
    <w:rsid w:val="009B0897"/>
    <w:rsid w:val="009B09A2"/>
    <w:rsid w:val="009B0DFE"/>
    <w:rsid w:val="009B142C"/>
    <w:rsid w:val="009B18E9"/>
    <w:rsid w:val="009B1C27"/>
    <w:rsid w:val="009B1C49"/>
    <w:rsid w:val="009B2155"/>
    <w:rsid w:val="009B2433"/>
    <w:rsid w:val="009B2A37"/>
    <w:rsid w:val="009B2B3F"/>
    <w:rsid w:val="009B3D64"/>
    <w:rsid w:val="009B3FB3"/>
    <w:rsid w:val="009B413D"/>
    <w:rsid w:val="009B48F6"/>
    <w:rsid w:val="009B4DE9"/>
    <w:rsid w:val="009B4FAD"/>
    <w:rsid w:val="009B5AD3"/>
    <w:rsid w:val="009B5D9D"/>
    <w:rsid w:val="009B5E0A"/>
    <w:rsid w:val="009B68AA"/>
    <w:rsid w:val="009B6A62"/>
    <w:rsid w:val="009B6EC5"/>
    <w:rsid w:val="009B6F9C"/>
    <w:rsid w:val="009B709C"/>
    <w:rsid w:val="009B7BD9"/>
    <w:rsid w:val="009C02BB"/>
    <w:rsid w:val="009C0883"/>
    <w:rsid w:val="009C0FC5"/>
    <w:rsid w:val="009C1437"/>
    <w:rsid w:val="009C15F0"/>
    <w:rsid w:val="009C165D"/>
    <w:rsid w:val="009C1C7D"/>
    <w:rsid w:val="009C2299"/>
    <w:rsid w:val="009C2443"/>
    <w:rsid w:val="009C26A4"/>
    <w:rsid w:val="009C2F69"/>
    <w:rsid w:val="009C2FD2"/>
    <w:rsid w:val="009C3731"/>
    <w:rsid w:val="009C383C"/>
    <w:rsid w:val="009C4273"/>
    <w:rsid w:val="009C4E22"/>
    <w:rsid w:val="009C55DD"/>
    <w:rsid w:val="009C5DFB"/>
    <w:rsid w:val="009C5F07"/>
    <w:rsid w:val="009C6E50"/>
    <w:rsid w:val="009C776B"/>
    <w:rsid w:val="009C77C8"/>
    <w:rsid w:val="009C7DD5"/>
    <w:rsid w:val="009D0069"/>
    <w:rsid w:val="009D0436"/>
    <w:rsid w:val="009D09F1"/>
    <w:rsid w:val="009D0D67"/>
    <w:rsid w:val="009D10D1"/>
    <w:rsid w:val="009D1378"/>
    <w:rsid w:val="009D1966"/>
    <w:rsid w:val="009D1E67"/>
    <w:rsid w:val="009D1ED9"/>
    <w:rsid w:val="009D2824"/>
    <w:rsid w:val="009D2A5B"/>
    <w:rsid w:val="009D3ECB"/>
    <w:rsid w:val="009D4121"/>
    <w:rsid w:val="009D4290"/>
    <w:rsid w:val="009D4351"/>
    <w:rsid w:val="009D4752"/>
    <w:rsid w:val="009D4DCB"/>
    <w:rsid w:val="009D56B4"/>
    <w:rsid w:val="009D5A01"/>
    <w:rsid w:val="009D5FD7"/>
    <w:rsid w:val="009D62AE"/>
    <w:rsid w:val="009D640B"/>
    <w:rsid w:val="009D694B"/>
    <w:rsid w:val="009D6A02"/>
    <w:rsid w:val="009D6C2C"/>
    <w:rsid w:val="009D70FE"/>
    <w:rsid w:val="009D713F"/>
    <w:rsid w:val="009D747C"/>
    <w:rsid w:val="009D7CB9"/>
    <w:rsid w:val="009D7D18"/>
    <w:rsid w:val="009D7D1C"/>
    <w:rsid w:val="009D7D90"/>
    <w:rsid w:val="009D7E18"/>
    <w:rsid w:val="009D7EB5"/>
    <w:rsid w:val="009D7F62"/>
    <w:rsid w:val="009E0BF1"/>
    <w:rsid w:val="009E0E15"/>
    <w:rsid w:val="009E17A1"/>
    <w:rsid w:val="009E18A0"/>
    <w:rsid w:val="009E227D"/>
    <w:rsid w:val="009E2FC6"/>
    <w:rsid w:val="009E38DF"/>
    <w:rsid w:val="009E3DEE"/>
    <w:rsid w:val="009E4389"/>
    <w:rsid w:val="009E4D49"/>
    <w:rsid w:val="009E5019"/>
    <w:rsid w:val="009E5590"/>
    <w:rsid w:val="009E6375"/>
    <w:rsid w:val="009E6D02"/>
    <w:rsid w:val="009E7548"/>
    <w:rsid w:val="009E7737"/>
    <w:rsid w:val="009F04A1"/>
    <w:rsid w:val="009F056B"/>
    <w:rsid w:val="009F069C"/>
    <w:rsid w:val="009F13A6"/>
    <w:rsid w:val="009F1F43"/>
    <w:rsid w:val="009F211F"/>
    <w:rsid w:val="009F2454"/>
    <w:rsid w:val="009F2553"/>
    <w:rsid w:val="009F288B"/>
    <w:rsid w:val="009F28E0"/>
    <w:rsid w:val="009F2C97"/>
    <w:rsid w:val="009F2E68"/>
    <w:rsid w:val="009F2F37"/>
    <w:rsid w:val="009F347C"/>
    <w:rsid w:val="009F36BD"/>
    <w:rsid w:val="009F3DD3"/>
    <w:rsid w:val="009F42B3"/>
    <w:rsid w:val="009F4321"/>
    <w:rsid w:val="009F4826"/>
    <w:rsid w:val="009F49E2"/>
    <w:rsid w:val="009F4E04"/>
    <w:rsid w:val="009F54E0"/>
    <w:rsid w:val="009F5772"/>
    <w:rsid w:val="009F5DFF"/>
    <w:rsid w:val="009F65C1"/>
    <w:rsid w:val="009F7310"/>
    <w:rsid w:val="009F7505"/>
    <w:rsid w:val="009F7697"/>
    <w:rsid w:val="009F7934"/>
    <w:rsid w:val="009F7B61"/>
    <w:rsid w:val="009F7BD9"/>
    <w:rsid w:val="009F7F15"/>
    <w:rsid w:val="009F7F4D"/>
    <w:rsid w:val="00A00233"/>
    <w:rsid w:val="00A002CA"/>
    <w:rsid w:val="00A01136"/>
    <w:rsid w:val="00A014EB"/>
    <w:rsid w:val="00A01689"/>
    <w:rsid w:val="00A0262F"/>
    <w:rsid w:val="00A02BE9"/>
    <w:rsid w:val="00A02C85"/>
    <w:rsid w:val="00A02D49"/>
    <w:rsid w:val="00A03483"/>
    <w:rsid w:val="00A04659"/>
    <w:rsid w:val="00A0488E"/>
    <w:rsid w:val="00A04E21"/>
    <w:rsid w:val="00A04E91"/>
    <w:rsid w:val="00A04F1B"/>
    <w:rsid w:val="00A0501B"/>
    <w:rsid w:val="00A061EE"/>
    <w:rsid w:val="00A06F51"/>
    <w:rsid w:val="00A07197"/>
    <w:rsid w:val="00A07249"/>
    <w:rsid w:val="00A07A07"/>
    <w:rsid w:val="00A10219"/>
    <w:rsid w:val="00A10370"/>
    <w:rsid w:val="00A10C7E"/>
    <w:rsid w:val="00A10CB4"/>
    <w:rsid w:val="00A111C9"/>
    <w:rsid w:val="00A11302"/>
    <w:rsid w:val="00A1167E"/>
    <w:rsid w:val="00A11E47"/>
    <w:rsid w:val="00A121BC"/>
    <w:rsid w:val="00A1238C"/>
    <w:rsid w:val="00A12493"/>
    <w:rsid w:val="00A12808"/>
    <w:rsid w:val="00A12F8D"/>
    <w:rsid w:val="00A135EF"/>
    <w:rsid w:val="00A13ECC"/>
    <w:rsid w:val="00A13EDE"/>
    <w:rsid w:val="00A14049"/>
    <w:rsid w:val="00A1436C"/>
    <w:rsid w:val="00A148C5"/>
    <w:rsid w:val="00A14947"/>
    <w:rsid w:val="00A1497F"/>
    <w:rsid w:val="00A15946"/>
    <w:rsid w:val="00A160A7"/>
    <w:rsid w:val="00A1613B"/>
    <w:rsid w:val="00A16924"/>
    <w:rsid w:val="00A16C53"/>
    <w:rsid w:val="00A17C11"/>
    <w:rsid w:val="00A17DFF"/>
    <w:rsid w:val="00A17E0E"/>
    <w:rsid w:val="00A17E3B"/>
    <w:rsid w:val="00A17F26"/>
    <w:rsid w:val="00A20598"/>
    <w:rsid w:val="00A209E1"/>
    <w:rsid w:val="00A20F36"/>
    <w:rsid w:val="00A2155B"/>
    <w:rsid w:val="00A215E7"/>
    <w:rsid w:val="00A2199C"/>
    <w:rsid w:val="00A2222A"/>
    <w:rsid w:val="00A2349A"/>
    <w:rsid w:val="00A237AD"/>
    <w:rsid w:val="00A23B97"/>
    <w:rsid w:val="00A24091"/>
    <w:rsid w:val="00A24AA9"/>
    <w:rsid w:val="00A25679"/>
    <w:rsid w:val="00A25BF2"/>
    <w:rsid w:val="00A25E25"/>
    <w:rsid w:val="00A25E4D"/>
    <w:rsid w:val="00A26DD1"/>
    <w:rsid w:val="00A26F86"/>
    <w:rsid w:val="00A27A42"/>
    <w:rsid w:val="00A27C89"/>
    <w:rsid w:val="00A27CF3"/>
    <w:rsid w:val="00A3031E"/>
    <w:rsid w:val="00A303F3"/>
    <w:rsid w:val="00A312AC"/>
    <w:rsid w:val="00A31419"/>
    <w:rsid w:val="00A31625"/>
    <w:rsid w:val="00A31801"/>
    <w:rsid w:val="00A31922"/>
    <w:rsid w:val="00A31A8F"/>
    <w:rsid w:val="00A31B5D"/>
    <w:rsid w:val="00A31E30"/>
    <w:rsid w:val="00A32195"/>
    <w:rsid w:val="00A326B2"/>
    <w:rsid w:val="00A32A83"/>
    <w:rsid w:val="00A32D6F"/>
    <w:rsid w:val="00A32FBA"/>
    <w:rsid w:val="00A33320"/>
    <w:rsid w:val="00A335F2"/>
    <w:rsid w:val="00A343B2"/>
    <w:rsid w:val="00A344FB"/>
    <w:rsid w:val="00A34E10"/>
    <w:rsid w:val="00A35C0B"/>
    <w:rsid w:val="00A361F0"/>
    <w:rsid w:val="00A368DB"/>
    <w:rsid w:val="00A368DD"/>
    <w:rsid w:val="00A36AB9"/>
    <w:rsid w:val="00A36BD7"/>
    <w:rsid w:val="00A40142"/>
    <w:rsid w:val="00A404D0"/>
    <w:rsid w:val="00A405A4"/>
    <w:rsid w:val="00A41065"/>
    <w:rsid w:val="00A41433"/>
    <w:rsid w:val="00A41539"/>
    <w:rsid w:val="00A4167C"/>
    <w:rsid w:val="00A416CA"/>
    <w:rsid w:val="00A42285"/>
    <w:rsid w:val="00A423AA"/>
    <w:rsid w:val="00A42D37"/>
    <w:rsid w:val="00A42F66"/>
    <w:rsid w:val="00A44A7C"/>
    <w:rsid w:val="00A44D3A"/>
    <w:rsid w:val="00A454E0"/>
    <w:rsid w:val="00A45791"/>
    <w:rsid w:val="00A45F76"/>
    <w:rsid w:val="00A461B7"/>
    <w:rsid w:val="00A476DF"/>
    <w:rsid w:val="00A4787C"/>
    <w:rsid w:val="00A47BC3"/>
    <w:rsid w:val="00A50321"/>
    <w:rsid w:val="00A504D6"/>
    <w:rsid w:val="00A50579"/>
    <w:rsid w:val="00A50987"/>
    <w:rsid w:val="00A50BC1"/>
    <w:rsid w:val="00A510A7"/>
    <w:rsid w:val="00A51EA0"/>
    <w:rsid w:val="00A52095"/>
    <w:rsid w:val="00A52698"/>
    <w:rsid w:val="00A532AC"/>
    <w:rsid w:val="00A534B2"/>
    <w:rsid w:val="00A53772"/>
    <w:rsid w:val="00A539A3"/>
    <w:rsid w:val="00A53A3A"/>
    <w:rsid w:val="00A53EC6"/>
    <w:rsid w:val="00A545A8"/>
    <w:rsid w:val="00A54758"/>
    <w:rsid w:val="00A55136"/>
    <w:rsid w:val="00A55734"/>
    <w:rsid w:val="00A55842"/>
    <w:rsid w:val="00A55C0F"/>
    <w:rsid w:val="00A560B9"/>
    <w:rsid w:val="00A561CC"/>
    <w:rsid w:val="00A56380"/>
    <w:rsid w:val="00A56539"/>
    <w:rsid w:val="00A5699E"/>
    <w:rsid w:val="00A56E4C"/>
    <w:rsid w:val="00A56ED2"/>
    <w:rsid w:val="00A56EFD"/>
    <w:rsid w:val="00A56F72"/>
    <w:rsid w:val="00A575C6"/>
    <w:rsid w:val="00A57749"/>
    <w:rsid w:val="00A579BA"/>
    <w:rsid w:val="00A57D49"/>
    <w:rsid w:val="00A60C85"/>
    <w:rsid w:val="00A614F3"/>
    <w:rsid w:val="00A619F0"/>
    <w:rsid w:val="00A61ADC"/>
    <w:rsid w:val="00A61DC4"/>
    <w:rsid w:val="00A6208F"/>
    <w:rsid w:val="00A620D3"/>
    <w:rsid w:val="00A62132"/>
    <w:rsid w:val="00A6213E"/>
    <w:rsid w:val="00A62A7C"/>
    <w:rsid w:val="00A62CB5"/>
    <w:rsid w:val="00A62CFF"/>
    <w:rsid w:val="00A62E3B"/>
    <w:rsid w:val="00A6432F"/>
    <w:rsid w:val="00A64CAF"/>
    <w:rsid w:val="00A66451"/>
    <w:rsid w:val="00A66977"/>
    <w:rsid w:val="00A6716B"/>
    <w:rsid w:val="00A67646"/>
    <w:rsid w:val="00A678A7"/>
    <w:rsid w:val="00A67C75"/>
    <w:rsid w:val="00A67CD4"/>
    <w:rsid w:val="00A70019"/>
    <w:rsid w:val="00A701EF"/>
    <w:rsid w:val="00A708FB"/>
    <w:rsid w:val="00A71193"/>
    <w:rsid w:val="00A725A6"/>
    <w:rsid w:val="00A72FAD"/>
    <w:rsid w:val="00A733B5"/>
    <w:rsid w:val="00A73550"/>
    <w:rsid w:val="00A73F41"/>
    <w:rsid w:val="00A74831"/>
    <w:rsid w:val="00A75236"/>
    <w:rsid w:val="00A75502"/>
    <w:rsid w:val="00A756A4"/>
    <w:rsid w:val="00A7613A"/>
    <w:rsid w:val="00A76221"/>
    <w:rsid w:val="00A76503"/>
    <w:rsid w:val="00A76A4C"/>
    <w:rsid w:val="00A7752D"/>
    <w:rsid w:val="00A775D3"/>
    <w:rsid w:val="00A77EEE"/>
    <w:rsid w:val="00A801D1"/>
    <w:rsid w:val="00A805CD"/>
    <w:rsid w:val="00A809B9"/>
    <w:rsid w:val="00A818CC"/>
    <w:rsid w:val="00A81E91"/>
    <w:rsid w:val="00A823C7"/>
    <w:rsid w:val="00A82A2B"/>
    <w:rsid w:val="00A82C64"/>
    <w:rsid w:val="00A83A1F"/>
    <w:rsid w:val="00A83C71"/>
    <w:rsid w:val="00A84937"/>
    <w:rsid w:val="00A84C58"/>
    <w:rsid w:val="00A85001"/>
    <w:rsid w:val="00A852C5"/>
    <w:rsid w:val="00A864C0"/>
    <w:rsid w:val="00A8698E"/>
    <w:rsid w:val="00A86C0D"/>
    <w:rsid w:val="00A86EE6"/>
    <w:rsid w:val="00A87092"/>
    <w:rsid w:val="00A8713F"/>
    <w:rsid w:val="00A87414"/>
    <w:rsid w:val="00A875CE"/>
    <w:rsid w:val="00A876FC"/>
    <w:rsid w:val="00A90103"/>
    <w:rsid w:val="00A901BA"/>
    <w:rsid w:val="00A90BA1"/>
    <w:rsid w:val="00A90CF5"/>
    <w:rsid w:val="00A90D8E"/>
    <w:rsid w:val="00A90EEF"/>
    <w:rsid w:val="00A9149A"/>
    <w:rsid w:val="00A91B36"/>
    <w:rsid w:val="00A925F5"/>
    <w:rsid w:val="00A9297D"/>
    <w:rsid w:val="00A92AAD"/>
    <w:rsid w:val="00A932D6"/>
    <w:rsid w:val="00A93E24"/>
    <w:rsid w:val="00A94706"/>
    <w:rsid w:val="00A94A23"/>
    <w:rsid w:val="00A94C85"/>
    <w:rsid w:val="00A94D1D"/>
    <w:rsid w:val="00A94EAE"/>
    <w:rsid w:val="00A951E1"/>
    <w:rsid w:val="00A953CD"/>
    <w:rsid w:val="00A9573F"/>
    <w:rsid w:val="00A959CA"/>
    <w:rsid w:val="00A95BDE"/>
    <w:rsid w:val="00A96138"/>
    <w:rsid w:val="00A96657"/>
    <w:rsid w:val="00A96E3A"/>
    <w:rsid w:val="00A974E8"/>
    <w:rsid w:val="00A9787F"/>
    <w:rsid w:val="00A979DA"/>
    <w:rsid w:val="00A97A9A"/>
    <w:rsid w:val="00AA0038"/>
    <w:rsid w:val="00AA0671"/>
    <w:rsid w:val="00AA0B25"/>
    <w:rsid w:val="00AA18C0"/>
    <w:rsid w:val="00AA1F76"/>
    <w:rsid w:val="00AA216F"/>
    <w:rsid w:val="00AA2531"/>
    <w:rsid w:val="00AA25B4"/>
    <w:rsid w:val="00AA2CB3"/>
    <w:rsid w:val="00AA2F65"/>
    <w:rsid w:val="00AA33EA"/>
    <w:rsid w:val="00AA3B76"/>
    <w:rsid w:val="00AA3BBB"/>
    <w:rsid w:val="00AA3E08"/>
    <w:rsid w:val="00AA3F1F"/>
    <w:rsid w:val="00AA3F3F"/>
    <w:rsid w:val="00AA475B"/>
    <w:rsid w:val="00AA4BED"/>
    <w:rsid w:val="00AA4E4A"/>
    <w:rsid w:val="00AA5A6A"/>
    <w:rsid w:val="00AA6C7C"/>
    <w:rsid w:val="00AA75B7"/>
    <w:rsid w:val="00AA7ACC"/>
    <w:rsid w:val="00AB01D8"/>
    <w:rsid w:val="00AB0B83"/>
    <w:rsid w:val="00AB1595"/>
    <w:rsid w:val="00AB1E09"/>
    <w:rsid w:val="00AB262C"/>
    <w:rsid w:val="00AB28C5"/>
    <w:rsid w:val="00AB34B5"/>
    <w:rsid w:val="00AB410B"/>
    <w:rsid w:val="00AB446F"/>
    <w:rsid w:val="00AB45E1"/>
    <w:rsid w:val="00AB466F"/>
    <w:rsid w:val="00AB4837"/>
    <w:rsid w:val="00AB4ADC"/>
    <w:rsid w:val="00AB4B78"/>
    <w:rsid w:val="00AB4FDE"/>
    <w:rsid w:val="00AB5330"/>
    <w:rsid w:val="00AB5487"/>
    <w:rsid w:val="00AB54C0"/>
    <w:rsid w:val="00AB5F20"/>
    <w:rsid w:val="00AB5F2F"/>
    <w:rsid w:val="00AB6C62"/>
    <w:rsid w:val="00AB70C0"/>
    <w:rsid w:val="00AB7747"/>
    <w:rsid w:val="00AB7DD0"/>
    <w:rsid w:val="00AC0016"/>
    <w:rsid w:val="00AC0072"/>
    <w:rsid w:val="00AC0658"/>
    <w:rsid w:val="00AC0F1A"/>
    <w:rsid w:val="00AC101A"/>
    <w:rsid w:val="00AC1285"/>
    <w:rsid w:val="00AC14CE"/>
    <w:rsid w:val="00AC19BA"/>
    <w:rsid w:val="00AC216B"/>
    <w:rsid w:val="00AC2345"/>
    <w:rsid w:val="00AC26B9"/>
    <w:rsid w:val="00AC289B"/>
    <w:rsid w:val="00AC2A56"/>
    <w:rsid w:val="00AC2B80"/>
    <w:rsid w:val="00AC2D78"/>
    <w:rsid w:val="00AC3030"/>
    <w:rsid w:val="00AC32F4"/>
    <w:rsid w:val="00AC3519"/>
    <w:rsid w:val="00AC370F"/>
    <w:rsid w:val="00AC379D"/>
    <w:rsid w:val="00AC3CA6"/>
    <w:rsid w:val="00AC3F59"/>
    <w:rsid w:val="00AC4D06"/>
    <w:rsid w:val="00AC5378"/>
    <w:rsid w:val="00AC64ED"/>
    <w:rsid w:val="00AC65E2"/>
    <w:rsid w:val="00AC6F15"/>
    <w:rsid w:val="00AC6F2A"/>
    <w:rsid w:val="00AC7902"/>
    <w:rsid w:val="00AC798A"/>
    <w:rsid w:val="00AC7D04"/>
    <w:rsid w:val="00AD055E"/>
    <w:rsid w:val="00AD233C"/>
    <w:rsid w:val="00AD2929"/>
    <w:rsid w:val="00AD2963"/>
    <w:rsid w:val="00AD2B28"/>
    <w:rsid w:val="00AD2C73"/>
    <w:rsid w:val="00AD328E"/>
    <w:rsid w:val="00AD36B1"/>
    <w:rsid w:val="00AD396E"/>
    <w:rsid w:val="00AD3E5E"/>
    <w:rsid w:val="00AD47A7"/>
    <w:rsid w:val="00AD487A"/>
    <w:rsid w:val="00AD48CC"/>
    <w:rsid w:val="00AD4A1D"/>
    <w:rsid w:val="00AD5168"/>
    <w:rsid w:val="00AD517A"/>
    <w:rsid w:val="00AD52AE"/>
    <w:rsid w:val="00AD5BC4"/>
    <w:rsid w:val="00AD662A"/>
    <w:rsid w:val="00AD71C1"/>
    <w:rsid w:val="00AD72BB"/>
    <w:rsid w:val="00AD739B"/>
    <w:rsid w:val="00AD74A1"/>
    <w:rsid w:val="00AE0541"/>
    <w:rsid w:val="00AE0C30"/>
    <w:rsid w:val="00AE0CBD"/>
    <w:rsid w:val="00AE0DBE"/>
    <w:rsid w:val="00AE134D"/>
    <w:rsid w:val="00AE1E65"/>
    <w:rsid w:val="00AE2496"/>
    <w:rsid w:val="00AE2D32"/>
    <w:rsid w:val="00AE2F14"/>
    <w:rsid w:val="00AE354A"/>
    <w:rsid w:val="00AE3CD7"/>
    <w:rsid w:val="00AE4274"/>
    <w:rsid w:val="00AE4636"/>
    <w:rsid w:val="00AE490B"/>
    <w:rsid w:val="00AE4B2D"/>
    <w:rsid w:val="00AE4BB3"/>
    <w:rsid w:val="00AE4DC4"/>
    <w:rsid w:val="00AE4F9E"/>
    <w:rsid w:val="00AE5975"/>
    <w:rsid w:val="00AE5BED"/>
    <w:rsid w:val="00AE5FCD"/>
    <w:rsid w:val="00AE6078"/>
    <w:rsid w:val="00AE6A97"/>
    <w:rsid w:val="00AE7205"/>
    <w:rsid w:val="00AE7476"/>
    <w:rsid w:val="00AE7E5F"/>
    <w:rsid w:val="00AF01CC"/>
    <w:rsid w:val="00AF0758"/>
    <w:rsid w:val="00AF081B"/>
    <w:rsid w:val="00AF08E7"/>
    <w:rsid w:val="00AF0CBF"/>
    <w:rsid w:val="00AF0D60"/>
    <w:rsid w:val="00AF0E77"/>
    <w:rsid w:val="00AF1500"/>
    <w:rsid w:val="00AF1C68"/>
    <w:rsid w:val="00AF257F"/>
    <w:rsid w:val="00AF2BD4"/>
    <w:rsid w:val="00AF31F4"/>
    <w:rsid w:val="00AF33CF"/>
    <w:rsid w:val="00AF361D"/>
    <w:rsid w:val="00AF417B"/>
    <w:rsid w:val="00AF491A"/>
    <w:rsid w:val="00AF49EA"/>
    <w:rsid w:val="00AF4D50"/>
    <w:rsid w:val="00AF5167"/>
    <w:rsid w:val="00AF5648"/>
    <w:rsid w:val="00AF5FD6"/>
    <w:rsid w:val="00AF6179"/>
    <w:rsid w:val="00AF6B15"/>
    <w:rsid w:val="00AF799E"/>
    <w:rsid w:val="00AF79AA"/>
    <w:rsid w:val="00AF7A31"/>
    <w:rsid w:val="00AF7A84"/>
    <w:rsid w:val="00AF7C13"/>
    <w:rsid w:val="00AF7ECC"/>
    <w:rsid w:val="00AF7F25"/>
    <w:rsid w:val="00B002ED"/>
    <w:rsid w:val="00B00478"/>
    <w:rsid w:val="00B00A0B"/>
    <w:rsid w:val="00B00B89"/>
    <w:rsid w:val="00B01CAD"/>
    <w:rsid w:val="00B0237D"/>
    <w:rsid w:val="00B02B39"/>
    <w:rsid w:val="00B02FBF"/>
    <w:rsid w:val="00B03374"/>
    <w:rsid w:val="00B03BCE"/>
    <w:rsid w:val="00B03D94"/>
    <w:rsid w:val="00B03DB7"/>
    <w:rsid w:val="00B0427A"/>
    <w:rsid w:val="00B044BC"/>
    <w:rsid w:val="00B0473A"/>
    <w:rsid w:val="00B04ECE"/>
    <w:rsid w:val="00B04F66"/>
    <w:rsid w:val="00B05C35"/>
    <w:rsid w:val="00B05DD8"/>
    <w:rsid w:val="00B05E58"/>
    <w:rsid w:val="00B068EE"/>
    <w:rsid w:val="00B06FC9"/>
    <w:rsid w:val="00B0726C"/>
    <w:rsid w:val="00B07912"/>
    <w:rsid w:val="00B07938"/>
    <w:rsid w:val="00B07E22"/>
    <w:rsid w:val="00B07EB4"/>
    <w:rsid w:val="00B10362"/>
    <w:rsid w:val="00B10F4F"/>
    <w:rsid w:val="00B11075"/>
    <w:rsid w:val="00B11545"/>
    <w:rsid w:val="00B1177B"/>
    <w:rsid w:val="00B11D38"/>
    <w:rsid w:val="00B11DD1"/>
    <w:rsid w:val="00B122E2"/>
    <w:rsid w:val="00B1287B"/>
    <w:rsid w:val="00B1295A"/>
    <w:rsid w:val="00B1315D"/>
    <w:rsid w:val="00B13313"/>
    <w:rsid w:val="00B13329"/>
    <w:rsid w:val="00B13434"/>
    <w:rsid w:val="00B136C8"/>
    <w:rsid w:val="00B1396C"/>
    <w:rsid w:val="00B13D9E"/>
    <w:rsid w:val="00B14232"/>
    <w:rsid w:val="00B14593"/>
    <w:rsid w:val="00B14AC1"/>
    <w:rsid w:val="00B15692"/>
    <w:rsid w:val="00B15838"/>
    <w:rsid w:val="00B15BF1"/>
    <w:rsid w:val="00B15CA5"/>
    <w:rsid w:val="00B17940"/>
    <w:rsid w:val="00B17E40"/>
    <w:rsid w:val="00B20A45"/>
    <w:rsid w:val="00B212F2"/>
    <w:rsid w:val="00B21DC9"/>
    <w:rsid w:val="00B2259A"/>
    <w:rsid w:val="00B22941"/>
    <w:rsid w:val="00B22C5C"/>
    <w:rsid w:val="00B23837"/>
    <w:rsid w:val="00B23A1D"/>
    <w:rsid w:val="00B23A51"/>
    <w:rsid w:val="00B23F1A"/>
    <w:rsid w:val="00B24379"/>
    <w:rsid w:val="00B245C5"/>
    <w:rsid w:val="00B24F30"/>
    <w:rsid w:val="00B2510C"/>
    <w:rsid w:val="00B251C3"/>
    <w:rsid w:val="00B25586"/>
    <w:rsid w:val="00B2592B"/>
    <w:rsid w:val="00B25B20"/>
    <w:rsid w:val="00B2621C"/>
    <w:rsid w:val="00B2639D"/>
    <w:rsid w:val="00B267F4"/>
    <w:rsid w:val="00B26D9E"/>
    <w:rsid w:val="00B27930"/>
    <w:rsid w:val="00B30B85"/>
    <w:rsid w:val="00B30BD2"/>
    <w:rsid w:val="00B30C91"/>
    <w:rsid w:val="00B30E22"/>
    <w:rsid w:val="00B30EA9"/>
    <w:rsid w:val="00B30F57"/>
    <w:rsid w:val="00B311FA"/>
    <w:rsid w:val="00B317D0"/>
    <w:rsid w:val="00B31839"/>
    <w:rsid w:val="00B31ABF"/>
    <w:rsid w:val="00B320D7"/>
    <w:rsid w:val="00B32113"/>
    <w:rsid w:val="00B3235F"/>
    <w:rsid w:val="00B326CB"/>
    <w:rsid w:val="00B32A6F"/>
    <w:rsid w:val="00B32C7B"/>
    <w:rsid w:val="00B332A2"/>
    <w:rsid w:val="00B335A0"/>
    <w:rsid w:val="00B337D8"/>
    <w:rsid w:val="00B33BE3"/>
    <w:rsid w:val="00B33F33"/>
    <w:rsid w:val="00B345F3"/>
    <w:rsid w:val="00B34823"/>
    <w:rsid w:val="00B34D5D"/>
    <w:rsid w:val="00B34F63"/>
    <w:rsid w:val="00B35913"/>
    <w:rsid w:val="00B35C15"/>
    <w:rsid w:val="00B36AFA"/>
    <w:rsid w:val="00B3744E"/>
    <w:rsid w:val="00B37E39"/>
    <w:rsid w:val="00B37ED0"/>
    <w:rsid w:val="00B40AB0"/>
    <w:rsid w:val="00B40BDC"/>
    <w:rsid w:val="00B40CF2"/>
    <w:rsid w:val="00B4132D"/>
    <w:rsid w:val="00B41AEB"/>
    <w:rsid w:val="00B41BB2"/>
    <w:rsid w:val="00B430C6"/>
    <w:rsid w:val="00B43B05"/>
    <w:rsid w:val="00B43CF4"/>
    <w:rsid w:val="00B4435F"/>
    <w:rsid w:val="00B447DD"/>
    <w:rsid w:val="00B44BDB"/>
    <w:rsid w:val="00B4558A"/>
    <w:rsid w:val="00B455C6"/>
    <w:rsid w:val="00B455CB"/>
    <w:rsid w:val="00B45E70"/>
    <w:rsid w:val="00B45ED2"/>
    <w:rsid w:val="00B45FB8"/>
    <w:rsid w:val="00B46007"/>
    <w:rsid w:val="00B46B25"/>
    <w:rsid w:val="00B46CEF"/>
    <w:rsid w:val="00B473EA"/>
    <w:rsid w:val="00B478CE"/>
    <w:rsid w:val="00B47EC2"/>
    <w:rsid w:val="00B47FF7"/>
    <w:rsid w:val="00B50933"/>
    <w:rsid w:val="00B50FE3"/>
    <w:rsid w:val="00B510D2"/>
    <w:rsid w:val="00B5111C"/>
    <w:rsid w:val="00B51258"/>
    <w:rsid w:val="00B51BFB"/>
    <w:rsid w:val="00B51C2A"/>
    <w:rsid w:val="00B52BD0"/>
    <w:rsid w:val="00B530A7"/>
    <w:rsid w:val="00B5316C"/>
    <w:rsid w:val="00B533C6"/>
    <w:rsid w:val="00B536C0"/>
    <w:rsid w:val="00B539EE"/>
    <w:rsid w:val="00B53A97"/>
    <w:rsid w:val="00B53B5D"/>
    <w:rsid w:val="00B53F46"/>
    <w:rsid w:val="00B5433E"/>
    <w:rsid w:val="00B5460C"/>
    <w:rsid w:val="00B54888"/>
    <w:rsid w:val="00B552A6"/>
    <w:rsid w:val="00B56953"/>
    <w:rsid w:val="00B57249"/>
    <w:rsid w:val="00B57260"/>
    <w:rsid w:val="00B57CC5"/>
    <w:rsid w:val="00B600C2"/>
    <w:rsid w:val="00B6055E"/>
    <w:rsid w:val="00B60FEC"/>
    <w:rsid w:val="00B60FF0"/>
    <w:rsid w:val="00B61240"/>
    <w:rsid w:val="00B61509"/>
    <w:rsid w:val="00B621E9"/>
    <w:rsid w:val="00B6287F"/>
    <w:rsid w:val="00B62967"/>
    <w:rsid w:val="00B62F35"/>
    <w:rsid w:val="00B63132"/>
    <w:rsid w:val="00B6317D"/>
    <w:rsid w:val="00B63D5E"/>
    <w:rsid w:val="00B63FCF"/>
    <w:rsid w:val="00B64626"/>
    <w:rsid w:val="00B64A90"/>
    <w:rsid w:val="00B65530"/>
    <w:rsid w:val="00B6588D"/>
    <w:rsid w:val="00B65D89"/>
    <w:rsid w:val="00B669E0"/>
    <w:rsid w:val="00B67547"/>
    <w:rsid w:val="00B67F1D"/>
    <w:rsid w:val="00B70270"/>
    <w:rsid w:val="00B705BE"/>
    <w:rsid w:val="00B709D1"/>
    <w:rsid w:val="00B71134"/>
    <w:rsid w:val="00B7161E"/>
    <w:rsid w:val="00B71FEA"/>
    <w:rsid w:val="00B7267A"/>
    <w:rsid w:val="00B729D5"/>
    <w:rsid w:val="00B730AC"/>
    <w:rsid w:val="00B73B87"/>
    <w:rsid w:val="00B7479A"/>
    <w:rsid w:val="00B74AA5"/>
    <w:rsid w:val="00B74C5A"/>
    <w:rsid w:val="00B759FD"/>
    <w:rsid w:val="00B75DFC"/>
    <w:rsid w:val="00B76D00"/>
    <w:rsid w:val="00B7723F"/>
    <w:rsid w:val="00B77548"/>
    <w:rsid w:val="00B77ADA"/>
    <w:rsid w:val="00B77B32"/>
    <w:rsid w:val="00B80440"/>
    <w:rsid w:val="00B804A0"/>
    <w:rsid w:val="00B804DE"/>
    <w:rsid w:val="00B80534"/>
    <w:rsid w:val="00B8099A"/>
    <w:rsid w:val="00B8152B"/>
    <w:rsid w:val="00B816BB"/>
    <w:rsid w:val="00B818B2"/>
    <w:rsid w:val="00B819C9"/>
    <w:rsid w:val="00B81A2A"/>
    <w:rsid w:val="00B8261B"/>
    <w:rsid w:val="00B8283F"/>
    <w:rsid w:val="00B82906"/>
    <w:rsid w:val="00B83094"/>
    <w:rsid w:val="00B832BE"/>
    <w:rsid w:val="00B8343C"/>
    <w:rsid w:val="00B83A0A"/>
    <w:rsid w:val="00B83D1A"/>
    <w:rsid w:val="00B83D30"/>
    <w:rsid w:val="00B83DFD"/>
    <w:rsid w:val="00B83FB1"/>
    <w:rsid w:val="00B8407A"/>
    <w:rsid w:val="00B8415F"/>
    <w:rsid w:val="00B8433C"/>
    <w:rsid w:val="00B843EB"/>
    <w:rsid w:val="00B848C2"/>
    <w:rsid w:val="00B850C7"/>
    <w:rsid w:val="00B851D1"/>
    <w:rsid w:val="00B8540C"/>
    <w:rsid w:val="00B85421"/>
    <w:rsid w:val="00B85534"/>
    <w:rsid w:val="00B858D9"/>
    <w:rsid w:val="00B85BC3"/>
    <w:rsid w:val="00B85E6F"/>
    <w:rsid w:val="00B861EC"/>
    <w:rsid w:val="00B86290"/>
    <w:rsid w:val="00B86A12"/>
    <w:rsid w:val="00B86C55"/>
    <w:rsid w:val="00B87491"/>
    <w:rsid w:val="00B87F4A"/>
    <w:rsid w:val="00B900FD"/>
    <w:rsid w:val="00B91117"/>
    <w:rsid w:val="00B916D7"/>
    <w:rsid w:val="00B918F4"/>
    <w:rsid w:val="00B91D9F"/>
    <w:rsid w:val="00B92635"/>
    <w:rsid w:val="00B928CD"/>
    <w:rsid w:val="00B92A8B"/>
    <w:rsid w:val="00B92C09"/>
    <w:rsid w:val="00B92C28"/>
    <w:rsid w:val="00B93573"/>
    <w:rsid w:val="00B93CE0"/>
    <w:rsid w:val="00B942E6"/>
    <w:rsid w:val="00B9455A"/>
    <w:rsid w:val="00B94662"/>
    <w:rsid w:val="00B9496E"/>
    <w:rsid w:val="00B95537"/>
    <w:rsid w:val="00B95A84"/>
    <w:rsid w:val="00B95B0D"/>
    <w:rsid w:val="00B95B57"/>
    <w:rsid w:val="00B95D02"/>
    <w:rsid w:val="00B96545"/>
    <w:rsid w:val="00B966A8"/>
    <w:rsid w:val="00B96C78"/>
    <w:rsid w:val="00B96FD9"/>
    <w:rsid w:val="00B97532"/>
    <w:rsid w:val="00B97683"/>
    <w:rsid w:val="00B97BBF"/>
    <w:rsid w:val="00B97DAA"/>
    <w:rsid w:val="00BA007B"/>
    <w:rsid w:val="00BA0162"/>
    <w:rsid w:val="00BA09A8"/>
    <w:rsid w:val="00BA12B0"/>
    <w:rsid w:val="00BA29E9"/>
    <w:rsid w:val="00BA2D61"/>
    <w:rsid w:val="00BA33BF"/>
    <w:rsid w:val="00BA38DD"/>
    <w:rsid w:val="00BA3997"/>
    <w:rsid w:val="00BA3AFD"/>
    <w:rsid w:val="00BA49AE"/>
    <w:rsid w:val="00BA4D04"/>
    <w:rsid w:val="00BA6157"/>
    <w:rsid w:val="00BA7142"/>
    <w:rsid w:val="00BB004E"/>
    <w:rsid w:val="00BB0081"/>
    <w:rsid w:val="00BB04DC"/>
    <w:rsid w:val="00BB05F3"/>
    <w:rsid w:val="00BB0FB7"/>
    <w:rsid w:val="00BB110D"/>
    <w:rsid w:val="00BB1BDC"/>
    <w:rsid w:val="00BB1C0F"/>
    <w:rsid w:val="00BB20EE"/>
    <w:rsid w:val="00BB2327"/>
    <w:rsid w:val="00BB237C"/>
    <w:rsid w:val="00BB258A"/>
    <w:rsid w:val="00BB3025"/>
    <w:rsid w:val="00BB313E"/>
    <w:rsid w:val="00BB3498"/>
    <w:rsid w:val="00BB3650"/>
    <w:rsid w:val="00BB41A3"/>
    <w:rsid w:val="00BB4764"/>
    <w:rsid w:val="00BB4924"/>
    <w:rsid w:val="00BB5183"/>
    <w:rsid w:val="00BB563F"/>
    <w:rsid w:val="00BB572A"/>
    <w:rsid w:val="00BB5F75"/>
    <w:rsid w:val="00BB6715"/>
    <w:rsid w:val="00BB69E2"/>
    <w:rsid w:val="00BB6B9E"/>
    <w:rsid w:val="00BB70A6"/>
    <w:rsid w:val="00BB7B9F"/>
    <w:rsid w:val="00BC0B10"/>
    <w:rsid w:val="00BC0F60"/>
    <w:rsid w:val="00BC14CE"/>
    <w:rsid w:val="00BC1770"/>
    <w:rsid w:val="00BC1B49"/>
    <w:rsid w:val="00BC2011"/>
    <w:rsid w:val="00BC31D9"/>
    <w:rsid w:val="00BC32DC"/>
    <w:rsid w:val="00BC33D3"/>
    <w:rsid w:val="00BC35B6"/>
    <w:rsid w:val="00BC3F71"/>
    <w:rsid w:val="00BC44F5"/>
    <w:rsid w:val="00BC4623"/>
    <w:rsid w:val="00BC480A"/>
    <w:rsid w:val="00BC4AF6"/>
    <w:rsid w:val="00BC4FAE"/>
    <w:rsid w:val="00BC5196"/>
    <w:rsid w:val="00BC52E1"/>
    <w:rsid w:val="00BC5DD6"/>
    <w:rsid w:val="00BC5E93"/>
    <w:rsid w:val="00BC5FD2"/>
    <w:rsid w:val="00BC6331"/>
    <w:rsid w:val="00BC6CBA"/>
    <w:rsid w:val="00BC729C"/>
    <w:rsid w:val="00BC7657"/>
    <w:rsid w:val="00BC780F"/>
    <w:rsid w:val="00BC7A54"/>
    <w:rsid w:val="00BD02EC"/>
    <w:rsid w:val="00BD0558"/>
    <w:rsid w:val="00BD093F"/>
    <w:rsid w:val="00BD0FFE"/>
    <w:rsid w:val="00BD12F3"/>
    <w:rsid w:val="00BD1B51"/>
    <w:rsid w:val="00BD2326"/>
    <w:rsid w:val="00BD2653"/>
    <w:rsid w:val="00BD267B"/>
    <w:rsid w:val="00BD2802"/>
    <w:rsid w:val="00BD3294"/>
    <w:rsid w:val="00BD37F4"/>
    <w:rsid w:val="00BD399A"/>
    <w:rsid w:val="00BD3AE0"/>
    <w:rsid w:val="00BD457E"/>
    <w:rsid w:val="00BD4596"/>
    <w:rsid w:val="00BD543E"/>
    <w:rsid w:val="00BD5906"/>
    <w:rsid w:val="00BD5FB9"/>
    <w:rsid w:val="00BD6963"/>
    <w:rsid w:val="00BD709B"/>
    <w:rsid w:val="00BD794D"/>
    <w:rsid w:val="00BE039B"/>
    <w:rsid w:val="00BE047F"/>
    <w:rsid w:val="00BE0865"/>
    <w:rsid w:val="00BE08C8"/>
    <w:rsid w:val="00BE0A23"/>
    <w:rsid w:val="00BE0B2A"/>
    <w:rsid w:val="00BE12D7"/>
    <w:rsid w:val="00BE1405"/>
    <w:rsid w:val="00BE17BF"/>
    <w:rsid w:val="00BE1E67"/>
    <w:rsid w:val="00BE203F"/>
    <w:rsid w:val="00BE285A"/>
    <w:rsid w:val="00BE299D"/>
    <w:rsid w:val="00BE2E15"/>
    <w:rsid w:val="00BE312D"/>
    <w:rsid w:val="00BE3435"/>
    <w:rsid w:val="00BE382F"/>
    <w:rsid w:val="00BE3976"/>
    <w:rsid w:val="00BE3A9D"/>
    <w:rsid w:val="00BE3D1F"/>
    <w:rsid w:val="00BE4302"/>
    <w:rsid w:val="00BE4431"/>
    <w:rsid w:val="00BE477D"/>
    <w:rsid w:val="00BE5245"/>
    <w:rsid w:val="00BE52FD"/>
    <w:rsid w:val="00BE5346"/>
    <w:rsid w:val="00BE590E"/>
    <w:rsid w:val="00BE5FC5"/>
    <w:rsid w:val="00BE60DF"/>
    <w:rsid w:val="00BE659C"/>
    <w:rsid w:val="00BE6A9B"/>
    <w:rsid w:val="00BE7FA0"/>
    <w:rsid w:val="00BF0963"/>
    <w:rsid w:val="00BF0A84"/>
    <w:rsid w:val="00BF0C40"/>
    <w:rsid w:val="00BF1C20"/>
    <w:rsid w:val="00BF2032"/>
    <w:rsid w:val="00BF263E"/>
    <w:rsid w:val="00BF2FCE"/>
    <w:rsid w:val="00BF37E9"/>
    <w:rsid w:val="00BF3D25"/>
    <w:rsid w:val="00BF3E23"/>
    <w:rsid w:val="00BF3FEA"/>
    <w:rsid w:val="00BF48DA"/>
    <w:rsid w:val="00BF4F2B"/>
    <w:rsid w:val="00BF50C6"/>
    <w:rsid w:val="00BF5430"/>
    <w:rsid w:val="00BF5CCB"/>
    <w:rsid w:val="00BF5EFA"/>
    <w:rsid w:val="00BF6434"/>
    <w:rsid w:val="00BF6821"/>
    <w:rsid w:val="00BF6B10"/>
    <w:rsid w:val="00BF7D34"/>
    <w:rsid w:val="00C000EE"/>
    <w:rsid w:val="00C00AEC"/>
    <w:rsid w:val="00C00F5A"/>
    <w:rsid w:val="00C00FE2"/>
    <w:rsid w:val="00C00FE6"/>
    <w:rsid w:val="00C0138A"/>
    <w:rsid w:val="00C015EA"/>
    <w:rsid w:val="00C01C74"/>
    <w:rsid w:val="00C02347"/>
    <w:rsid w:val="00C027CA"/>
    <w:rsid w:val="00C02EF4"/>
    <w:rsid w:val="00C03EC4"/>
    <w:rsid w:val="00C04420"/>
    <w:rsid w:val="00C04AA7"/>
    <w:rsid w:val="00C05C1C"/>
    <w:rsid w:val="00C05CBF"/>
    <w:rsid w:val="00C05F69"/>
    <w:rsid w:val="00C06059"/>
    <w:rsid w:val="00C064C9"/>
    <w:rsid w:val="00C068A8"/>
    <w:rsid w:val="00C0698D"/>
    <w:rsid w:val="00C06B49"/>
    <w:rsid w:val="00C07219"/>
    <w:rsid w:val="00C07943"/>
    <w:rsid w:val="00C07F3A"/>
    <w:rsid w:val="00C10578"/>
    <w:rsid w:val="00C10719"/>
    <w:rsid w:val="00C1110C"/>
    <w:rsid w:val="00C11693"/>
    <w:rsid w:val="00C11A94"/>
    <w:rsid w:val="00C11E2C"/>
    <w:rsid w:val="00C12836"/>
    <w:rsid w:val="00C12D55"/>
    <w:rsid w:val="00C1323C"/>
    <w:rsid w:val="00C132A6"/>
    <w:rsid w:val="00C133F3"/>
    <w:rsid w:val="00C1347E"/>
    <w:rsid w:val="00C135BC"/>
    <w:rsid w:val="00C13DE2"/>
    <w:rsid w:val="00C13EA0"/>
    <w:rsid w:val="00C13EA9"/>
    <w:rsid w:val="00C14C3B"/>
    <w:rsid w:val="00C15118"/>
    <w:rsid w:val="00C156E7"/>
    <w:rsid w:val="00C15B65"/>
    <w:rsid w:val="00C15BDF"/>
    <w:rsid w:val="00C15C95"/>
    <w:rsid w:val="00C15EF4"/>
    <w:rsid w:val="00C15F2E"/>
    <w:rsid w:val="00C15F5D"/>
    <w:rsid w:val="00C1613A"/>
    <w:rsid w:val="00C162F7"/>
    <w:rsid w:val="00C1642C"/>
    <w:rsid w:val="00C164BC"/>
    <w:rsid w:val="00C1657B"/>
    <w:rsid w:val="00C1692A"/>
    <w:rsid w:val="00C1699A"/>
    <w:rsid w:val="00C16E44"/>
    <w:rsid w:val="00C170F7"/>
    <w:rsid w:val="00C20AF1"/>
    <w:rsid w:val="00C20AF4"/>
    <w:rsid w:val="00C20DD6"/>
    <w:rsid w:val="00C21045"/>
    <w:rsid w:val="00C2121E"/>
    <w:rsid w:val="00C213A2"/>
    <w:rsid w:val="00C21D75"/>
    <w:rsid w:val="00C21D92"/>
    <w:rsid w:val="00C21FE7"/>
    <w:rsid w:val="00C2233C"/>
    <w:rsid w:val="00C22906"/>
    <w:rsid w:val="00C22BC8"/>
    <w:rsid w:val="00C22C8D"/>
    <w:rsid w:val="00C22EFA"/>
    <w:rsid w:val="00C230A9"/>
    <w:rsid w:val="00C2342C"/>
    <w:rsid w:val="00C234AF"/>
    <w:rsid w:val="00C2494B"/>
    <w:rsid w:val="00C2596A"/>
    <w:rsid w:val="00C27537"/>
    <w:rsid w:val="00C2796A"/>
    <w:rsid w:val="00C27AEB"/>
    <w:rsid w:val="00C27BE5"/>
    <w:rsid w:val="00C3025A"/>
    <w:rsid w:val="00C31001"/>
    <w:rsid w:val="00C31182"/>
    <w:rsid w:val="00C31886"/>
    <w:rsid w:val="00C31BF1"/>
    <w:rsid w:val="00C3260D"/>
    <w:rsid w:val="00C326BC"/>
    <w:rsid w:val="00C328FE"/>
    <w:rsid w:val="00C32B90"/>
    <w:rsid w:val="00C33255"/>
    <w:rsid w:val="00C332AD"/>
    <w:rsid w:val="00C334EE"/>
    <w:rsid w:val="00C33507"/>
    <w:rsid w:val="00C33609"/>
    <w:rsid w:val="00C33B53"/>
    <w:rsid w:val="00C33D81"/>
    <w:rsid w:val="00C3400A"/>
    <w:rsid w:val="00C341C7"/>
    <w:rsid w:val="00C3421B"/>
    <w:rsid w:val="00C3423F"/>
    <w:rsid w:val="00C3486F"/>
    <w:rsid w:val="00C35CCA"/>
    <w:rsid w:val="00C360FB"/>
    <w:rsid w:val="00C36EF0"/>
    <w:rsid w:val="00C37BBD"/>
    <w:rsid w:val="00C40342"/>
    <w:rsid w:val="00C4038F"/>
    <w:rsid w:val="00C4043B"/>
    <w:rsid w:val="00C40D0D"/>
    <w:rsid w:val="00C41077"/>
    <w:rsid w:val="00C4121D"/>
    <w:rsid w:val="00C41361"/>
    <w:rsid w:val="00C43558"/>
    <w:rsid w:val="00C4409D"/>
    <w:rsid w:val="00C441B1"/>
    <w:rsid w:val="00C44542"/>
    <w:rsid w:val="00C44C41"/>
    <w:rsid w:val="00C44D1A"/>
    <w:rsid w:val="00C44E72"/>
    <w:rsid w:val="00C4567C"/>
    <w:rsid w:val="00C45A06"/>
    <w:rsid w:val="00C4616A"/>
    <w:rsid w:val="00C473AD"/>
    <w:rsid w:val="00C4759F"/>
    <w:rsid w:val="00C47E2D"/>
    <w:rsid w:val="00C47E5B"/>
    <w:rsid w:val="00C500CE"/>
    <w:rsid w:val="00C503DC"/>
    <w:rsid w:val="00C50503"/>
    <w:rsid w:val="00C509F1"/>
    <w:rsid w:val="00C50F7D"/>
    <w:rsid w:val="00C51883"/>
    <w:rsid w:val="00C51A47"/>
    <w:rsid w:val="00C521D0"/>
    <w:rsid w:val="00C5269E"/>
    <w:rsid w:val="00C52BBE"/>
    <w:rsid w:val="00C52F27"/>
    <w:rsid w:val="00C5309B"/>
    <w:rsid w:val="00C537D1"/>
    <w:rsid w:val="00C539EE"/>
    <w:rsid w:val="00C53ADD"/>
    <w:rsid w:val="00C53B43"/>
    <w:rsid w:val="00C54A19"/>
    <w:rsid w:val="00C54A32"/>
    <w:rsid w:val="00C55009"/>
    <w:rsid w:val="00C5500F"/>
    <w:rsid w:val="00C5505C"/>
    <w:rsid w:val="00C55104"/>
    <w:rsid w:val="00C55CBC"/>
    <w:rsid w:val="00C55F0B"/>
    <w:rsid w:val="00C56D16"/>
    <w:rsid w:val="00C572C0"/>
    <w:rsid w:val="00C60F24"/>
    <w:rsid w:val="00C60F99"/>
    <w:rsid w:val="00C619D4"/>
    <w:rsid w:val="00C61A7E"/>
    <w:rsid w:val="00C61E4B"/>
    <w:rsid w:val="00C6209E"/>
    <w:rsid w:val="00C62130"/>
    <w:rsid w:val="00C62582"/>
    <w:rsid w:val="00C62708"/>
    <w:rsid w:val="00C63305"/>
    <w:rsid w:val="00C63E65"/>
    <w:rsid w:val="00C6421C"/>
    <w:rsid w:val="00C6434D"/>
    <w:rsid w:val="00C64793"/>
    <w:rsid w:val="00C64BD9"/>
    <w:rsid w:val="00C64BFF"/>
    <w:rsid w:val="00C64F2F"/>
    <w:rsid w:val="00C653B5"/>
    <w:rsid w:val="00C65CD2"/>
    <w:rsid w:val="00C662AD"/>
    <w:rsid w:val="00C66895"/>
    <w:rsid w:val="00C66D3E"/>
    <w:rsid w:val="00C66EBC"/>
    <w:rsid w:val="00C703C8"/>
    <w:rsid w:val="00C704E9"/>
    <w:rsid w:val="00C70B38"/>
    <w:rsid w:val="00C718E5"/>
    <w:rsid w:val="00C71F93"/>
    <w:rsid w:val="00C729C7"/>
    <w:rsid w:val="00C739DB"/>
    <w:rsid w:val="00C73D1B"/>
    <w:rsid w:val="00C73DC6"/>
    <w:rsid w:val="00C74278"/>
    <w:rsid w:val="00C75542"/>
    <w:rsid w:val="00C75597"/>
    <w:rsid w:val="00C75D57"/>
    <w:rsid w:val="00C76139"/>
    <w:rsid w:val="00C763C9"/>
    <w:rsid w:val="00C763D1"/>
    <w:rsid w:val="00C76D7F"/>
    <w:rsid w:val="00C76EE5"/>
    <w:rsid w:val="00C77438"/>
    <w:rsid w:val="00C77755"/>
    <w:rsid w:val="00C80057"/>
    <w:rsid w:val="00C80290"/>
    <w:rsid w:val="00C8049E"/>
    <w:rsid w:val="00C80891"/>
    <w:rsid w:val="00C80E8D"/>
    <w:rsid w:val="00C8126A"/>
    <w:rsid w:val="00C81547"/>
    <w:rsid w:val="00C818C6"/>
    <w:rsid w:val="00C818E6"/>
    <w:rsid w:val="00C81DF5"/>
    <w:rsid w:val="00C82232"/>
    <w:rsid w:val="00C82461"/>
    <w:rsid w:val="00C82913"/>
    <w:rsid w:val="00C82A7B"/>
    <w:rsid w:val="00C82AAD"/>
    <w:rsid w:val="00C82B27"/>
    <w:rsid w:val="00C82C65"/>
    <w:rsid w:val="00C83012"/>
    <w:rsid w:val="00C83092"/>
    <w:rsid w:val="00C831D9"/>
    <w:rsid w:val="00C8383E"/>
    <w:rsid w:val="00C83C3C"/>
    <w:rsid w:val="00C83F70"/>
    <w:rsid w:val="00C84742"/>
    <w:rsid w:val="00C84922"/>
    <w:rsid w:val="00C8506E"/>
    <w:rsid w:val="00C851B5"/>
    <w:rsid w:val="00C85B37"/>
    <w:rsid w:val="00C85BD3"/>
    <w:rsid w:val="00C862B5"/>
    <w:rsid w:val="00C86439"/>
    <w:rsid w:val="00C8652F"/>
    <w:rsid w:val="00C8734B"/>
    <w:rsid w:val="00C874C0"/>
    <w:rsid w:val="00C87B25"/>
    <w:rsid w:val="00C87BD4"/>
    <w:rsid w:val="00C87E76"/>
    <w:rsid w:val="00C900F0"/>
    <w:rsid w:val="00C90DC1"/>
    <w:rsid w:val="00C91339"/>
    <w:rsid w:val="00C91FC4"/>
    <w:rsid w:val="00C924A3"/>
    <w:rsid w:val="00C9326F"/>
    <w:rsid w:val="00C93462"/>
    <w:rsid w:val="00C93812"/>
    <w:rsid w:val="00C93DF5"/>
    <w:rsid w:val="00C944FF"/>
    <w:rsid w:val="00C9577C"/>
    <w:rsid w:val="00C95E58"/>
    <w:rsid w:val="00C965C2"/>
    <w:rsid w:val="00C96714"/>
    <w:rsid w:val="00C96ACE"/>
    <w:rsid w:val="00C96C71"/>
    <w:rsid w:val="00C972B1"/>
    <w:rsid w:val="00C97351"/>
    <w:rsid w:val="00CA0A5B"/>
    <w:rsid w:val="00CA14EA"/>
    <w:rsid w:val="00CA1538"/>
    <w:rsid w:val="00CA2CCE"/>
    <w:rsid w:val="00CA3630"/>
    <w:rsid w:val="00CA398D"/>
    <w:rsid w:val="00CA3B6B"/>
    <w:rsid w:val="00CA43FD"/>
    <w:rsid w:val="00CA470E"/>
    <w:rsid w:val="00CA483C"/>
    <w:rsid w:val="00CA4B58"/>
    <w:rsid w:val="00CA5180"/>
    <w:rsid w:val="00CA5700"/>
    <w:rsid w:val="00CA5B22"/>
    <w:rsid w:val="00CA6169"/>
    <w:rsid w:val="00CA6258"/>
    <w:rsid w:val="00CA728F"/>
    <w:rsid w:val="00CA78EA"/>
    <w:rsid w:val="00CA7EF8"/>
    <w:rsid w:val="00CB03AF"/>
    <w:rsid w:val="00CB0A37"/>
    <w:rsid w:val="00CB0B88"/>
    <w:rsid w:val="00CB0F9C"/>
    <w:rsid w:val="00CB1224"/>
    <w:rsid w:val="00CB1290"/>
    <w:rsid w:val="00CB1439"/>
    <w:rsid w:val="00CB1BE6"/>
    <w:rsid w:val="00CB1C52"/>
    <w:rsid w:val="00CB1E5C"/>
    <w:rsid w:val="00CB1EFD"/>
    <w:rsid w:val="00CB2133"/>
    <w:rsid w:val="00CB2142"/>
    <w:rsid w:val="00CB304C"/>
    <w:rsid w:val="00CB358F"/>
    <w:rsid w:val="00CB3CB6"/>
    <w:rsid w:val="00CB4DA5"/>
    <w:rsid w:val="00CB4EC4"/>
    <w:rsid w:val="00CB58D8"/>
    <w:rsid w:val="00CB5EB0"/>
    <w:rsid w:val="00CB658F"/>
    <w:rsid w:val="00CB693E"/>
    <w:rsid w:val="00CB69EE"/>
    <w:rsid w:val="00CB6A10"/>
    <w:rsid w:val="00CB6E25"/>
    <w:rsid w:val="00CB723D"/>
    <w:rsid w:val="00CB733F"/>
    <w:rsid w:val="00CB75BA"/>
    <w:rsid w:val="00CB75BC"/>
    <w:rsid w:val="00CB7718"/>
    <w:rsid w:val="00CC10EB"/>
    <w:rsid w:val="00CC1579"/>
    <w:rsid w:val="00CC270E"/>
    <w:rsid w:val="00CC3238"/>
    <w:rsid w:val="00CC34AD"/>
    <w:rsid w:val="00CC45AF"/>
    <w:rsid w:val="00CC489B"/>
    <w:rsid w:val="00CC4C4D"/>
    <w:rsid w:val="00CC5E95"/>
    <w:rsid w:val="00CC6B2B"/>
    <w:rsid w:val="00CC6C0E"/>
    <w:rsid w:val="00CC6E1C"/>
    <w:rsid w:val="00CC6E86"/>
    <w:rsid w:val="00CC6F3F"/>
    <w:rsid w:val="00CC6F65"/>
    <w:rsid w:val="00CC72E1"/>
    <w:rsid w:val="00CC76BF"/>
    <w:rsid w:val="00CC7A8E"/>
    <w:rsid w:val="00CD0768"/>
    <w:rsid w:val="00CD07E2"/>
    <w:rsid w:val="00CD0DDA"/>
    <w:rsid w:val="00CD1751"/>
    <w:rsid w:val="00CD1A57"/>
    <w:rsid w:val="00CD1AFF"/>
    <w:rsid w:val="00CD1B47"/>
    <w:rsid w:val="00CD1B7A"/>
    <w:rsid w:val="00CD22E7"/>
    <w:rsid w:val="00CD22EB"/>
    <w:rsid w:val="00CD2A31"/>
    <w:rsid w:val="00CD2BCD"/>
    <w:rsid w:val="00CD2EF1"/>
    <w:rsid w:val="00CD318A"/>
    <w:rsid w:val="00CD326E"/>
    <w:rsid w:val="00CD32CB"/>
    <w:rsid w:val="00CD3A4C"/>
    <w:rsid w:val="00CD3A7E"/>
    <w:rsid w:val="00CD471B"/>
    <w:rsid w:val="00CD49FB"/>
    <w:rsid w:val="00CD4AE6"/>
    <w:rsid w:val="00CD4C2E"/>
    <w:rsid w:val="00CD5180"/>
    <w:rsid w:val="00CD55CF"/>
    <w:rsid w:val="00CD5644"/>
    <w:rsid w:val="00CD5BE1"/>
    <w:rsid w:val="00CD5C88"/>
    <w:rsid w:val="00CD6A8A"/>
    <w:rsid w:val="00CD6E31"/>
    <w:rsid w:val="00CD6FA7"/>
    <w:rsid w:val="00CD7057"/>
    <w:rsid w:val="00CD73AD"/>
    <w:rsid w:val="00CD75F9"/>
    <w:rsid w:val="00CE029C"/>
    <w:rsid w:val="00CE03E2"/>
    <w:rsid w:val="00CE0EBC"/>
    <w:rsid w:val="00CE10E9"/>
    <w:rsid w:val="00CE1634"/>
    <w:rsid w:val="00CE1681"/>
    <w:rsid w:val="00CE220C"/>
    <w:rsid w:val="00CE2910"/>
    <w:rsid w:val="00CE2B3B"/>
    <w:rsid w:val="00CE2EB7"/>
    <w:rsid w:val="00CE2F3F"/>
    <w:rsid w:val="00CE3074"/>
    <w:rsid w:val="00CE341E"/>
    <w:rsid w:val="00CE38E7"/>
    <w:rsid w:val="00CE3908"/>
    <w:rsid w:val="00CE4726"/>
    <w:rsid w:val="00CE49A9"/>
    <w:rsid w:val="00CE4ECF"/>
    <w:rsid w:val="00CE502D"/>
    <w:rsid w:val="00CE5393"/>
    <w:rsid w:val="00CE5A24"/>
    <w:rsid w:val="00CE5A3D"/>
    <w:rsid w:val="00CE5C08"/>
    <w:rsid w:val="00CE6708"/>
    <w:rsid w:val="00CE71BB"/>
    <w:rsid w:val="00CE71CF"/>
    <w:rsid w:val="00CE78C4"/>
    <w:rsid w:val="00CE7F13"/>
    <w:rsid w:val="00CE7F67"/>
    <w:rsid w:val="00CE7FC2"/>
    <w:rsid w:val="00CF00FC"/>
    <w:rsid w:val="00CF0411"/>
    <w:rsid w:val="00CF0839"/>
    <w:rsid w:val="00CF157B"/>
    <w:rsid w:val="00CF15E5"/>
    <w:rsid w:val="00CF1EB4"/>
    <w:rsid w:val="00CF1F56"/>
    <w:rsid w:val="00CF20A0"/>
    <w:rsid w:val="00CF278D"/>
    <w:rsid w:val="00CF293C"/>
    <w:rsid w:val="00CF2B32"/>
    <w:rsid w:val="00CF36BE"/>
    <w:rsid w:val="00CF48E4"/>
    <w:rsid w:val="00CF4C2C"/>
    <w:rsid w:val="00CF52B1"/>
    <w:rsid w:val="00CF54E5"/>
    <w:rsid w:val="00CF5D0B"/>
    <w:rsid w:val="00CF5D0D"/>
    <w:rsid w:val="00CF6000"/>
    <w:rsid w:val="00CF6136"/>
    <w:rsid w:val="00CF645E"/>
    <w:rsid w:val="00CF6472"/>
    <w:rsid w:val="00CF675F"/>
    <w:rsid w:val="00CF6B7D"/>
    <w:rsid w:val="00CF6D45"/>
    <w:rsid w:val="00CF6F69"/>
    <w:rsid w:val="00CF7BBA"/>
    <w:rsid w:val="00D003F3"/>
    <w:rsid w:val="00D00D4A"/>
    <w:rsid w:val="00D017BA"/>
    <w:rsid w:val="00D01E45"/>
    <w:rsid w:val="00D025D3"/>
    <w:rsid w:val="00D03514"/>
    <w:rsid w:val="00D0364F"/>
    <w:rsid w:val="00D0374D"/>
    <w:rsid w:val="00D03E8C"/>
    <w:rsid w:val="00D03EF7"/>
    <w:rsid w:val="00D03FBC"/>
    <w:rsid w:val="00D04851"/>
    <w:rsid w:val="00D0496C"/>
    <w:rsid w:val="00D049D5"/>
    <w:rsid w:val="00D04CA0"/>
    <w:rsid w:val="00D05B2D"/>
    <w:rsid w:val="00D05D0B"/>
    <w:rsid w:val="00D05E77"/>
    <w:rsid w:val="00D066B0"/>
    <w:rsid w:val="00D06834"/>
    <w:rsid w:val="00D06A02"/>
    <w:rsid w:val="00D06CF1"/>
    <w:rsid w:val="00D077FE"/>
    <w:rsid w:val="00D07BD4"/>
    <w:rsid w:val="00D07D70"/>
    <w:rsid w:val="00D101FB"/>
    <w:rsid w:val="00D103E1"/>
    <w:rsid w:val="00D10407"/>
    <w:rsid w:val="00D104E6"/>
    <w:rsid w:val="00D10A72"/>
    <w:rsid w:val="00D1188D"/>
    <w:rsid w:val="00D11A83"/>
    <w:rsid w:val="00D127E1"/>
    <w:rsid w:val="00D12D4E"/>
    <w:rsid w:val="00D12F82"/>
    <w:rsid w:val="00D1373E"/>
    <w:rsid w:val="00D141EE"/>
    <w:rsid w:val="00D1469B"/>
    <w:rsid w:val="00D146FE"/>
    <w:rsid w:val="00D14BD0"/>
    <w:rsid w:val="00D15608"/>
    <w:rsid w:val="00D156D0"/>
    <w:rsid w:val="00D15BD0"/>
    <w:rsid w:val="00D160FD"/>
    <w:rsid w:val="00D166BF"/>
    <w:rsid w:val="00D168AA"/>
    <w:rsid w:val="00D16B94"/>
    <w:rsid w:val="00D16BC2"/>
    <w:rsid w:val="00D16F21"/>
    <w:rsid w:val="00D173A4"/>
    <w:rsid w:val="00D176D4"/>
    <w:rsid w:val="00D17705"/>
    <w:rsid w:val="00D17DC5"/>
    <w:rsid w:val="00D17F36"/>
    <w:rsid w:val="00D17F8D"/>
    <w:rsid w:val="00D20D55"/>
    <w:rsid w:val="00D20F65"/>
    <w:rsid w:val="00D212D3"/>
    <w:rsid w:val="00D21582"/>
    <w:rsid w:val="00D2176D"/>
    <w:rsid w:val="00D217AB"/>
    <w:rsid w:val="00D21ADD"/>
    <w:rsid w:val="00D21F01"/>
    <w:rsid w:val="00D222AD"/>
    <w:rsid w:val="00D2239E"/>
    <w:rsid w:val="00D228C6"/>
    <w:rsid w:val="00D2323A"/>
    <w:rsid w:val="00D23C9C"/>
    <w:rsid w:val="00D23D50"/>
    <w:rsid w:val="00D23D7C"/>
    <w:rsid w:val="00D2443B"/>
    <w:rsid w:val="00D251C4"/>
    <w:rsid w:val="00D25210"/>
    <w:rsid w:val="00D25293"/>
    <w:rsid w:val="00D25F5B"/>
    <w:rsid w:val="00D26036"/>
    <w:rsid w:val="00D26500"/>
    <w:rsid w:val="00D26A99"/>
    <w:rsid w:val="00D2744A"/>
    <w:rsid w:val="00D2761D"/>
    <w:rsid w:val="00D278C6"/>
    <w:rsid w:val="00D27B16"/>
    <w:rsid w:val="00D27D1C"/>
    <w:rsid w:val="00D27EB1"/>
    <w:rsid w:val="00D3081D"/>
    <w:rsid w:val="00D308ED"/>
    <w:rsid w:val="00D30AAA"/>
    <w:rsid w:val="00D30D6E"/>
    <w:rsid w:val="00D311B9"/>
    <w:rsid w:val="00D315AA"/>
    <w:rsid w:val="00D31D2D"/>
    <w:rsid w:val="00D32FA4"/>
    <w:rsid w:val="00D33090"/>
    <w:rsid w:val="00D330A7"/>
    <w:rsid w:val="00D33D3D"/>
    <w:rsid w:val="00D33EA4"/>
    <w:rsid w:val="00D34081"/>
    <w:rsid w:val="00D3439A"/>
    <w:rsid w:val="00D34C0B"/>
    <w:rsid w:val="00D36D86"/>
    <w:rsid w:val="00D3758D"/>
    <w:rsid w:val="00D37999"/>
    <w:rsid w:val="00D37C77"/>
    <w:rsid w:val="00D37E6C"/>
    <w:rsid w:val="00D41235"/>
    <w:rsid w:val="00D41C93"/>
    <w:rsid w:val="00D428AA"/>
    <w:rsid w:val="00D43240"/>
    <w:rsid w:val="00D432CC"/>
    <w:rsid w:val="00D43303"/>
    <w:rsid w:val="00D43AE2"/>
    <w:rsid w:val="00D444F7"/>
    <w:rsid w:val="00D4482E"/>
    <w:rsid w:val="00D454D2"/>
    <w:rsid w:val="00D45879"/>
    <w:rsid w:val="00D4589E"/>
    <w:rsid w:val="00D45FED"/>
    <w:rsid w:val="00D46289"/>
    <w:rsid w:val="00D46489"/>
    <w:rsid w:val="00D46980"/>
    <w:rsid w:val="00D46C1F"/>
    <w:rsid w:val="00D46C25"/>
    <w:rsid w:val="00D46F94"/>
    <w:rsid w:val="00D47282"/>
    <w:rsid w:val="00D47BF2"/>
    <w:rsid w:val="00D50A34"/>
    <w:rsid w:val="00D50AD7"/>
    <w:rsid w:val="00D50E23"/>
    <w:rsid w:val="00D50E73"/>
    <w:rsid w:val="00D510E0"/>
    <w:rsid w:val="00D51460"/>
    <w:rsid w:val="00D51549"/>
    <w:rsid w:val="00D517BC"/>
    <w:rsid w:val="00D51D65"/>
    <w:rsid w:val="00D51FE5"/>
    <w:rsid w:val="00D520A2"/>
    <w:rsid w:val="00D528E3"/>
    <w:rsid w:val="00D52945"/>
    <w:rsid w:val="00D52A1B"/>
    <w:rsid w:val="00D52C4D"/>
    <w:rsid w:val="00D53241"/>
    <w:rsid w:val="00D53528"/>
    <w:rsid w:val="00D535FF"/>
    <w:rsid w:val="00D53A39"/>
    <w:rsid w:val="00D53EFA"/>
    <w:rsid w:val="00D541EE"/>
    <w:rsid w:val="00D54576"/>
    <w:rsid w:val="00D554BB"/>
    <w:rsid w:val="00D5655D"/>
    <w:rsid w:val="00D56683"/>
    <w:rsid w:val="00D569A5"/>
    <w:rsid w:val="00D57194"/>
    <w:rsid w:val="00D57301"/>
    <w:rsid w:val="00D601FE"/>
    <w:rsid w:val="00D60201"/>
    <w:rsid w:val="00D605C2"/>
    <w:rsid w:val="00D6177C"/>
    <w:rsid w:val="00D62C37"/>
    <w:rsid w:val="00D62DDC"/>
    <w:rsid w:val="00D63164"/>
    <w:rsid w:val="00D63686"/>
    <w:rsid w:val="00D6373E"/>
    <w:rsid w:val="00D639B2"/>
    <w:rsid w:val="00D63B7F"/>
    <w:rsid w:val="00D63E49"/>
    <w:rsid w:val="00D649AC"/>
    <w:rsid w:val="00D64CB8"/>
    <w:rsid w:val="00D64E47"/>
    <w:rsid w:val="00D64F9E"/>
    <w:rsid w:val="00D65D35"/>
    <w:rsid w:val="00D6626F"/>
    <w:rsid w:val="00D666DD"/>
    <w:rsid w:val="00D66F29"/>
    <w:rsid w:val="00D66FE2"/>
    <w:rsid w:val="00D673B2"/>
    <w:rsid w:val="00D67544"/>
    <w:rsid w:val="00D676D2"/>
    <w:rsid w:val="00D67E22"/>
    <w:rsid w:val="00D67E9C"/>
    <w:rsid w:val="00D67F1C"/>
    <w:rsid w:val="00D67F23"/>
    <w:rsid w:val="00D700AB"/>
    <w:rsid w:val="00D704B4"/>
    <w:rsid w:val="00D707EE"/>
    <w:rsid w:val="00D70BD1"/>
    <w:rsid w:val="00D70D33"/>
    <w:rsid w:val="00D71187"/>
    <w:rsid w:val="00D712CE"/>
    <w:rsid w:val="00D71A88"/>
    <w:rsid w:val="00D71F8B"/>
    <w:rsid w:val="00D72434"/>
    <w:rsid w:val="00D7272C"/>
    <w:rsid w:val="00D728AF"/>
    <w:rsid w:val="00D72A2B"/>
    <w:rsid w:val="00D72D19"/>
    <w:rsid w:val="00D72F0C"/>
    <w:rsid w:val="00D73472"/>
    <w:rsid w:val="00D73481"/>
    <w:rsid w:val="00D73ACF"/>
    <w:rsid w:val="00D73D6A"/>
    <w:rsid w:val="00D73E5D"/>
    <w:rsid w:val="00D746FC"/>
    <w:rsid w:val="00D747C8"/>
    <w:rsid w:val="00D74BCD"/>
    <w:rsid w:val="00D752B2"/>
    <w:rsid w:val="00D75493"/>
    <w:rsid w:val="00D75770"/>
    <w:rsid w:val="00D75AF0"/>
    <w:rsid w:val="00D75D14"/>
    <w:rsid w:val="00D75DB4"/>
    <w:rsid w:val="00D760DC"/>
    <w:rsid w:val="00D760E0"/>
    <w:rsid w:val="00D7650C"/>
    <w:rsid w:val="00D76E35"/>
    <w:rsid w:val="00D773FB"/>
    <w:rsid w:val="00D77537"/>
    <w:rsid w:val="00D805CC"/>
    <w:rsid w:val="00D8174C"/>
    <w:rsid w:val="00D81CB5"/>
    <w:rsid w:val="00D81F05"/>
    <w:rsid w:val="00D82153"/>
    <w:rsid w:val="00D822F4"/>
    <w:rsid w:val="00D82903"/>
    <w:rsid w:val="00D8297A"/>
    <w:rsid w:val="00D82FF1"/>
    <w:rsid w:val="00D835B6"/>
    <w:rsid w:val="00D83E2D"/>
    <w:rsid w:val="00D84617"/>
    <w:rsid w:val="00D849A6"/>
    <w:rsid w:val="00D84C8B"/>
    <w:rsid w:val="00D84E66"/>
    <w:rsid w:val="00D85055"/>
    <w:rsid w:val="00D8586F"/>
    <w:rsid w:val="00D86181"/>
    <w:rsid w:val="00D86283"/>
    <w:rsid w:val="00D86393"/>
    <w:rsid w:val="00D86769"/>
    <w:rsid w:val="00D86F92"/>
    <w:rsid w:val="00D90298"/>
    <w:rsid w:val="00D908DC"/>
    <w:rsid w:val="00D912AE"/>
    <w:rsid w:val="00D9168D"/>
    <w:rsid w:val="00D9175B"/>
    <w:rsid w:val="00D923B8"/>
    <w:rsid w:val="00D92AD4"/>
    <w:rsid w:val="00D92C69"/>
    <w:rsid w:val="00D932FB"/>
    <w:rsid w:val="00D93505"/>
    <w:rsid w:val="00D93AB8"/>
    <w:rsid w:val="00D94134"/>
    <w:rsid w:val="00D94A7C"/>
    <w:rsid w:val="00D94E6C"/>
    <w:rsid w:val="00D95870"/>
    <w:rsid w:val="00D95896"/>
    <w:rsid w:val="00D95E4E"/>
    <w:rsid w:val="00D96212"/>
    <w:rsid w:val="00D974E2"/>
    <w:rsid w:val="00D97575"/>
    <w:rsid w:val="00D97A46"/>
    <w:rsid w:val="00DA092B"/>
    <w:rsid w:val="00DA0BCD"/>
    <w:rsid w:val="00DA0F64"/>
    <w:rsid w:val="00DA1376"/>
    <w:rsid w:val="00DA14F1"/>
    <w:rsid w:val="00DA176A"/>
    <w:rsid w:val="00DA18D1"/>
    <w:rsid w:val="00DA20BD"/>
    <w:rsid w:val="00DA2758"/>
    <w:rsid w:val="00DA2A0A"/>
    <w:rsid w:val="00DA2A2F"/>
    <w:rsid w:val="00DA3137"/>
    <w:rsid w:val="00DA3AFE"/>
    <w:rsid w:val="00DA3BEA"/>
    <w:rsid w:val="00DA4388"/>
    <w:rsid w:val="00DA43D1"/>
    <w:rsid w:val="00DA4524"/>
    <w:rsid w:val="00DA492F"/>
    <w:rsid w:val="00DA5578"/>
    <w:rsid w:val="00DA587C"/>
    <w:rsid w:val="00DA596F"/>
    <w:rsid w:val="00DA60F8"/>
    <w:rsid w:val="00DA66D0"/>
    <w:rsid w:val="00DA6D83"/>
    <w:rsid w:val="00DB00B3"/>
    <w:rsid w:val="00DB118B"/>
    <w:rsid w:val="00DB15C5"/>
    <w:rsid w:val="00DB1ABC"/>
    <w:rsid w:val="00DB1E71"/>
    <w:rsid w:val="00DB2383"/>
    <w:rsid w:val="00DB287B"/>
    <w:rsid w:val="00DB2983"/>
    <w:rsid w:val="00DB2AAD"/>
    <w:rsid w:val="00DB3091"/>
    <w:rsid w:val="00DB34CC"/>
    <w:rsid w:val="00DB3B91"/>
    <w:rsid w:val="00DB4B5C"/>
    <w:rsid w:val="00DB4C01"/>
    <w:rsid w:val="00DB55EC"/>
    <w:rsid w:val="00DB670F"/>
    <w:rsid w:val="00DB6A86"/>
    <w:rsid w:val="00DB6FA1"/>
    <w:rsid w:val="00DB7040"/>
    <w:rsid w:val="00DB71E1"/>
    <w:rsid w:val="00DB7AC0"/>
    <w:rsid w:val="00DB7DB5"/>
    <w:rsid w:val="00DB7DFC"/>
    <w:rsid w:val="00DC0443"/>
    <w:rsid w:val="00DC07A3"/>
    <w:rsid w:val="00DC1257"/>
    <w:rsid w:val="00DC1A99"/>
    <w:rsid w:val="00DC1F5E"/>
    <w:rsid w:val="00DC2040"/>
    <w:rsid w:val="00DC210B"/>
    <w:rsid w:val="00DC214A"/>
    <w:rsid w:val="00DC257C"/>
    <w:rsid w:val="00DC2F57"/>
    <w:rsid w:val="00DC30EE"/>
    <w:rsid w:val="00DC3BF1"/>
    <w:rsid w:val="00DC3DC0"/>
    <w:rsid w:val="00DC40BB"/>
    <w:rsid w:val="00DC43B5"/>
    <w:rsid w:val="00DC47BF"/>
    <w:rsid w:val="00DC4CEB"/>
    <w:rsid w:val="00DC4D48"/>
    <w:rsid w:val="00DC4DE3"/>
    <w:rsid w:val="00DC5B2B"/>
    <w:rsid w:val="00DC6198"/>
    <w:rsid w:val="00DC684B"/>
    <w:rsid w:val="00DC6A6A"/>
    <w:rsid w:val="00DC6DD8"/>
    <w:rsid w:val="00DC71B6"/>
    <w:rsid w:val="00DC731E"/>
    <w:rsid w:val="00DC75B8"/>
    <w:rsid w:val="00DC79CC"/>
    <w:rsid w:val="00DC7A89"/>
    <w:rsid w:val="00DC7D94"/>
    <w:rsid w:val="00DC7E9A"/>
    <w:rsid w:val="00DC7FC6"/>
    <w:rsid w:val="00DD0966"/>
    <w:rsid w:val="00DD0A3E"/>
    <w:rsid w:val="00DD0E5B"/>
    <w:rsid w:val="00DD1860"/>
    <w:rsid w:val="00DD199C"/>
    <w:rsid w:val="00DD19A3"/>
    <w:rsid w:val="00DD21EE"/>
    <w:rsid w:val="00DD23D7"/>
    <w:rsid w:val="00DD2703"/>
    <w:rsid w:val="00DD2784"/>
    <w:rsid w:val="00DD294E"/>
    <w:rsid w:val="00DD2B7E"/>
    <w:rsid w:val="00DD2D4A"/>
    <w:rsid w:val="00DD2F32"/>
    <w:rsid w:val="00DD318D"/>
    <w:rsid w:val="00DD3DD4"/>
    <w:rsid w:val="00DD4784"/>
    <w:rsid w:val="00DD4D80"/>
    <w:rsid w:val="00DD509D"/>
    <w:rsid w:val="00DD610F"/>
    <w:rsid w:val="00DD66CF"/>
    <w:rsid w:val="00DD6AE4"/>
    <w:rsid w:val="00DD723C"/>
    <w:rsid w:val="00DD7245"/>
    <w:rsid w:val="00DD73B3"/>
    <w:rsid w:val="00DD7834"/>
    <w:rsid w:val="00DE00B3"/>
    <w:rsid w:val="00DE0109"/>
    <w:rsid w:val="00DE0EA0"/>
    <w:rsid w:val="00DE119F"/>
    <w:rsid w:val="00DE1371"/>
    <w:rsid w:val="00DE13D8"/>
    <w:rsid w:val="00DE20BD"/>
    <w:rsid w:val="00DE2C4D"/>
    <w:rsid w:val="00DE31E4"/>
    <w:rsid w:val="00DE33A4"/>
    <w:rsid w:val="00DE3494"/>
    <w:rsid w:val="00DE366D"/>
    <w:rsid w:val="00DE4191"/>
    <w:rsid w:val="00DE454B"/>
    <w:rsid w:val="00DE4953"/>
    <w:rsid w:val="00DE4A47"/>
    <w:rsid w:val="00DE6289"/>
    <w:rsid w:val="00DE6656"/>
    <w:rsid w:val="00DE68A0"/>
    <w:rsid w:val="00DE68EB"/>
    <w:rsid w:val="00DE6987"/>
    <w:rsid w:val="00DE6BC6"/>
    <w:rsid w:val="00DE76C8"/>
    <w:rsid w:val="00DE7775"/>
    <w:rsid w:val="00DE7ADC"/>
    <w:rsid w:val="00DF113D"/>
    <w:rsid w:val="00DF2C60"/>
    <w:rsid w:val="00DF2E12"/>
    <w:rsid w:val="00DF31AE"/>
    <w:rsid w:val="00DF32F6"/>
    <w:rsid w:val="00DF34E9"/>
    <w:rsid w:val="00DF359F"/>
    <w:rsid w:val="00DF3A3D"/>
    <w:rsid w:val="00DF3F92"/>
    <w:rsid w:val="00DF449F"/>
    <w:rsid w:val="00DF44E2"/>
    <w:rsid w:val="00DF514A"/>
    <w:rsid w:val="00DF52FE"/>
    <w:rsid w:val="00DF5924"/>
    <w:rsid w:val="00DF6690"/>
    <w:rsid w:val="00DF67E2"/>
    <w:rsid w:val="00DF6804"/>
    <w:rsid w:val="00DF6D55"/>
    <w:rsid w:val="00DF6EE4"/>
    <w:rsid w:val="00DF72BF"/>
    <w:rsid w:val="00E018D4"/>
    <w:rsid w:val="00E01AF0"/>
    <w:rsid w:val="00E02B32"/>
    <w:rsid w:val="00E02C43"/>
    <w:rsid w:val="00E032FF"/>
    <w:rsid w:val="00E0358D"/>
    <w:rsid w:val="00E03636"/>
    <w:rsid w:val="00E041A6"/>
    <w:rsid w:val="00E04323"/>
    <w:rsid w:val="00E043C0"/>
    <w:rsid w:val="00E04861"/>
    <w:rsid w:val="00E04F2C"/>
    <w:rsid w:val="00E04F37"/>
    <w:rsid w:val="00E05B9B"/>
    <w:rsid w:val="00E066AB"/>
    <w:rsid w:val="00E070A2"/>
    <w:rsid w:val="00E072DB"/>
    <w:rsid w:val="00E07564"/>
    <w:rsid w:val="00E0788A"/>
    <w:rsid w:val="00E07EBA"/>
    <w:rsid w:val="00E10154"/>
    <w:rsid w:val="00E1028A"/>
    <w:rsid w:val="00E1116B"/>
    <w:rsid w:val="00E111F6"/>
    <w:rsid w:val="00E112E1"/>
    <w:rsid w:val="00E11A3F"/>
    <w:rsid w:val="00E1206A"/>
    <w:rsid w:val="00E12C8A"/>
    <w:rsid w:val="00E1310B"/>
    <w:rsid w:val="00E131CE"/>
    <w:rsid w:val="00E13297"/>
    <w:rsid w:val="00E150FB"/>
    <w:rsid w:val="00E15197"/>
    <w:rsid w:val="00E154AC"/>
    <w:rsid w:val="00E156F5"/>
    <w:rsid w:val="00E15FD0"/>
    <w:rsid w:val="00E1608A"/>
    <w:rsid w:val="00E16A64"/>
    <w:rsid w:val="00E16BB8"/>
    <w:rsid w:val="00E17127"/>
    <w:rsid w:val="00E175AC"/>
    <w:rsid w:val="00E2052D"/>
    <w:rsid w:val="00E218E4"/>
    <w:rsid w:val="00E21B01"/>
    <w:rsid w:val="00E21F15"/>
    <w:rsid w:val="00E21FB7"/>
    <w:rsid w:val="00E220E7"/>
    <w:rsid w:val="00E22775"/>
    <w:rsid w:val="00E22C03"/>
    <w:rsid w:val="00E231AB"/>
    <w:rsid w:val="00E2345C"/>
    <w:rsid w:val="00E237C9"/>
    <w:rsid w:val="00E2486C"/>
    <w:rsid w:val="00E248CD"/>
    <w:rsid w:val="00E257EE"/>
    <w:rsid w:val="00E260ED"/>
    <w:rsid w:val="00E262F2"/>
    <w:rsid w:val="00E2656A"/>
    <w:rsid w:val="00E2679C"/>
    <w:rsid w:val="00E26EAF"/>
    <w:rsid w:val="00E27A47"/>
    <w:rsid w:val="00E27F89"/>
    <w:rsid w:val="00E30510"/>
    <w:rsid w:val="00E3051C"/>
    <w:rsid w:val="00E30A43"/>
    <w:rsid w:val="00E30FE8"/>
    <w:rsid w:val="00E31771"/>
    <w:rsid w:val="00E318E8"/>
    <w:rsid w:val="00E32765"/>
    <w:rsid w:val="00E32D21"/>
    <w:rsid w:val="00E32E2B"/>
    <w:rsid w:val="00E33813"/>
    <w:rsid w:val="00E33CBD"/>
    <w:rsid w:val="00E3489D"/>
    <w:rsid w:val="00E34EE0"/>
    <w:rsid w:val="00E35065"/>
    <w:rsid w:val="00E351FA"/>
    <w:rsid w:val="00E35E3A"/>
    <w:rsid w:val="00E361A4"/>
    <w:rsid w:val="00E363A1"/>
    <w:rsid w:val="00E36A30"/>
    <w:rsid w:val="00E37AA1"/>
    <w:rsid w:val="00E37EA3"/>
    <w:rsid w:val="00E37FCB"/>
    <w:rsid w:val="00E4055E"/>
    <w:rsid w:val="00E405A1"/>
    <w:rsid w:val="00E4081A"/>
    <w:rsid w:val="00E412D0"/>
    <w:rsid w:val="00E41A86"/>
    <w:rsid w:val="00E41C8F"/>
    <w:rsid w:val="00E41DB1"/>
    <w:rsid w:val="00E41FCD"/>
    <w:rsid w:val="00E428F0"/>
    <w:rsid w:val="00E42E0F"/>
    <w:rsid w:val="00E43A11"/>
    <w:rsid w:val="00E43EAF"/>
    <w:rsid w:val="00E4409C"/>
    <w:rsid w:val="00E44371"/>
    <w:rsid w:val="00E44EBD"/>
    <w:rsid w:val="00E453A6"/>
    <w:rsid w:val="00E454EE"/>
    <w:rsid w:val="00E45580"/>
    <w:rsid w:val="00E45604"/>
    <w:rsid w:val="00E45908"/>
    <w:rsid w:val="00E466AF"/>
    <w:rsid w:val="00E47031"/>
    <w:rsid w:val="00E4730B"/>
    <w:rsid w:val="00E47430"/>
    <w:rsid w:val="00E4763A"/>
    <w:rsid w:val="00E47697"/>
    <w:rsid w:val="00E500E2"/>
    <w:rsid w:val="00E502D2"/>
    <w:rsid w:val="00E506BC"/>
    <w:rsid w:val="00E50A18"/>
    <w:rsid w:val="00E50E5B"/>
    <w:rsid w:val="00E50FE3"/>
    <w:rsid w:val="00E519AF"/>
    <w:rsid w:val="00E51A95"/>
    <w:rsid w:val="00E51B7D"/>
    <w:rsid w:val="00E531FE"/>
    <w:rsid w:val="00E53229"/>
    <w:rsid w:val="00E539FE"/>
    <w:rsid w:val="00E53DDB"/>
    <w:rsid w:val="00E549DF"/>
    <w:rsid w:val="00E54B38"/>
    <w:rsid w:val="00E54D98"/>
    <w:rsid w:val="00E558B5"/>
    <w:rsid w:val="00E55FE1"/>
    <w:rsid w:val="00E56322"/>
    <w:rsid w:val="00E56671"/>
    <w:rsid w:val="00E56D2A"/>
    <w:rsid w:val="00E57204"/>
    <w:rsid w:val="00E5799E"/>
    <w:rsid w:val="00E6013B"/>
    <w:rsid w:val="00E60982"/>
    <w:rsid w:val="00E6120F"/>
    <w:rsid w:val="00E6260E"/>
    <w:rsid w:val="00E62B89"/>
    <w:rsid w:val="00E62C62"/>
    <w:rsid w:val="00E62C8C"/>
    <w:rsid w:val="00E63BB8"/>
    <w:rsid w:val="00E63DD1"/>
    <w:rsid w:val="00E64A73"/>
    <w:rsid w:val="00E654C1"/>
    <w:rsid w:val="00E65782"/>
    <w:rsid w:val="00E65A4F"/>
    <w:rsid w:val="00E65D97"/>
    <w:rsid w:val="00E66296"/>
    <w:rsid w:val="00E66516"/>
    <w:rsid w:val="00E66819"/>
    <w:rsid w:val="00E669EA"/>
    <w:rsid w:val="00E66BC6"/>
    <w:rsid w:val="00E66C86"/>
    <w:rsid w:val="00E66D25"/>
    <w:rsid w:val="00E7037A"/>
    <w:rsid w:val="00E70B67"/>
    <w:rsid w:val="00E71342"/>
    <w:rsid w:val="00E71578"/>
    <w:rsid w:val="00E71681"/>
    <w:rsid w:val="00E717DE"/>
    <w:rsid w:val="00E71DAB"/>
    <w:rsid w:val="00E726A7"/>
    <w:rsid w:val="00E72A5A"/>
    <w:rsid w:val="00E73354"/>
    <w:rsid w:val="00E73577"/>
    <w:rsid w:val="00E739D5"/>
    <w:rsid w:val="00E73A69"/>
    <w:rsid w:val="00E73A86"/>
    <w:rsid w:val="00E73CD8"/>
    <w:rsid w:val="00E753F0"/>
    <w:rsid w:val="00E7551E"/>
    <w:rsid w:val="00E761B6"/>
    <w:rsid w:val="00E76422"/>
    <w:rsid w:val="00E76FD0"/>
    <w:rsid w:val="00E77194"/>
    <w:rsid w:val="00E7746F"/>
    <w:rsid w:val="00E803DF"/>
    <w:rsid w:val="00E810A0"/>
    <w:rsid w:val="00E81412"/>
    <w:rsid w:val="00E81415"/>
    <w:rsid w:val="00E81AF5"/>
    <w:rsid w:val="00E824BE"/>
    <w:rsid w:val="00E826B8"/>
    <w:rsid w:val="00E836A6"/>
    <w:rsid w:val="00E83738"/>
    <w:rsid w:val="00E83B2D"/>
    <w:rsid w:val="00E84403"/>
    <w:rsid w:val="00E84D64"/>
    <w:rsid w:val="00E85336"/>
    <w:rsid w:val="00E8597A"/>
    <w:rsid w:val="00E85C78"/>
    <w:rsid w:val="00E85F89"/>
    <w:rsid w:val="00E86541"/>
    <w:rsid w:val="00E86A8F"/>
    <w:rsid w:val="00E86B4E"/>
    <w:rsid w:val="00E86B84"/>
    <w:rsid w:val="00E86E4A"/>
    <w:rsid w:val="00E86FDB"/>
    <w:rsid w:val="00E8740F"/>
    <w:rsid w:val="00E87C80"/>
    <w:rsid w:val="00E87F22"/>
    <w:rsid w:val="00E9015F"/>
    <w:rsid w:val="00E903AB"/>
    <w:rsid w:val="00E90822"/>
    <w:rsid w:val="00E90919"/>
    <w:rsid w:val="00E90EC7"/>
    <w:rsid w:val="00E90F4E"/>
    <w:rsid w:val="00E910F7"/>
    <w:rsid w:val="00E9157A"/>
    <w:rsid w:val="00E91831"/>
    <w:rsid w:val="00E91E3B"/>
    <w:rsid w:val="00E91F77"/>
    <w:rsid w:val="00E921E3"/>
    <w:rsid w:val="00E9242D"/>
    <w:rsid w:val="00E93678"/>
    <w:rsid w:val="00E93748"/>
    <w:rsid w:val="00E93803"/>
    <w:rsid w:val="00E939C2"/>
    <w:rsid w:val="00E94618"/>
    <w:rsid w:val="00E9493C"/>
    <w:rsid w:val="00E94A0D"/>
    <w:rsid w:val="00E94C80"/>
    <w:rsid w:val="00E94E0B"/>
    <w:rsid w:val="00E95551"/>
    <w:rsid w:val="00E9598A"/>
    <w:rsid w:val="00E95ADE"/>
    <w:rsid w:val="00E95B9B"/>
    <w:rsid w:val="00E960AE"/>
    <w:rsid w:val="00E9672E"/>
    <w:rsid w:val="00E96BDB"/>
    <w:rsid w:val="00EA0152"/>
    <w:rsid w:val="00EA06A1"/>
    <w:rsid w:val="00EA1463"/>
    <w:rsid w:val="00EA1B13"/>
    <w:rsid w:val="00EA26D5"/>
    <w:rsid w:val="00EA2823"/>
    <w:rsid w:val="00EA3522"/>
    <w:rsid w:val="00EA3A08"/>
    <w:rsid w:val="00EA3AC1"/>
    <w:rsid w:val="00EA42FB"/>
    <w:rsid w:val="00EA4F46"/>
    <w:rsid w:val="00EA6137"/>
    <w:rsid w:val="00EA6624"/>
    <w:rsid w:val="00EA6CD7"/>
    <w:rsid w:val="00EA6E5F"/>
    <w:rsid w:val="00EA78F5"/>
    <w:rsid w:val="00EA796E"/>
    <w:rsid w:val="00EA7B47"/>
    <w:rsid w:val="00EA7CCE"/>
    <w:rsid w:val="00EB04A3"/>
    <w:rsid w:val="00EB068D"/>
    <w:rsid w:val="00EB0FAE"/>
    <w:rsid w:val="00EB1257"/>
    <w:rsid w:val="00EB16D9"/>
    <w:rsid w:val="00EB1979"/>
    <w:rsid w:val="00EB26F6"/>
    <w:rsid w:val="00EB2792"/>
    <w:rsid w:val="00EB2A80"/>
    <w:rsid w:val="00EB2F84"/>
    <w:rsid w:val="00EB35E9"/>
    <w:rsid w:val="00EB3A23"/>
    <w:rsid w:val="00EB4143"/>
    <w:rsid w:val="00EB44D6"/>
    <w:rsid w:val="00EB4529"/>
    <w:rsid w:val="00EB50D2"/>
    <w:rsid w:val="00EB5255"/>
    <w:rsid w:val="00EB5676"/>
    <w:rsid w:val="00EB585D"/>
    <w:rsid w:val="00EB5A30"/>
    <w:rsid w:val="00EB5C47"/>
    <w:rsid w:val="00EB5C58"/>
    <w:rsid w:val="00EB5E12"/>
    <w:rsid w:val="00EB628E"/>
    <w:rsid w:val="00EB62B2"/>
    <w:rsid w:val="00EB65A9"/>
    <w:rsid w:val="00EB7266"/>
    <w:rsid w:val="00EB73E8"/>
    <w:rsid w:val="00EB7CD9"/>
    <w:rsid w:val="00EB7FA4"/>
    <w:rsid w:val="00EC04D5"/>
    <w:rsid w:val="00EC1114"/>
    <w:rsid w:val="00EC27B1"/>
    <w:rsid w:val="00EC2BD4"/>
    <w:rsid w:val="00EC30F9"/>
    <w:rsid w:val="00EC3EA5"/>
    <w:rsid w:val="00EC4064"/>
    <w:rsid w:val="00EC40D3"/>
    <w:rsid w:val="00EC412A"/>
    <w:rsid w:val="00EC4171"/>
    <w:rsid w:val="00EC4834"/>
    <w:rsid w:val="00EC55A5"/>
    <w:rsid w:val="00EC5702"/>
    <w:rsid w:val="00EC5A9A"/>
    <w:rsid w:val="00EC5E69"/>
    <w:rsid w:val="00EC5F44"/>
    <w:rsid w:val="00EC6619"/>
    <w:rsid w:val="00EC7EEE"/>
    <w:rsid w:val="00ED054F"/>
    <w:rsid w:val="00ED0639"/>
    <w:rsid w:val="00ED0747"/>
    <w:rsid w:val="00ED079A"/>
    <w:rsid w:val="00ED0AD0"/>
    <w:rsid w:val="00ED0DFE"/>
    <w:rsid w:val="00ED0F9B"/>
    <w:rsid w:val="00ED1262"/>
    <w:rsid w:val="00ED146D"/>
    <w:rsid w:val="00ED1521"/>
    <w:rsid w:val="00ED15CE"/>
    <w:rsid w:val="00ED1958"/>
    <w:rsid w:val="00ED1E0E"/>
    <w:rsid w:val="00ED21D1"/>
    <w:rsid w:val="00ED2286"/>
    <w:rsid w:val="00ED23C4"/>
    <w:rsid w:val="00ED27E1"/>
    <w:rsid w:val="00ED2949"/>
    <w:rsid w:val="00ED2958"/>
    <w:rsid w:val="00ED2B11"/>
    <w:rsid w:val="00ED2D4E"/>
    <w:rsid w:val="00ED2D73"/>
    <w:rsid w:val="00ED2EE1"/>
    <w:rsid w:val="00ED3857"/>
    <w:rsid w:val="00ED3BF7"/>
    <w:rsid w:val="00ED3D38"/>
    <w:rsid w:val="00ED3E01"/>
    <w:rsid w:val="00ED41FA"/>
    <w:rsid w:val="00ED43A7"/>
    <w:rsid w:val="00ED4580"/>
    <w:rsid w:val="00ED4943"/>
    <w:rsid w:val="00ED4B8F"/>
    <w:rsid w:val="00ED4D29"/>
    <w:rsid w:val="00ED513C"/>
    <w:rsid w:val="00ED51B1"/>
    <w:rsid w:val="00ED55E1"/>
    <w:rsid w:val="00ED5D59"/>
    <w:rsid w:val="00ED5DD5"/>
    <w:rsid w:val="00ED6560"/>
    <w:rsid w:val="00ED75B8"/>
    <w:rsid w:val="00ED7A0B"/>
    <w:rsid w:val="00ED7F2C"/>
    <w:rsid w:val="00EE004E"/>
    <w:rsid w:val="00EE061C"/>
    <w:rsid w:val="00EE164F"/>
    <w:rsid w:val="00EE1F32"/>
    <w:rsid w:val="00EE22DE"/>
    <w:rsid w:val="00EE2412"/>
    <w:rsid w:val="00EE2620"/>
    <w:rsid w:val="00EE339C"/>
    <w:rsid w:val="00EE3435"/>
    <w:rsid w:val="00EE4BB0"/>
    <w:rsid w:val="00EE4CE7"/>
    <w:rsid w:val="00EE4E50"/>
    <w:rsid w:val="00EE5038"/>
    <w:rsid w:val="00EE5D46"/>
    <w:rsid w:val="00EE5DA4"/>
    <w:rsid w:val="00EE5E71"/>
    <w:rsid w:val="00EE6211"/>
    <w:rsid w:val="00EE671E"/>
    <w:rsid w:val="00EE69F6"/>
    <w:rsid w:val="00EE6E45"/>
    <w:rsid w:val="00EE706C"/>
    <w:rsid w:val="00EE71E7"/>
    <w:rsid w:val="00EE7AB7"/>
    <w:rsid w:val="00EE7E65"/>
    <w:rsid w:val="00EF005A"/>
    <w:rsid w:val="00EF097A"/>
    <w:rsid w:val="00EF1784"/>
    <w:rsid w:val="00EF1B50"/>
    <w:rsid w:val="00EF1E81"/>
    <w:rsid w:val="00EF3384"/>
    <w:rsid w:val="00EF3DC1"/>
    <w:rsid w:val="00EF3FC8"/>
    <w:rsid w:val="00EF410B"/>
    <w:rsid w:val="00EF448A"/>
    <w:rsid w:val="00EF452D"/>
    <w:rsid w:val="00EF4755"/>
    <w:rsid w:val="00EF5E59"/>
    <w:rsid w:val="00EF5E85"/>
    <w:rsid w:val="00EF66A1"/>
    <w:rsid w:val="00EF6A0B"/>
    <w:rsid w:val="00EF6E00"/>
    <w:rsid w:val="00EF6F9C"/>
    <w:rsid w:val="00EF6FD1"/>
    <w:rsid w:val="00EF700F"/>
    <w:rsid w:val="00EF7135"/>
    <w:rsid w:val="00EF73C7"/>
    <w:rsid w:val="00EF798D"/>
    <w:rsid w:val="00EF7C77"/>
    <w:rsid w:val="00F005F2"/>
    <w:rsid w:val="00F0230C"/>
    <w:rsid w:val="00F0231B"/>
    <w:rsid w:val="00F027C3"/>
    <w:rsid w:val="00F027DB"/>
    <w:rsid w:val="00F02E1F"/>
    <w:rsid w:val="00F03ACC"/>
    <w:rsid w:val="00F04A82"/>
    <w:rsid w:val="00F0528F"/>
    <w:rsid w:val="00F05A4F"/>
    <w:rsid w:val="00F05BD9"/>
    <w:rsid w:val="00F06914"/>
    <w:rsid w:val="00F077A1"/>
    <w:rsid w:val="00F07847"/>
    <w:rsid w:val="00F078C4"/>
    <w:rsid w:val="00F078FD"/>
    <w:rsid w:val="00F07A2F"/>
    <w:rsid w:val="00F07C68"/>
    <w:rsid w:val="00F07C83"/>
    <w:rsid w:val="00F10540"/>
    <w:rsid w:val="00F109CF"/>
    <w:rsid w:val="00F113A1"/>
    <w:rsid w:val="00F1240B"/>
    <w:rsid w:val="00F136FC"/>
    <w:rsid w:val="00F13D83"/>
    <w:rsid w:val="00F146C0"/>
    <w:rsid w:val="00F14992"/>
    <w:rsid w:val="00F14A7A"/>
    <w:rsid w:val="00F14A8C"/>
    <w:rsid w:val="00F150CA"/>
    <w:rsid w:val="00F15320"/>
    <w:rsid w:val="00F15A1D"/>
    <w:rsid w:val="00F15B37"/>
    <w:rsid w:val="00F161B0"/>
    <w:rsid w:val="00F16A94"/>
    <w:rsid w:val="00F16E0E"/>
    <w:rsid w:val="00F17573"/>
    <w:rsid w:val="00F17FC3"/>
    <w:rsid w:val="00F20BAD"/>
    <w:rsid w:val="00F20CBB"/>
    <w:rsid w:val="00F2124D"/>
    <w:rsid w:val="00F21522"/>
    <w:rsid w:val="00F215A5"/>
    <w:rsid w:val="00F21A60"/>
    <w:rsid w:val="00F22095"/>
    <w:rsid w:val="00F226E0"/>
    <w:rsid w:val="00F2274E"/>
    <w:rsid w:val="00F22985"/>
    <w:rsid w:val="00F233AE"/>
    <w:rsid w:val="00F2381C"/>
    <w:rsid w:val="00F23E43"/>
    <w:rsid w:val="00F24020"/>
    <w:rsid w:val="00F24CF2"/>
    <w:rsid w:val="00F25100"/>
    <w:rsid w:val="00F25508"/>
    <w:rsid w:val="00F25913"/>
    <w:rsid w:val="00F25F8C"/>
    <w:rsid w:val="00F26C62"/>
    <w:rsid w:val="00F2729D"/>
    <w:rsid w:val="00F27575"/>
    <w:rsid w:val="00F2773E"/>
    <w:rsid w:val="00F27E47"/>
    <w:rsid w:val="00F30124"/>
    <w:rsid w:val="00F302DF"/>
    <w:rsid w:val="00F30467"/>
    <w:rsid w:val="00F30E4F"/>
    <w:rsid w:val="00F3133A"/>
    <w:rsid w:val="00F31609"/>
    <w:rsid w:val="00F31713"/>
    <w:rsid w:val="00F31F35"/>
    <w:rsid w:val="00F3221A"/>
    <w:rsid w:val="00F32CF5"/>
    <w:rsid w:val="00F331C7"/>
    <w:rsid w:val="00F33732"/>
    <w:rsid w:val="00F3383E"/>
    <w:rsid w:val="00F347C0"/>
    <w:rsid w:val="00F34F96"/>
    <w:rsid w:val="00F3507D"/>
    <w:rsid w:val="00F3518A"/>
    <w:rsid w:val="00F352EE"/>
    <w:rsid w:val="00F35430"/>
    <w:rsid w:val="00F354C5"/>
    <w:rsid w:val="00F35AC1"/>
    <w:rsid w:val="00F36056"/>
    <w:rsid w:val="00F37084"/>
    <w:rsid w:val="00F37153"/>
    <w:rsid w:val="00F37F83"/>
    <w:rsid w:val="00F40709"/>
    <w:rsid w:val="00F40715"/>
    <w:rsid w:val="00F40D8F"/>
    <w:rsid w:val="00F40FC2"/>
    <w:rsid w:val="00F413A7"/>
    <w:rsid w:val="00F41696"/>
    <w:rsid w:val="00F41FFF"/>
    <w:rsid w:val="00F434B2"/>
    <w:rsid w:val="00F437D3"/>
    <w:rsid w:val="00F43802"/>
    <w:rsid w:val="00F43EBC"/>
    <w:rsid w:val="00F4404B"/>
    <w:rsid w:val="00F444CE"/>
    <w:rsid w:val="00F4463E"/>
    <w:rsid w:val="00F44A58"/>
    <w:rsid w:val="00F44B42"/>
    <w:rsid w:val="00F456C6"/>
    <w:rsid w:val="00F45BB8"/>
    <w:rsid w:val="00F45FC7"/>
    <w:rsid w:val="00F461C7"/>
    <w:rsid w:val="00F465A7"/>
    <w:rsid w:val="00F4745E"/>
    <w:rsid w:val="00F50517"/>
    <w:rsid w:val="00F5085B"/>
    <w:rsid w:val="00F5098A"/>
    <w:rsid w:val="00F50B7C"/>
    <w:rsid w:val="00F51625"/>
    <w:rsid w:val="00F51AA3"/>
    <w:rsid w:val="00F51E0D"/>
    <w:rsid w:val="00F520B1"/>
    <w:rsid w:val="00F52114"/>
    <w:rsid w:val="00F524DA"/>
    <w:rsid w:val="00F5273C"/>
    <w:rsid w:val="00F52A0B"/>
    <w:rsid w:val="00F52CDA"/>
    <w:rsid w:val="00F52EE1"/>
    <w:rsid w:val="00F536F5"/>
    <w:rsid w:val="00F5385E"/>
    <w:rsid w:val="00F538E9"/>
    <w:rsid w:val="00F53B8E"/>
    <w:rsid w:val="00F550E6"/>
    <w:rsid w:val="00F556E3"/>
    <w:rsid w:val="00F55955"/>
    <w:rsid w:val="00F55A51"/>
    <w:rsid w:val="00F560CE"/>
    <w:rsid w:val="00F5663A"/>
    <w:rsid w:val="00F5688F"/>
    <w:rsid w:val="00F56E76"/>
    <w:rsid w:val="00F576A9"/>
    <w:rsid w:val="00F57EAE"/>
    <w:rsid w:val="00F57F3D"/>
    <w:rsid w:val="00F57F65"/>
    <w:rsid w:val="00F57FF2"/>
    <w:rsid w:val="00F602CC"/>
    <w:rsid w:val="00F602D5"/>
    <w:rsid w:val="00F610C5"/>
    <w:rsid w:val="00F61560"/>
    <w:rsid w:val="00F619C5"/>
    <w:rsid w:val="00F61CDC"/>
    <w:rsid w:val="00F62457"/>
    <w:rsid w:val="00F626FB"/>
    <w:rsid w:val="00F62989"/>
    <w:rsid w:val="00F62F6C"/>
    <w:rsid w:val="00F6383E"/>
    <w:rsid w:val="00F64A74"/>
    <w:rsid w:val="00F64B57"/>
    <w:rsid w:val="00F6587D"/>
    <w:rsid w:val="00F65E80"/>
    <w:rsid w:val="00F65F02"/>
    <w:rsid w:val="00F66006"/>
    <w:rsid w:val="00F66379"/>
    <w:rsid w:val="00F66725"/>
    <w:rsid w:val="00F66EE1"/>
    <w:rsid w:val="00F67060"/>
    <w:rsid w:val="00F673CF"/>
    <w:rsid w:val="00F679DC"/>
    <w:rsid w:val="00F67D1B"/>
    <w:rsid w:val="00F7027C"/>
    <w:rsid w:val="00F70664"/>
    <w:rsid w:val="00F7136E"/>
    <w:rsid w:val="00F713A9"/>
    <w:rsid w:val="00F717D4"/>
    <w:rsid w:val="00F71840"/>
    <w:rsid w:val="00F71D2F"/>
    <w:rsid w:val="00F71DA3"/>
    <w:rsid w:val="00F71F23"/>
    <w:rsid w:val="00F724F3"/>
    <w:rsid w:val="00F72815"/>
    <w:rsid w:val="00F72B04"/>
    <w:rsid w:val="00F72D67"/>
    <w:rsid w:val="00F72E7E"/>
    <w:rsid w:val="00F7326B"/>
    <w:rsid w:val="00F73682"/>
    <w:rsid w:val="00F736F1"/>
    <w:rsid w:val="00F73954"/>
    <w:rsid w:val="00F73A78"/>
    <w:rsid w:val="00F74212"/>
    <w:rsid w:val="00F742AB"/>
    <w:rsid w:val="00F74345"/>
    <w:rsid w:val="00F745D3"/>
    <w:rsid w:val="00F753F9"/>
    <w:rsid w:val="00F75469"/>
    <w:rsid w:val="00F75C82"/>
    <w:rsid w:val="00F76660"/>
    <w:rsid w:val="00F7678D"/>
    <w:rsid w:val="00F76F8B"/>
    <w:rsid w:val="00F803F0"/>
    <w:rsid w:val="00F80A0A"/>
    <w:rsid w:val="00F81166"/>
    <w:rsid w:val="00F81255"/>
    <w:rsid w:val="00F81313"/>
    <w:rsid w:val="00F81639"/>
    <w:rsid w:val="00F818B1"/>
    <w:rsid w:val="00F81DB6"/>
    <w:rsid w:val="00F823A6"/>
    <w:rsid w:val="00F826E5"/>
    <w:rsid w:val="00F82B19"/>
    <w:rsid w:val="00F83230"/>
    <w:rsid w:val="00F83A22"/>
    <w:rsid w:val="00F83DD8"/>
    <w:rsid w:val="00F8449B"/>
    <w:rsid w:val="00F845D2"/>
    <w:rsid w:val="00F84CAF"/>
    <w:rsid w:val="00F84E0F"/>
    <w:rsid w:val="00F8590B"/>
    <w:rsid w:val="00F86931"/>
    <w:rsid w:val="00F86D93"/>
    <w:rsid w:val="00F87474"/>
    <w:rsid w:val="00F8769F"/>
    <w:rsid w:val="00F878EE"/>
    <w:rsid w:val="00F90AC3"/>
    <w:rsid w:val="00F9143A"/>
    <w:rsid w:val="00F9162A"/>
    <w:rsid w:val="00F918BB"/>
    <w:rsid w:val="00F91F08"/>
    <w:rsid w:val="00F9212D"/>
    <w:rsid w:val="00F9285A"/>
    <w:rsid w:val="00F929AA"/>
    <w:rsid w:val="00F92C58"/>
    <w:rsid w:val="00F92D3C"/>
    <w:rsid w:val="00F9324E"/>
    <w:rsid w:val="00F93270"/>
    <w:rsid w:val="00F93878"/>
    <w:rsid w:val="00F938C1"/>
    <w:rsid w:val="00F9438C"/>
    <w:rsid w:val="00F965DA"/>
    <w:rsid w:val="00F96B0E"/>
    <w:rsid w:val="00F97E44"/>
    <w:rsid w:val="00FA01E5"/>
    <w:rsid w:val="00FA0846"/>
    <w:rsid w:val="00FA0DC4"/>
    <w:rsid w:val="00FA16F2"/>
    <w:rsid w:val="00FA1B24"/>
    <w:rsid w:val="00FA2A4C"/>
    <w:rsid w:val="00FA2E05"/>
    <w:rsid w:val="00FA2E59"/>
    <w:rsid w:val="00FA393E"/>
    <w:rsid w:val="00FA3D68"/>
    <w:rsid w:val="00FA406A"/>
    <w:rsid w:val="00FA4151"/>
    <w:rsid w:val="00FA50D7"/>
    <w:rsid w:val="00FA5445"/>
    <w:rsid w:val="00FA6A3D"/>
    <w:rsid w:val="00FB04A6"/>
    <w:rsid w:val="00FB0851"/>
    <w:rsid w:val="00FB090E"/>
    <w:rsid w:val="00FB0A3B"/>
    <w:rsid w:val="00FB0ADA"/>
    <w:rsid w:val="00FB16C1"/>
    <w:rsid w:val="00FB23E6"/>
    <w:rsid w:val="00FB363B"/>
    <w:rsid w:val="00FB42E7"/>
    <w:rsid w:val="00FB47BE"/>
    <w:rsid w:val="00FB4AA5"/>
    <w:rsid w:val="00FB503A"/>
    <w:rsid w:val="00FB516C"/>
    <w:rsid w:val="00FB5434"/>
    <w:rsid w:val="00FB5726"/>
    <w:rsid w:val="00FB64A8"/>
    <w:rsid w:val="00FB6B0E"/>
    <w:rsid w:val="00FB771E"/>
    <w:rsid w:val="00FB7CEB"/>
    <w:rsid w:val="00FB7F85"/>
    <w:rsid w:val="00FC09EA"/>
    <w:rsid w:val="00FC1AC7"/>
    <w:rsid w:val="00FC1EDC"/>
    <w:rsid w:val="00FC299F"/>
    <w:rsid w:val="00FC2B0F"/>
    <w:rsid w:val="00FC31B3"/>
    <w:rsid w:val="00FC3525"/>
    <w:rsid w:val="00FC3642"/>
    <w:rsid w:val="00FC3760"/>
    <w:rsid w:val="00FC3765"/>
    <w:rsid w:val="00FC3BFD"/>
    <w:rsid w:val="00FC3DCC"/>
    <w:rsid w:val="00FC428A"/>
    <w:rsid w:val="00FC4EE2"/>
    <w:rsid w:val="00FC5041"/>
    <w:rsid w:val="00FC51D0"/>
    <w:rsid w:val="00FC5FBC"/>
    <w:rsid w:val="00FC647F"/>
    <w:rsid w:val="00FC69FD"/>
    <w:rsid w:val="00FC6A3E"/>
    <w:rsid w:val="00FC6A95"/>
    <w:rsid w:val="00FC6B2B"/>
    <w:rsid w:val="00FC6D85"/>
    <w:rsid w:val="00FC70FD"/>
    <w:rsid w:val="00FC710B"/>
    <w:rsid w:val="00FC75FB"/>
    <w:rsid w:val="00FC760E"/>
    <w:rsid w:val="00FC7A60"/>
    <w:rsid w:val="00FC7D13"/>
    <w:rsid w:val="00FD0236"/>
    <w:rsid w:val="00FD03CA"/>
    <w:rsid w:val="00FD0832"/>
    <w:rsid w:val="00FD1452"/>
    <w:rsid w:val="00FD18F4"/>
    <w:rsid w:val="00FD20E2"/>
    <w:rsid w:val="00FD27DA"/>
    <w:rsid w:val="00FD29EA"/>
    <w:rsid w:val="00FD343A"/>
    <w:rsid w:val="00FD3E95"/>
    <w:rsid w:val="00FD45EE"/>
    <w:rsid w:val="00FD4E0C"/>
    <w:rsid w:val="00FD54A9"/>
    <w:rsid w:val="00FD54DB"/>
    <w:rsid w:val="00FD5777"/>
    <w:rsid w:val="00FD57F4"/>
    <w:rsid w:val="00FD5896"/>
    <w:rsid w:val="00FD5D51"/>
    <w:rsid w:val="00FD619F"/>
    <w:rsid w:val="00FD6299"/>
    <w:rsid w:val="00FD696A"/>
    <w:rsid w:val="00FD7242"/>
    <w:rsid w:val="00FD7688"/>
    <w:rsid w:val="00FE09B9"/>
    <w:rsid w:val="00FE1AC1"/>
    <w:rsid w:val="00FE1DC2"/>
    <w:rsid w:val="00FE1FC5"/>
    <w:rsid w:val="00FE26E3"/>
    <w:rsid w:val="00FE377E"/>
    <w:rsid w:val="00FE38B0"/>
    <w:rsid w:val="00FE3B06"/>
    <w:rsid w:val="00FE3F19"/>
    <w:rsid w:val="00FE407D"/>
    <w:rsid w:val="00FE4BE9"/>
    <w:rsid w:val="00FE5058"/>
    <w:rsid w:val="00FE6211"/>
    <w:rsid w:val="00FE62D1"/>
    <w:rsid w:val="00FE6747"/>
    <w:rsid w:val="00FE6D9D"/>
    <w:rsid w:val="00FE73DA"/>
    <w:rsid w:val="00FE7EBE"/>
    <w:rsid w:val="00FF0930"/>
    <w:rsid w:val="00FF0C85"/>
    <w:rsid w:val="00FF0DE8"/>
    <w:rsid w:val="00FF14EA"/>
    <w:rsid w:val="00FF19BD"/>
    <w:rsid w:val="00FF1A3C"/>
    <w:rsid w:val="00FF200E"/>
    <w:rsid w:val="00FF2585"/>
    <w:rsid w:val="00FF28FD"/>
    <w:rsid w:val="00FF2A79"/>
    <w:rsid w:val="00FF2E87"/>
    <w:rsid w:val="00FF2F35"/>
    <w:rsid w:val="00FF34F0"/>
    <w:rsid w:val="00FF3F51"/>
    <w:rsid w:val="00FF3F8F"/>
    <w:rsid w:val="00FF3FF6"/>
    <w:rsid w:val="00FF4078"/>
    <w:rsid w:val="00FF42B3"/>
    <w:rsid w:val="00FF4442"/>
    <w:rsid w:val="00FF4684"/>
    <w:rsid w:val="00FF47D7"/>
    <w:rsid w:val="00FF4904"/>
    <w:rsid w:val="00FF5135"/>
    <w:rsid w:val="00FF5951"/>
    <w:rsid w:val="00FF5AC1"/>
    <w:rsid w:val="00FF6955"/>
    <w:rsid w:val="00FF72E3"/>
    <w:rsid w:val="00FF768B"/>
    <w:rsid w:val="00FF77F0"/>
    <w:rsid w:val="01290F7E"/>
    <w:rsid w:val="015D1E09"/>
    <w:rsid w:val="02697903"/>
    <w:rsid w:val="02BA738D"/>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9DE7212"/>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8068B1"/>
    <w:rsid w:val="23DE1C48"/>
    <w:rsid w:val="240210CD"/>
    <w:rsid w:val="242E465A"/>
    <w:rsid w:val="24BF09F7"/>
    <w:rsid w:val="252D53FE"/>
    <w:rsid w:val="25EC2D81"/>
    <w:rsid w:val="277057A2"/>
    <w:rsid w:val="29206EB8"/>
    <w:rsid w:val="29595666"/>
    <w:rsid w:val="29874881"/>
    <w:rsid w:val="29D61140"/>
    <w:rsid w:val="29E325E0"/>
    <w:rsid w:val="2A452503"/>
    <w:rsid w:val="2BA936A8"/>
    <w:rsid w:val="2C315A5A"/>
    <w:rsid w:val="2C4B1C25"/>
    <w:rsid w:val="2D9E56F5"/>
    <w:rsid w:val="2E667F96"/>
    <w:rsid w:val="2E8226AB"/>
    <w:rsid w:val="2FD065E6"/>
    <w:rsid w:val="2FD96870"/>
    <w:rsid w:val="30580BC9"/>
    <w:rsid w:val="30F91125"/>
    <w:rsid w:val="311E2ED7"/>
    <w:rsid w:val="315619EE"/>
    <w:rsid w:val="315C449C"/>
    <w:rsid w:val="31B82709"/>
    <w:rsid w:val="31D05482"/>
    <w:rsid w:val="32400B34"/>
    <w:rsid w:val="329E6876"/>
    <w:rsid w:val="333015F2"/>
    <w:rsid w:val="334B6320"/>
    <w:rsid w:val="33D934D4"/>
    <w:rsid w:val="33FE2F6A"/>
    <w:rsid w:val="340E07E5"/>
    <w:rsid w:val="34235BF7"/>
    <w:rsid w:val="346F3C5B"/>
    <w:rsid w:val="358C5FA8"/>
    <w:rsid w:val="35C15DF1"/>
    <w:rsid w:val="36074A7F"/>
    <w:rsid w:val="36923549"/>
    <w:rsid w:val="36B75FBF"/>
    <w:rsid w:val="36BD0C45"/>
    <w:rsid w:val="37E00298"/>
    <w:rsid w:val="38B302F9"/>
    <w:rsid w:val="38F12CD3"/>
    <w:rsid w:val="38F94775"/>
    <w:rsid w:val="392971ED"/>
    <w:rsid w:val="39325651"/>
    <w:rsid w:val="3A872856"/>
    <w:rsid w:val="3B3763D1"/>
    <w:rsid w:val="3B782E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A50A9F"/>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3C02B8"/>
    <w:rsid w:val="555170A7"/>
    <w:rsid w:val="5587536D"/>
    <w:rsid w:val="559B174B"/>
    <w:rsid w:val="55CE0CF4"/>
    <w:rsid w:val="56B22A9C"/>
    <w:rsid w:val="57B72A76"/>
    <w:rsid w:val="57C3426C"/>
    <w:rsid w:val="57CE1F93"/>
    <w:rsid w:val="588743D1"/>
    <w:rsid w:val="5887701A"/>
    <w:rsid w:val="59C0439F"/>
    <w:rsid w:val="5ABE2233"/>
    <w:rsid w:val="5BDF5D95"/>
    <w:rsid w:val="5BFE7528"/>
    <w:rsid w:val="5DA369D2"/>
    <w:rsid w:val="5E2467F1"/>
    <w:rsid w:val="5EAF07B0"/>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974B9E"/>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99" w:name="annotation reference"/>
    <w:lsdException w:unhideWhenUsed="0" w:uiPriority="0" w:semiHidden="0" w:name="line number" w:locked="1"/>
    <w:lsdException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unhideWhenUsed="0" w:uiPriority="0" w:semiHidden="0" w:name="Subtitle" w:locked="1"/>
    <w:lsdException w:unhideWhenUsed="0" w:uiPriority="0" w:semiHidden="0" w:name="Salutation" w:locked="1"/>
    <w:lsdException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unhideWhenUsed="0" w:uiPriority="0" w:semiHidden="0" w:name="Strong" w:locked="1"/>
    <w:lsdException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iPriority="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iPriority="0" w:name="Balloon Text"/>
    <w:lsdException w:qFormat="1" w:unhideWhenUsed="0" w:uiPriority="0" w:semiHidden="0" w:name="Table Grid"/>
    <w:lsdException w:uiPriority="0" w:name="Table Theme" w:locked="1"/>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2"/>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23"/>
    <w:qFormat/>
    <w:locked/>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4"/>
    <w:qFormat/>
    <w:locked/>
    <w:uiPriority w:val="0"/>
    <w:pPr>
      <w:keepNext/>
      <w:keepLines/>
      <w:spacing w:before="260" w:after="260" w:line="416" w:lineRule="auto"/>
      <w:outlineLvl w:val="2"/>
    </w:pPr>
    <w:rPr>
      <w:b/>
      <w:bCs/>
      <w:sz w:val="32"/>
      <w:szCs w:val="32"/>
    </w:rPr>
  </w:style>
  <w:style w:type="paragraph" w:styleId="5">
    <w:name w:val="heading 4"/>
    <w:basedOn w:val="1"/>
    <w:next w:val="1"/>
    <w:link w:val="25"/>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26"/>
    <w:qFormat/>
    <w:locked/>
    <w:uiPriority w:val="0"/>
    <w:pPr>
      <w:keepNext/>
      <w:keepLines/>
      <w:spacing w:before="280" w:after="290" w:line="376" w:lineRule="atLeast"/>
      <w:outlineLvl w:val="4"/>
    </w:pPr>
    <w:rPr>
      <w:b/>
      <w:bCs/>
      <w:kern w:val="0"/>
      <w:sz w:val="28"/>
      <w:szCs w:val="28"/>
    </w:rPr>
  </w:style>
  <w:style w:type="paragraph" w:styleId="7">
    <w:name w:val="heading 6"/>
    <w:basedOn w:val="1"/>
    <w:next w:val="1"/>
    <w:link w:val="27"/>
    <w:qFormat/>
    <w:locked/>
    <w:uiPriority w:val="0"/>
    <w:pPr>
      <w:keepNext/>
      <w:keepLines/>
      <w:spacing w:before="240" w:after="64" w:line="320" w:lineRule="atLeast"/>
      <w:outlineLvl w:val="5"/>
    </w:pPr>
    <w:rPr>
      <w:rFonts w:ascii="Cambria" w:hAnsi="Cambria"/>
      <w:b/>
      <w:bCs/>
      <w:kern w:val="0"/>
    </w:rPr>
  </w:style>
  <w:style w:type="paragraph" w:styleId="8">
    <w:name w:val="heading 7"/>
    <w:basedOn w:val="1"/>
    <w:next w:val="1"/>
    <w:link w:val="28"/>
    <w:qFormat/>
    <w:locked/>
    <w:uiPriority w:val="0"/>
    <w:pPr>
      <w:keepNext/>
      <w:keepLines/>
      <w:adjustRightInd w:val="0"/>
      <w:spacing w:before="240" w:after="64" w:line="320" w:lineRule="atLeast"/>
      <w:textAlignment w:val="baseline"/>
      <w:outlineLvl w:val="6"/>
    </w:pPr>
    <w:rPr>
      <w:b/>
      <w:kern w:val="0"/>
      <w:szCs w:val="20"/>
    </w:rPr>
  </w:style>
  <w:style w:type="paragraph" w:styleId="9">
    <w:name w:val="heading 8"/>
    <w:basedOn w:val="1"/>
    <w:next w:val="1"/>
    <w:link w:val="29"/>
    <w:qFormat/>
    <w:locked/>
    <w:uiPriority w:val="0"/>
    <w:pPr>
      <w:keepNext/>
      <w:keepLines/>
      <w:adjustRightInd w:val="0"/>
      <w:spacing w:before="240" w:after="64" w:line="320" w:lineRule="atLeast"/>
      <w:textAlignment w:val="baseline"/>
      <w:outlineLvl w:val="7"/>
    </w:pPr>
    <w:rPr>
      <w:rFonts w:ascii="Arial" w:hAnsi="Arial" w:eastAsia="黑体"/>
      <w:kern w:val="0"/>
      <w:szCs w:val="20"/>
    </w:rPr>
  </w:style>
  <w:style w:type="paragraph" w:styleId="10">
    <w:name w:val="heading 9"/>
    <w:basedOn w:val="1"/>
    <w:next w:val="1"/>
    <w:link w:val="30"/>
    <w:qFormat/>
    <w:locked/>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link w:val="40"/>
    <w:qFormat/>
    <w:locked/>
    <w:uiPriority w:val="0"/>
    <w:pPr>
      <w:tabs>
        <w:tab w:val="left" w:pos="2087"/>
      </w:tabs>
      <w:spacing w:line="460" w:lineRule="exact"/>
      <w:ind w:firstLine="480"/>
    </w:pPr>
    <w:rPr>
      <w:color w:val="000000"/>
      <w:kern w:val="0"/>
    </w:rPr>
  </w:style>
  <w:style w:type="paragraph" w:styleId="12">
    <w:name w:val="annotation text"/>
    <w:basedOn w:val="1"/>
    <w:link w:val="44"/>
    <w:semiHidden/>
    <w:qFormat/>
    <w:uiPriority w:val="0"/>
    <w:pPr>
      <w:jc w:val="left"/>
    </w:pPr>
  </w:style>
  <w:style w:type="paragraph" w:styleId="13">
    <w:name w:val="Plain Text"/>
    <w:basedOn w:val="1"/>
    <w:link w:val="48"/>
    <w:qFormat/>
    <w:locked/>
    <w:uiPriority w:val="0"/>
    <w:pPr>
      <w:spacing w:line="240" w:lineRule="auto"/>
      <w:ind w:firstLine="0" w:firstLineChars="0"/>
    </w:pPr>
    <w:rPr>
      <w:rFonts w:ascii="宋体" w:hAnsi="Courier New"/>
      <w:sz w:val="21"/>
      <w:szCs w:val="20"/>
      <w:lang w:val="zh-CN"/>
    </w:rPr>
  </w:style>
  <w:style w:type="paragraph" w:styleId="14">
    <w:name w:val="Balloon Text"/>
    <w:basedOn w:val="1"/>
    <w:link w:val="46"/>
    <w:semiHidden/>
    <w:unhideWhenUsed/>
    <w:qFormat/>
    <w:uiPriority w:val="0"/>
    <w:pPr>
      <w:spacing w:line="240" w:lineRule="auto"/>
    </w:pPr>
    <w:rPr>
      <w:sz w:val="18"/>
      <w:szCs w:val="18"/>
    </w:rPr>
  </w:style>
  <w:style w:type="paragraph" w:styleId="15">
    <w:name w:val="footer"/>
    <w:basedOn w:val="1"/>
    <w:link w:val="43"/>
    <w:qFormat/>
    <w:uiPriority w:val="99"/>
    <w:pPr>
      <w:tabs>
        <w:tab w:val="center" w:pos="4153"/>
        <w:tab w:val="right" w:pos="8306"/>
      </w:tabs>
      <w:snapToGrid w:val="0"/>
      <w:spacing w:line="240" w:lineRule="auto"/>
      <w:jc w:val="left"/>
    </w:pPr>
    <w:rPr>
      <w:sz w:val="18"/>
      <w:szCs w:val="18"/>
    </w:rPr>
  </w:style>
  <w:style w:type="paragraph" w:styleId="16">
    <w:name w:val="header"/>
    <w:basedOn w:val="1"/>
    <w:link w:val="37"/>
    <w:qFormat/>
    <w:uiPriority w:val="0"/>
    <w:pPr>
      <w:pBdr>
        <w:bottom w:val="single" w:color="auto" w:sz="6" w:space="1"/>
      </w:pBdr>
      <w:tabs>
        <w:tab w:val="center" w:pos="4153"/>
        <w:tab w:val="right" w:pos="8306"/>
      </w:tabs>
      <w:snapToGrid w:val="0"/>
      <w:spacing w:line="240" w:lineRule="auto"/>
      <w:ind w:firstLine="0" w:firstLineChars="0"/>
      <w:jc w:val="center"/>
    </w:pPr>
    <w:rPr>
      <w:kern w:val="0"/>
      <w:sz w:val="18"/>
      <w:szCs w:val="20"/>
    </w:rPr>
  </w:style>
  <w:style w:type="paragraph" w:styleId="17">
    <w:name w:val="annotation subject"/>
    <w:basedOn w:val="12"/>
    <w:next w:val="12"/>
    <w:link w:val="45"/>
    <w:semiHidden/>
    <w:unhideWhenUsed/>
    <w:qFormat/>
    <w:uiPriority w:val="0"/>
    <w:rPr>
      <w:b/>
      <w:bCs/>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annotation reference"/>
    <w:basedOn w:val="20"/>
    <w:semiHidden/>
    <w:qFormat/>
    <w:uiPriority w:val="99"/>
    <w:rPr>
      <w:sz w:val="21"/>
      <w:szCs w:val="21"/>
    </w:rPr>
  </w:style>
  <w:style w:type="character" w:customStyle="1" w:styleId="22">
    <w:name w:val="标题 1 字符"/>
    <w:link w:val="2"/>
    <w:qFormat/>
    <w:uiPriority w:val="0"/>
    <w:rPr>
      <w:rFonts w:eastAsia="黑体"/>
      <w:b/>
      <w:bCs/>
      <w:color w:val="000000"/>
      <w:kern w:val="44"/>
      <w:sz w:val="30"/>
      <w:szCs w:val="30"/>
    </w:rPr>
  </w:style>
  <w:style w:type="character" w:customStyle="1" w:styleId="23">
    <w:name w:val="标题 2 字符"/>
    <w:basedOn w:val="20"/>
    <w:link w:val="3"/>
    <w:qFormat/>
    <w:uiPriority w:val="0"/>
    <w:rPr>
      <w:rFonts w:ascii="Arial" w:hAnsi="Arial" w:eastAsia="黑体"/>
      <w:b/>
      <w:bCs/>
      <w:kern w:val="2"/>
      <w:sz w:val="32"/>
      <w:szCs w:val="32"/>
    </w:rPr>
  </w:style>
  <w:style w:type="character" w:customStyle="1" w:styleId="24">
    <w:name w:val="标题 3 字符"/>
    <w:basedOn w:val="20"/>
    <w:link w:val="4"/>
    <w:qFormat/>
    <w:uiPriority w:val="0"/>
    <w:rPr>
      <w:b/>
      <w:bCs/>
      <w:kern w:val="2"/>
      <w:sz w:val="32"/>
      <w:szCs w:val="32"/>
    </w:rPr>
  </w:style>
  <w:style w:type="character" w:customStyle="1" w:styleId="25">
    <w:name w:val="标题 4 字符"/>
    <w:basedOn w:val="20"/>
    <w:link w:val="5"/>
    <w:qFormat/>
    <w:uiPriority w:val="0"/>
    <w:rPr>
      <w:rFonts w:ascii="Arial" w:hAnsi="Arial" w:eastAsia="黑体"/>
      <w:b/>
      <w:bCs/>
      <w:kern w:val="2"/>
      <w:sz w:val="28"/>
      <w:szCs w:val="28"/>
    </w:rPr>
  </w:style>
  <w:style w:type="character" w:customStyle="1" w:styleId="26">
    <w:name w:val="标题 5 字符"/>
    <w:basedOn w:val="20"/>
    <w:link w:val="6"/>
    <w:qFormat/>
    <w:uiPriority w:val="0"/>
    <w:rPr>
      <w:b/>
      <w:bCs/>
      <w:sz w:val="28"/>
      <w:szCs w:val="28"/>
    </w:rPr>
  </w:style>
  <w:style w:type="character" w:customStyle="1" w:styleId="27">
    <w:name w:val="标题 6 字符"/>
    <w:basedOn w:val="20"/>
    <w:link w:val="7"/>
    <w:qFormat/>
    <w:uiPriority w:val="0"/>
    <w:rPr>
      <w:rFonts w:ascii="Cambria" w:hAnsi="Cambria"/>
      <w:b/>
      <w:bCs/>
      <w:sz w:val="24"/>
      <w:szCs w:val="24"/>
    </w:rPr>
  </w:style>
  <w:style w:type="character" w:customStyle="1" w:styleId="28">
    <w:name w:val="标题 7 字符"/>
    <w:basedOn w:val="20"/>
    <w:link w:val="8"/>
    <w:qFormat/>
    <w:uiPriority w:val="0"/>
    <w:rPr>
      <w:b/>
      <w:sz w:val="24"/>
    </w:rPr>
  </w:style>
  <w:style w:type="character" w:customStyle="1" w:styleId="29">
    <w:name w:val="标题 8 字符"/>
    <w:basedOn w:val="20"/>
    <w:link w:val="9"/>
    <w:qFormat/>
    <w:uiPriority w:val="0"/>
    <w:rPr>
      <w:rFonts w:ascii="Arial" w:hAnsi="Arial" w:eastAsia="黑体"/>
      <w:sz w:val="24"/>
    </w:rPr>
  </w:style>
  <w:style w:type="character" w:customStyle="1" w:styleId="30">
    <w:name w:val="标题 9 字符"/>
    <w:basedOn w:val="20"/>
    <w:link w:val="10"/>
    <w:qFormat/>
    <w:uiPriority w:val="0"/>
    <w:rPr>
      <w:rFonts w:ascii="Arial" w:hAnsi="Arial" w:eastAsia="黑体"/>
      <w:sz w:val="21"/>
    </w:rPr>
  </w:style>
  <w:style w:type="character" w:customStyle="1" w:styleId="31">
    <w:name w:val="报告表正文 Char1"/>
    <w:link w:val="32"/>
    <w:qFormat/>
    <w:uiPriority w:val="0"/>
    <w:rPr>
      <w:kern w:val="2"/>
      <w:sz w:val="24"/>
      <w:szCs w:val="24"/>
    </w:rPr>
  </w:style>
  <w:style w:type="paragraph" w:customStyle="1" w:styleId="32">
    <w:name w:val="报告表正文"/>
    <w:basedOn w:val="1"/>
    <w:link w:val="31"/>
    <w:qFormat/>
    <w:uiPriority w:val="0"/>
    <w:pPr>
      <w:adjustRightInd w:val="0"/>
      <w:snapToGrid w:val="0"/>
    </w:pPr>
  </w:style>
  <w:style w:type="paragraph" w:customStyle="1" w:styleId="33">
    <w:name w:val="表头"/>
    <w:basedOn w:val="1"/>
    <w:link w:val="35"/>
    <w:qFormat/>
    <w:uiPriority w:val="0"/>
    <w:pPr>
      <w:spacing w:before="50" w:beforeLines="50" w:line="240" w:lineRule="auto"/>
      <w:ind w:firstLine="0" w:firstLineChars="0"/>
      <w:jc w:val="center"/>
    </w:pPr>
    <w:rPr>
      <w:b/>
      <w:szCs w:val="21"/>
    </w:rPr>
  </w:style>
  <w:style w:type="paragraph" w:customStyle="1" w:styleId="34">
    <w:name w:val="表格内容"/>
    <w:basedOn w:val="32"/>
    <w:link w:val="36"/>
    <w:qFormat/>
    <w:uiPriority w:val="0"/>
    <w:pPr>
      <w:spacing w:line="240" w:lineRule="auto"/>
      <w:ind w:firstLine="0" w:firstLineChars="0"/>
    </w:pPr>
    <w:rPr>
      <w:sz w:val="21"/>
    </w:rPr>
  </w:style>
  <w:style w:type="character" w:customStyle="1" w:styleId="35">
    <w:name w:val="表头 字符"/>
    <w:basedOn w:val="20"/>
    <w:link w:val="33"/>
    <w:qFormat/>
    <w:uiPriority w:val="0"/>
    <w:rPr>
      <w:b/>
      <w:kern w:val="2"/>
      <w:sz w:val="21"/>
      <w:szCs w:val="21"/>
    </w:rPr>
  </w:style>
  <w:style w:type="character" w:customStyle="1" w:styleId="36">
    <w:name w:val="表格内容 字符"/>
    <w:basedOn w:val="31"/>
    <w:link w:val="34"/>
    <w:qFormat/>
    <w:uiPriority w:val="0"/>
    <w:rPr>
      <w:kern w:val="2"/>
      <w:sz w:val="21"/>
      <w:szCs w:val="24"/>
    </w:rPr>
  </w:style>
  <w:style w:type="character" w:customStyle="1" w:styleId="37">
    <w:name w:val="页眉 字符"/>
    <w:basedOn w:val="20"/>
    <w:link w:val="16"/>
    <w:qFormat/>
    <w:uiPriority w:val="0"/>
    <w:rPr>
      <w:sz w:val="18"/>
    </w:rPr>
  </w:style>
  <w:style w:type="paragraph" w:customStyle="1" w:styleId="38">
    <w:name w:val="表格内容格式"/>
    <w:basedOn w:val="1"/>
    <w:next w:val="1"/>
    <w:qFormat/>
    <w:uiPriority w:val="1"/>
    <w:pPr>
      <w:spacing w:line="240" w:lineRule="auto"/>
      <w:ind w:firstLine="0" w:firstLineChars="0"/>
      <w:jc w:val="center"/>
    </w:pPr>
    <w:rPr>
      <w:kern w:val="0"/>
      <w:sz w:val="22"/>
      <w:szCs w:val="22"/>
      <w:lang w:eastAsia="en-US"/>
    </w:rPr>
  </w:style>
  <w:style w:type="paragraph" w:customStyle="1" w:styleId="39">
    <w:name w:val="正文1"/>
    <w:basedOn w:val="1"/>
    <w:qFormat/>
    <w:uiPriority w:val="0"/>
    <w:pPr>
      <w:ind w:firstLine="0" w:firstLineChars="0"/>
    </w:pPr>
    <w:rPr>
      <w:rFonts w:ascii="仿宋_GB2312" w:eastAsia="仿宋_GB2312"/>
      <w:szCs w:val="20"/>
    </w:rPr>
  </w:style>
  <w:style w:type="character" w:customStyle="1" w:styleId="40">
    <w:name w:val="正文缩进 字符"/>
    <w:basedOn w:val="20"/>
    <w:link w:val="11"/>
    <w:qFormat/>
    <w:uiPriority w:val="0"/>
    <w:rPr>
      <w:color w:val="000000"/>
      <w:sz w:val="24"/>
      <w:szCs w:val="24"/>
    </w:rPr>
  </w:style>
  <w:style w:type="paragraph" w:customStyle="1" w:styleId="41">
    <w:name w:val="图格式"/>
    <w:basedOn w:val="1"/>
    <w:link w:val="42"/>
    <w:qFormat/>
    <w:uiPriority w:val="0"/>
    <w:pPr>
      <w:spacing w:before="50" w:beforeLines="50" w:after="50" w:afterLines="50"/>
      <w:ind w:firstLine="0" w:firstLineChars="0"/>
      <w:jc w:val="center"/>
    </w:pPr>
    <w:rPr>
      <w:b/>
      <w:color w:val="000000" w:themeColor="text1"/>
      <w:u w:val="single"/>
      <w14:textFill>
        <w14:solidFill>
          <w14:schemeClr w14:val="tx1"/>
        </w14:solidFill>
      </w14:textFill>
    </w:rPr>
  </w:style>
  <w:style w:type="character" w:customStyle="1" w:styleId="42">
    <w:name w:val="图格式 字符"/>
    <w:basedOn w:val="20"/>
    <w:link w:val="41"/>
    <w:qFormat/>
    <w:uiPriority w:val="0"/>
    <w:rPr>
      <w:b/>
      <w:color w:val="000000" w:themeColor="text1"/>
      <w:kern w:val="2"/>
      <w:sz w:val="24"/>
      <w:szCs w:val="24"/>
      <w:u w:val="single"/>
      <w14:textFill>
        <w14:solidFill>
          <w14:schemeClr w14:val="tx1"/>
        </w14:solidFill>
      </w14:textFill>
    </w:rPr>
  </w:style>
  <w:style w:type="character" w:customStyle="1" w:styleId="43">
    <w:name w:val="页脚 字符"/>
    <w:basedOn w:val="20"/>
    <w:link w:val="15"/>
    <w:qFormat/>
    <w:uiPriority w:val="99"/>
    <w:rPr>
      <w:kern w:val="2"/>
      <w:sz w:val="18"/>
      <w:szCs w:val="18"/>
    </w:rPr>
  </w:style>
  <w:style w:type="character" w:customStyle="1" w:styleId="44">
    <w:name w:val="批注文字 字符"/>
    <w:basedOn w:val="20"/>
    <w:link w:val="12"/>
    <w:semiHidden/>
    <w:qFormat/>
    <w:uiPriority w:val="0"/>
    <w:rPr>
      <w:kern w:val="2"/>
      <w:sz w:val="24"/>
      <w:szCs w:val="24"/>
    </w:rPr>
  </w:style>
  <w:style w:type="character" w:customStyle="1" w:styleId="45">
    <w:name w:val="批注主题 字符"/>
    <w:basedOn w:val="44"/>
    <w:link w:val="17"/>
    <w:semiHidden/>
    <w:qFormat/>
    <w:uiPriority w:val="0"/>
    <w:rPr>
      <w:b/>
      <w:bCs/>
      <w:kern w:val="2"/>
      <w:sz w:val="24"/>
      <w:szCs w:val="24"/>
    </w:rPr>
  </w:style>
  <w:style w:type="character" w:customStyle="1" w:styleId="46">
    <w:name w:val="批注框文本 字符"/>
    <w:basedOn w:val="20"/>
    <w:link w:val="14"/>
    <w:semiHidden/>
    <w:qFormat/>
    <w:uiPriority w:val="0"/>
    <w:rPr>
      <w:kern w:val="2"/>
      <w:sz w:val="18"/>
      <w:szCs w:val="18"/>
    </w:rPr>
  </w:style>
  <w:style w:type="paragraph" w:customStyle="1" w:styleId="4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8">
    <w:name w:val="纯文本 字符"/>
    <w:basedOn w:val="20"/>
    <w:link w:val="13"/>
    <w:qFormat/>
    <w:uiPriority w:val="0"/>
    <w:rPr>
      <w:rFonts w:ascii="宋体" w:hAnsi="Courier New"/>
      <w:kern w:val="2"/>
      <w:sz w:val="21"/>
      <w:lang w:val="zh-CN" w:eastAsia="zh-CN"/>
    </w:rPr>
  </w:style>
  <w:style w:type="paragraph" w:customStyle="1" w:styleId="49">
    <w:name w:val="样式 正文缩进正文缩进2正文缩进 Char Char正文缩进 Char Char Char Char正文缩进 Char ..."/>
    <w:basedOn w:val="11"/>
    <w:qFormat/>
    <w:uiPriority w:val="0"/>
    <w:pPr>
      <w:tabs>
        <w:tab w:val="clear" w:pos="2087"/>
      </w:tabs>
      <w:spacing w:line="360" w:lineRule="auto"/>
      <w:ind w:firstLine="200"/>
    </w:pPr>
    <w:rPr>
      <w:rFonts w:cs="宋体"/>
      <w:color w:val="auto"/>
    </w:rPr>
  </w:style>
  <w:style w:type="character" w:customStyle="1" w:styleId="50">
    <w:name w:val="纯文本 Char"/>
    <w:qFormat/>
    <w:uiPriority w:val="0"/>
    <w:rPr>
      <w:rFonts w:ascii="宋体" w:eastAsia="宋体"/>
      <w:kern w:val="2"/>
      <w:sz w:val="21"/>
      <w:lang w:val="en-US" w:eastAsia="zh-CN" w:bidi="ar-SA"/>
    </w:rPr>
  </w:style>
  <w:style w:type="character" w:customStyle="1" w:styleId="51">
    <w:name w:val="font21"/>
    <w:basedOn w:val="20"/>
    <w:qFormat/>
    <w:uiPriority w:val="0"/>
    <w:rPr>
      <w:rFonts w:hint="default" w:ascii="Times New Roman" w:hAnsi="Times New Roman" w:cs="Times New Roman"/>
      <w:color w:val="000000"/>
      <w:sz w:val="21"/>
      <w:szCs w:val="21"/>
      <w:u w:val="none"/>
    </w:rPr>
  </w:style>
  <w:style w:type="character" w:customStyle="1" w:styleId="52">
    <w:name w:val="font11"/>
    <w:basedOn w:val="20"/>
    <w:qFormat/>
    <w:uiPriority w:val="0"/>
    <w:rPr>
      <w:rFonts w:hint="eastAsia" w:ascii="宋体" w:hAnsi="宋体" w:eastAsia="宋体"/>
      <w:color w:val="000000"/>
      <w:sz w:val="21"/>
      <w:szCs w:val="21"/>
      <w:u w:val="none"/>
    </w:rPr>
  </w:style>
  <w:style w:type="character" w:customStyle="1" w:styleId="53">
    <w:name w:val="font41"/>
    <w:basedOn w:val="20"/>
    <w:qFormat/>
    <w:uiPriority w:val="0"/>
    <w:rPr>
      <w:rFonts w:hint="default" w:ascii="Times New Roman" w:hAnsi="Times New Roman" w:cs="Times New Roman"/>
      <w:color w:val="000000"/>
      <w:sz w:val="21"/>
      <w:szCs w:val="21"/>
      <w:u w:val="none"/>
      <w:vertAlign w:val="superscript"/>
    </w:rPr>
  </w:style>
  <w:style w:type="paragraph" w:customStyle="1" w:styleId="54">
    <w:name w:val="【正文】"/>
    <w:basedOn w:val="1"/>
    <w:link w:val="55"/>
    <w:qFormat/>
    <w:uiPriority w:val="0"/>
    <w:pPr>
      <w:spacing w:line="440" w:lineRule="exact"/>
      <w:ind w:firstLine="544"/>
      <w:jc w:val="left"/>
    </w:pPr>
    <w:rPr>
      <w:szCs w:val="20"/>
      <w:lang w:val="zh-CN"/>
    </w:rPr>
  </w:style>
  <w:style w:type="character" w:customStyle="1" w:styleId="55">
    <w:name w:val="【正文】 Char"/>
    <w:link w:val="54"/>
    <w:qFormat/>
    <w:uiPriority w:val="0"/>
    <w:rPr>
      <w:kern w:val="2"/>
      <w:sz w:val="24"/>
      <w:lang w:val="zh-CN"/>
    </w:rPr>
  </w:style>
  <w:style w:type="paragraph" w:customStyle="1" w:styleId="56">
    <w:name w:val="正文四号"/>
    <w:basedOn w:val="1"/>
    <w:link w:val="57"/>
    <w:qFormat/>
    <w:uiPriority w:val="0"/>
    <w:rPr>
      <w:rFonts w:cs="宋体"/>
      <w:sz w:val="28"/>
      <w:szCs w:val="20"/>
    </w:rPr>
  </w:style>
  <w:style w:type="character" w:customStyle="1" w:styleId="57">
    <w:name w:val="正文四号 Char"/>
    <w:link w:val="56"/>
    <w:qFormat/>
    <w:uiPriority w:val="0"/>
    <w:rPr>
      <w:rFonts w:cs="宋体"/>
      <w:kern w:val="2"/>
      <w:sz w:val="28"/>
    </w:rPr>
  </w:style>
  <w:style w:type="character" w:customStyle="1" w:styleId="58">
    <w:name w:val="表中文字 Char"/>
    <w:link w:val="59"/>
    <w:qFormat/>
    <w:uiPriority w:val="0"/>
    <w:rPr>
      <w:kern w:val="2"/>
      <w:sz w:val="24"/>
      <w:szCs w:val="24"/>
    </w:rPr>
  </w:style>
  <w:style w:type="paragraph" w:customStyle="1" w:styleId="59">
    <w:name w:val="表中文字"/>
    <w:basedOn w:val="1"/>
    <w:link w:val="58"/>
    <w:qFormat/>
    <w:uiPriority w:val="0"/>
    <w:pPr>
      <w:adjustRightInd w:val="0"/>
      <w:snapToGrid w:val="0"/>
      <w:spacing w:line="240" w:lineRule="auto"/>
      <w:ind w:firstLine="0" w:firstLineChars="0"/>
      <w:jc w:val="center"/>
    </w:pPr>
  </w:style>
  <w:style w:type="character" w:styleId="60">
    <w:name w:val="Placeholder Text"/>
    <w:basedOn w:val="20"/>
    <w:semiHidden/>
    <w:qFormat/>
    <w:uiPriority w:val="99"/>
    <w:rPr>
      <w:color w:val="808080"/>
    </w:rPr>
  </w:style>
  <w:style w:type="character" w:customStyle="1" w:styleId="61">
    <w:name w:val="表格 Char"/>
    <w:basedOn w:val="20"/>
    <w:link w:val="62"/>
    <w:qFormat/>
    <w:uiPriority w:val="0"/>
    <w:rPr>
      <w:rFonts w:ascii="宋体" w:hAnsi="宋体" w:cs="宋体"/>
      <w:sz w:val="21"/>
    </w:rPr>
  </w:style>
  <w:style w:type="paragraph" w:customStyle="1" w:styleId="62">
    <w:name w:val="表格"/>
    <w:basedOn w:val="1"/>
    <w:next w:val="1"/>
    <w:link w:val="61"/>
    <w:qFormat/>
    <w:uiPriority w:val="0"/>
    <w:pPr>
      <w:adjustRightInd w:val="0"/>
      <w:snapToGrid w:val="0"/>
      <w:spacing w:beforeLines="10" w:line="256" w:lineRule="auto"/>
      <w:jc w:val="center"/>
    </w:pPr>
    <w:rPr>
      <w:rFonts w:ascii="宋体" w:hAnsi="宋体" w:cs="宋体"/>
      <w:kern w:val="0"/>
      <w:sz w:val="21"/>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0.wmf"/><Relationship Id="rId25" Type="http://schemas.openxmlformats.org/officeDocument/2006/relationships/image" Target="media/image9.wmf"/><Relationship Id="rId24" Type="http://schemas.openxmlformats.org/officeDocument/2006/relationships/image" Target="media/image8.png"/><Relationship Id="rId23" Type="http://schemas.openxmlformats.org/officeDocument/2006/relationships/image" Target="media/image7.emf"/><Relationship Id="rId22" Type="http://schemas.openxmlformats.org/officeDocument/2006/relationships/oleObject" Target="embeddings/oleObject3.bin"/><Relationship Id="rId21" Type="http://schemas.openxmlformats.org/officeDocument/2006/relationships/image" Target="media/image6.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1.bin"/><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user/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55</Pages>
  <Words>5955</Words>
  <Characters>33944</Characters>
  <Lines>282</Lines>
  <Paragraphs>79</Paragraphs>
  <TotalTime>2404</TotalTime>
  <ScaleCrop>false</ScaleCrop>
  <LinksUpToDate>false</LinksUpToDate>
  <CharactersWithSpaces>39820</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2022-10-14T10:38:00Z</dcterms:created>
  <dc:creator>lhj</dc:creator>
  <cp:lastModifiedBy>user</cp:lastModifiedBy>
  <cp:lastPrinted>2020-12-29T10:43:00Z</cp:lastPrinted>
  <dcterms:modified xsi:type="dcterms:W3CDTF">2024-01-25T15:13:56Z</dcterms:modified>
  <dc:title>附件2</dc:title>
  <cp:revision>306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86B6B8225D8F4A26ACBDA5CCA3CB6851</vt:lpwstr>
  </property>
</Properties>
</file>