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18" w:beforeLines="20"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中央</w:t>
      </w:r>
      <w:r>
        <w:rPr>
          <w:rFonts w:ascii="Times New Roman" w:hAnsi="Times New Roman" w:eastAsia="方正小标宋_GBK" w:cs="Times New Roman"/>
          <w:sz w:val="44"/>
          <w:szCs w:val="44"/>
        </w:rPr>
        <w:t>生态环境保护督察</w:t>
      </w:r>
      <w:r>
        <w:rPr>
          <w:rFonts w:hint="default" w:ascii="Times New Roman" w:hAnsi="Times New Roman" w:eastAsia="方正小标宋_GBK" w:cs="Times New Roman"/>
          <w:sz w:val="44"/>
          <w:szCs w:val="44"/>
        </w:rPr>
        <w:t>整改</w:t>
      </w:r>
      <w:r>
        <w:rPr>
          <w:rFonts w:hint="default" w:ascii="Times New Roman" w:hAnsi="Times New Roman" w:eastAsia="方正小标宋_GBK" w:cs="Times New Roman"/>
          <w:sz w:val="44"/>
          <w:szCs w:val="44"/>
          <w:lang w:val="en-US" w:eastAsia="zh-CN"/>
        </w:rPr>
        <w:t>验收</w:t>
      </w:r>
      <w:r>
        <w:rPr>
          <w:rFonts w:hint="default" w:ascii="Times New Roman" w:hAnsi="Times New Roman" w:eastAsia="方正小标宋_GBK" w:cs="Times New Roman"/>
          <w:sz w:val="44"/>
          <w:szCs w:val="44"/>
        </w:rPr>
        <w:t>销号公示表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imes New Roman" w:hAnsi="Times New Roman" w:cs="Times New Roman"/>
        </w:rPr>
      </w:pP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526"/>
        <w:gridCol w:w="1487"/>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198" w:type="dxa"/>
            <w:noWrap w:val="0"/>
            <w:vAlign w:val="center"/>
          </w:tcPr>
          <w:p>
            <w:pPr>
              <w:snapToGrid w:val="0"/>
              <w:jc w:val="center"/>
              <w:rPr>
                <w:rFonts w:ascii="Times New Roman" w:hAnsi="Times New Roman" w:cs="Times New Roman"/>
              </w:rPr>
            </w:pPr>
            <w:r>
              <w:rPr>
                <w:rFonts w:hint="default" w:ascii="Times New Roman" w:hAnsi="Times New Roman" w:eastAsia="方正黑体_GBK" w:cs="Times New Roman"/>
                <w:sz w:val="24"/>
              </w:rPr>
              <w:t>整改实施主体</w:t>
            </w:r>
          </w:p>
        </w:tc>
        <w:tc>
          <w:tcPr>
            <w:tcW w:w="3526" w:type="dxa"/>
            <w:noWrap w:val="0"/>
            <w:vAlign w:val="center"/>
          </w:tcPr>
          <w:p>
            <w:pPr>
              <w:pStyle w:val="3"/>
              <w:spacing w:before="0" w:after="0" w:line="400" w:lineRule="exact"/>
              <w:jc w:val="center"/>
              <w:rPr>
                <w:rFonts w:hint="eastAsia" w:ascii="Times New Roman" w:hAnsi="Times New Roman" w:eastAsia="仿宋_GB2312" w:cs="Times New Roman"/>
                <w:lang w:val="en-US" w:eastAsia="zh-CN"/>
              </w:rPr>
            </w:pPr>
            <w:r>
              <w:rPr>
                <w:rFonts w:hint="eastAsia" w:ascii="Times New Roman" w:hAnsi="Times New Roman" w:eastAsia="方正仿宋_GBK" w:cs="Times New Roman"/>
                <w:b w:val="0"/>
                <w:bCs/>
                <w:sz w:val="24"/>
                <w:szCs w:val="24"/>
                <w:lang w:val="en-US" w:eastAsia="zh-CN"/>
              </w:rPr>
              <w:t>合川区党委和政府</w:t>
            </w:r>
          </w:p>
        </w:tc>
        <w:tc>
          <w:tcPr>
            <w:tcW w:w="1487" w:type="dxa"/>
            <w:noWrap w:val="0"/>
            <w:vAlign w:val="center"/>
          </w:tcPr>
          <w:p>
            <w:pPr>
              <w:pStyle w:val="3"/>
              <w:spacing w:before="0" w:after="0" w:line="400" w:lineRule="exact"/>
              <w:jc w:val="center"/>
              <w:rPr>
                <w:rFonts w:ascii="Times New Roman" w:hAnsi="Times New Roman" w:cs="Times New Roman"/>
              </w:rPr>
            </w:pPr>
            <w:r>
              <w:rPr>
                <w:rFonts w:hint="default" w:ascii="Times New Roman" w:hAnsi="Times New Roman" w:eastAsia="方正黑体_GBK" w:cs="Times New Roman"/>
                <w:b w:val="0"/>
                <w:kern w:val="2"/>
                <w:sz w:val="24"/>
              </w:rPr>
              <w:t>公示日期</w:t>
            </w:r>
          </w:p>
        </w:tc>
        <w:tc>
          <w:tcPr>
            <w:tcW w:w="2849" w:type="dxa"/>
            <w:noWrap w:val="0"/>
            <w:vAlign w:val="center"/>
          </w:tcPr>
          <w:p>
            <w:pPr>
              <w:pStyle w:val="3"/>
              <w:spacing w:before="0" w:after="0" w:line="400" w:lineRule="exact"/>
              <w:ind w:firstLine="240" w:firstLineChars="100"/>
              <w:jc w:val="both"/>
              <w:rPr>
                <w:rFonts w:hint="default" w:ascii="Times New Roman" w:hAnsi="Times New Roman" w:eastAsia="方正仿宋_GBK" w:cs="Times New Roman"/>
                <w:b w:val="0"/>
                <w:bCs/>
                <w:sz w:val="24"/>
                <w:szCs w:val="24"/>
                <w:lang w:val="en-US" w:eastAsia="zh-CN"/>
              </w:rPr>
            </w:pPr>
            <w:r>
              <w:rPr>
                <w:rFonts w:hint="eastAsia" w:eastAsia="方正仿宋_GBK" w:cs="Times New Roman"/>
                <w:b w:val="0"/>
                <w:bCs/>
                <w:sz w:val="24"/>
                <w:szCs w:val="24"/>
                <w:lang w:val="en-US" w:eastAsia="zh-CN"/>
              </w:rPr>
              <w:t>2025</w:t>
            </w:r>
            <w:r>
              <w:rPr>
                <w:rFonts w:hint="default" w:ascii="Times New Roman" w:hAnsi="Times New Roman" w:eastAsia="方正仿宋_GBK" w:cs="Times New Roman"/>
                <w:b w:val="0"/>
                <w:bCs/>
                <w:sz w:val="24"/>
                <w:szCs w:val="24"/>
                <w:lang w:val="en-US" w:eastAsia="zh-CN"/>
              </w:rPr>
              <w:t>年</w:t>
            </w:r>
            <w:r>
              <w:rPr>
                <w:rFonts w:hint="eastAsia" w:eastAsia="方正仿宋_GBK" w:cs="Times New Roman"/>
                <w:b w:val="0"/>
                <w:bCs/>
                <w:sz w:val="24"/>
                <w:szCs w:val="24"/>
                <w:lang w:val="en-US" w:eastAsia="zh-CN"/>
              </w:rPr>
              <w:t>11</w:t>
            </w:r>
            <w:r>
              <w:rPr>
                <w:rFonts w:hint="default" w:ascii="Times New Roman" w:hAnsi="Times New Roman" w:eastAsia="方正仿宋_GBK" w:cs="Times New Roman"/>
                <w:b w:val="0"/>
                <w:bCs/>
                <w:sz w:val="24"/>
                <w:szCs w:val="24"/>
                <w:lang w:val="en-US" w:eastAsia="zh-CN"/>
              </w:rPr>
              <w:t>月</w:t>
            </w:r>
            <w:r>
              <w:rPr>
                <w:rFonts w:hint="eastAsia" w:eastAsia="方正仿宋_GBK" w:cs="Times New Roman"/>
                <w:b w:val="0"/>
                <w:bCs/>
                <w:sz w:val="24"/>
                <w:szCs w:val="24"/>
                <w:lang w:val="en-US" w:eastAsia="zh-CN"/>
              </w:rPr>
              <w:t>19</w:t>
            </w:r>
            <w:r>
              <w:rPr>
                <w:rFonts w:hint="default" w:ascii="Times New Roman" w:hAnsi="Times New Roman" w:eastAsia="方正仿宋_GBK" w:cs="Times New Roman"/>
                <w:b w:val="0"/>
                <w:bCs/>
                <w:sz w:val="24"/>
                <w:szCs w:val="24"/>
                <w:lang w:val="en-US" w:eastAsia="zh-CN"/>
              </w:rPr>
              <w:t>日</w:t>
            </w:r>
          </w:p>
          <w:p>
            <w:pPr>
              <w:pStyle w:val="3"/>
              <w:spacing w:before="0" w:after="0" w:line="400" w:lineRule="exact"/>
              <w:ind w:firstLine="240" w:firstLineChars="100"/>
              <w:jc w:val="both"/>
              <w:rPr>
                <w:rFonts w:hint="default" w:ascii="Times New Roman" w:hAnsi="Times New Roman" w:eastAsia="仿宋_GB2312" w:cs="Times New Roman"/>
                <w:sz w:val="24"/>
                <w:szCs w:val="24"/>
                <w:lang w:val="en-US" w:eastAsia="zh-CN"/>
              </w:rPr>
            </w:pPr>
            <w:r>
              <w:rPr>
                <w:rFonts w:hint="default" w:ascii="Times New Roman" w:hAnsi="Times New Roman" w:eastAsia="方正仿宋_GBK" w:cs="Times New Roman"/>
                <w:b w:val="0"/>
                <w:bCs/>
                <w:sz w:val="24"/>
                <w:szCs w:val="24"/>
                <w:lang w:val="en-US" w:eastAsia="zh-CN"/>
              </w:rPr>
              <w:t>至</w:t>
            </w:r>
            <w:r>
              <w:rPr>
                <w:rFonts w:hint="eastAsia" w:eastAsia="方正仿宋_GBK" w:cs="Times New Roman"/>
                <w:b w:val="0"/>
                <w:bCs/>
                <w:sz w:val="24"/>
                <w:szCs w:val="24"/>
                <w:lang w:val="en-US" w:eastAsia="zh-CN"/>
              </w:rPr>
              <w:t>2025</w:t>
            </w:r>
            <w:r>
              <w:rPr>
                <w:rFonts w:hint="default" w:ascii="Times New Roman" w:hAnsi="Times New Roman" w:eastAsia="方正仿宋_GBK" w:cs="Times New Roman"/>
                <w:b w:val="0"/>
                <w:bCs/>
                <w:sz w:val="24"/>
                <w:szCs w:val="24"/>
                <w:lang w:val="en-US" w:eastAsia="zh-CN"/>
              </w:rPr>
              <w:t>年</w:t>
            </w:r>
            <w:r>
              <w:rPr>
                <w:rFonts w:hint="eastAsia" w:eastAsia="方正仿宋_GBK" w:cs="Times New Roman"/>
                <w:b w:val="0"/>
                <w:bCs/>
                <w:sz w:val="24"/>
                <w:szCs w:val="24"/>
                <w:lang w:val="en-US" w:eastAsia="zh-CN"/>
              </w:rPr>
              <w:t>12</w:t>
            </w:r>
            <w:r>
              <w:rPr>
                <w:rFonts w:hint="default" w:ascii="Times New Roman" w:hAnsi="Times New Roman" w:eastAsia="方正仿宋_GBK" w:cs="Times New Roman"/>
                <w:b w:val="0"/>
                <w:bCs/>
                <w:sz w:val="24"/>
                <w:szCs w:val="24"/>
                <w:lang w:val="en-US" w:eastAsia="zh-CN"/>
              </w:rPr>
              <w:t>月</w:t>
            </w:r>
            <w:r>
              <w:rPr>
                <w:rFonts w:hint="eastAsia" w:eastAsia="方正仿宋_GBK" w:cs="Times New Roman"/>
                <w:b w:val="0"/>
                <w:bCs/>
                <w:sz w:val="24"/>
                <w:szCs w:val="24"/>
                <w:lang w:val="en-US" w:eastAsia="zh-CN"/>
              </w:rPr>
              <w:t>3</w:t>
            </w:r>
            <w:r>
              <w:rPr>
                <w:rFonts w:hint="default" w:ascii="Times New Roman" w:hAnsi="Times New Roman" w:eastAsia="方正仿宋_GBK" w:cs="Times New Roman"/>
                <w:b w:val="0"/>
                <w:bCs/>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1" w:hRule="atLeast"/>
          <w:jc w:val="center"/>
        </w:trPr>
        <w:tc>
          <w:tcPr>
            <w:tcW w:w="1198" w:type="dxa"/>
            <w:noWrap w:val="0"/>
            <w:vAlign w:val="center"/>
          </w:tcPr>
          <w:p>
            <w:pPr>
              <w:snapToGrid w:val="0"/>
              <w:spacing w:line="400" w:lineRule="exact"/>
              <w:jc w:val="center"/>
              <w:rPr>
                <w:rFonts w:hint="default" w:ascii="Times New Roman" w:hAnsi="Times New Roman" w:eastAsia="方正黑体_GBK" w:cs="Times New Roman"/>
                <w:lang w:eastAsia="zh-CN"/>
              </w:rPr>
            </w:pPr>
            <w:r>
              <w:rPr>
                <w:rFonts w:hint="default" w:ascii="Times New Roman" w:hAnsi="Times New Roman" w:eastAsia="方正黑体_GBK" w:cs="Times New Roman"/>
                <w:sz w:val="24"/>
              </w:rPr>
              <w:t>整改任务</w:t>
            </w:r>
            <w:r>
              <w:rPr>
                <w:rFonts w:hint="default" w:ascii="Times New Roman" w:hAnsi="Times New Roman" w:eastAsia="方正黑体_GBK" w:cs="Times New Roman"/>
                <w:sz w:val="24"/>
                <w:lang w:val="en-US" w:eastAsia="zh-CN"/>
              </w:rPr>
              <w:t>概述</w:t>
            </w:r>
          </w:p>
        </w:tc>
        <w:tc>
          <w:tcPr>
            <w:tcW w:w="786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第三轮中央生态环境保护督察指出“合川区德源农业开发有限公司在城区第二水源水厂饮用水水源二级保护区内，违规侵占234亩涪江河道养殖南美白对虾，存在污染饮用水源的风险”。《重庆市贯彻落实</w:t>
            </w:r>
            <w:r>
              <w:rPr>
                <w:rFonts w:hint="default" w:ascii="汉仪平安行粗简" w:hAnsi="汉仪平安行粗简" w:eastAsia="汉仪平安行粗简" w:cs="汉仪平安行粗简"/>
                <w:b w:val="0"/>
                <w:bCs/>
                <w:kern w:val="2"/>
                <w:sz w:val="24"/>
                <w:szCs w:val="24"/>
                <w:lang w:val="en-US" w:eastAsia="zh-CN" w:bidi="ar"/>
                <w:woUserID w:val="1"/>
              </w:rPr>
              <w:t>〈</w:t>
            </w:r>
            <w:r>
              <w:rPr>
                <w:rFonts w:hint="eastAsia" w:ascii="Times New Roman" w:hAnsi="Times New Roman" w:cs="Times New Roman"/>
                <w:b w:val="0"/>
                <w:bCs/>
                <w:sz w:val="24"/>
                <w:szCs w:val="24"/>
                <w:lang w:val="en-US" w:eastAsia="zh-CN"/>
              </w:rPr>
              <w:t>重庆市中央生态环境保护督察报告</w:t>
            </w:r>
            <w:r>
              <w:rPr>
                <w:rFonts w:hint="default" w:ascii="汉仪平安行粗简" w:hAnsi="汉仪平安行粗简" w:eastAsia="汉仪平安行粗简" w:cs="汉仪平安行粗简"/>
                <w:b w:val="0"/>
                <w:bCs/>
                <w:kern w:val="2"/>
                <w:sz w:val="24"/>
                <w:szCs w:val="24"/>
                <w:lang w:val="en-US" w:eastAsia="zh-CN" w:bidi="ar"/>
                <w:woUserID w:val="1"/>
              </w:rPr>
              <w:t>〉</w:t>
            </w:r>
            <w:r>
              <w:rPr>
                <w:rFonts w:hint="eastAsia" w:ascii="Times New Roman" w:hAnsi="Times New Roman" w:cs="Times New Roman"/>
                <w:b w:val="0"/>
                <w:bCs/>
                <w:sz w:val="24"/>
                <w:szCs w:val="24"/>
                <w:lang w:val="en-US" w:eastAsia="zh-CN"/>
              </w:rPr>
              <w:t>整改方案》要求合川区党委和政府按以下措施完成整改任务</w:t>
            </w:r>
            <w:r>
              <w:rPr>
                <w:rFonts w:hint="eastAsia" w:cs="Times New Roman"/>
                <w:b w:val="0"/>
                <w:bCs/>
                <w:sz w:val="24"/>
                <w:szCs w:val="24"/>
                <w:lang w:val="en-US" w:eastAsia="zh-CN"/>
              </w:rPr>
              <w:t>：</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1.2024年10月底前，督促指导业主对养虾场建（构）筑物开展洪水影响评价报告编制；2024年11月底前，行业主管部门依法出具防洪影响（论证）审查意见，消除侵占河道违规行为。</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2.2024 年</w:t>
            </w:r>
            <w:r>
              <w:rPr>
                <w:rFonts w:hint="eastAsia" w:cs="Times New Roman"/>
                <w:b w:val="0"/>
                <w:bCs/>
                <w:sz w:val="24"/>
                <w:szCs w:val="24"/>
                <w:lang w:val="en-US" w:eastAsia="zh-CN"/>
              </w:rPr>
              <w:t>11</w:t>
            </w:r>
            <w:r>
              <w:rPr>
                <w:rFonts w:hint="eastAsia" w:ascii="Times New Roman" w:hAnsi="Times New Roman" w:cs="Times New Roman"/>
                <w:b w:val="0"/>
                <w:bCs/>
                <w:sz w:val="24"/>
                <w:szCs w:val="24"/>
                <w:lang w:val="en-US" w:eastAsia="zh-CN"/>
              </w:rPr>
              <w:t>月底前，督促指导业主完成养殖模式污染风险论证，编制综合整治方案，采取迁移现有临河尾水处理区、科学布局进排水系统等措施，确保养殖水循环利用</w:t>
            </w:r>
            <w:r>
              <w:rPr>
                <w:rFonts w:hint="eastAsia" w:cs="Times New Roman"/>
                <w:b w:val="0"/>
                <w:bCs/>
                <w:sz w:val="24"/>
                <w:szCs w:val="24"/>
                <w:lang w:val="en-US" w:eastAsia="zh-CN"/>
              </w:rPr>
              <w:t>、</w:t>
            </w:r>
            <w:r>
              <w:rPr>
                <w:rFonts w:hint="eastAsia" w:ascii="Times New Roman" w:hAnsi="Times New Roman" w:cs="Times New Roman"/>
                <w:b w:val="0"/>
                <w:bCs/>
                <w:sz w:val="24"/>
                <w:szCs w:val="24"/>
                <w:lang w:val="en-US" w:eastAsia="zh-CN"/>
              </w:rPr>
              <w:t>不外溢。</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ascii="Times New Roman" w:hAnsi="Times New Roman" w:cs="Times New Roman"/>
              </w:rPr>
            </w:pPr>
            <w:r>
              <w:rPr>
                <w:rFonts w:hint="eastAsia" w:ascii="Times New Roman" w:hAnsi="Times New Roman" w:cs="Times New Roman"/>
                <w:b w:val="0"/>
                <w:bCs/>
                <w:sz w:val="24"/>
                <w:szCs w:val="24"/>
                <w:lang w:val="en-US" w:eastAsia="zh-CN"/>
              </w:rPr>
              <w:t>3.全面排查区域水域岸线，强化河道水域岸线管控，严格涉河建设项目审批并建立健全管理台账，加强日常巡查监管。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jc w:val="center"/>
        </w:trPr>
        <w:tc>
          <w:tcPr>
            <w:tcW w:w="1198" w:type="dxa"/>
            <w:noWrap w:val="0"/>
            <w:vAlign w:val="center"/>
          </w:tcPr>
          <w:p>
            <w:pPr>
              <w:snapToGrid w:val="0"/>
              <w:spacing w:line="400" w:lineRule="exact"/>
              <w:jc w:val="center"/>
              <w:rPr>
                <w:rFonts w:ascii="Times New Roman" w:hAnsi="Times New Roman" w:cs="Times New Roman"/>
              </w:rPr>
            </w:pPr>
            <w:r>
              <w:rPr>
                <w:rFonts w:hint="default" w:ascii="Times New Roman" w:hAnsi="Times New Roman" w:eastAsia="方正黑体_GBK" w:cs="Times New Roman"/>
                <w:sz w:val="24"/>
              </w:rPr>
              <w:t>整改情况</w:t>
            </w:r>
          </w:p>
        </w:tc>
        <w:tc>
          <w:tcPr>
            <w:tcW w:w="7862" w:type="dxa"/>
            <w:gridSpan w:val="3"/>
            <w:noWrap w:val="0"/>
            <w:vAlign w:val="center"/>
          </w:tcPr>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1.积极配合市水利局完成违规侵占河道岸线影响行洪问题整改，并将整改情况上报市水利局。</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2.开展洪水影响评价，消除违规侵占河道行为。完成《重庆市合川区德源农业开发有限公司铜溪镇弯桥村特种水产养殖基地项目洪水影响评价报告》并通过专家审查，不影响行洪，出具防洪影响（论证）审查意见。同时，督促业主拆除河道管理范围内靠江侧塘坎，并将洪评情况上报市水利局。</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3.编制综合整治方案，落实场内整改措施。完成《重庆市合川区德源农业开发有限公司水产养殖模式对合川城区第二水源水厂饮用水水源地二级保护区影响评估报告》并通过专家评审。积极落实场内整改措施。一是取缔原尾水处理区，原临河10余亩尾水处理区已尽数填埋，在养殖场高位处，新设置20亩储水区，进行养殖用水循环储存。二是科学布局养殖进排水系统，按照《影响评估报告》中循环提排管网图所示方案，封堵原有池塘排水口，在利用原有管网的基础上，沿各池塘进排水线路新铺设PE热熔管道1000米，确保所有池塘尾水能够通过管网输送至新处理区，处理区净化水体通过高位差顺流回养殖池塘，实现养殖水循环利用、不外溢。三是优化场内雨污通道，按照《影响评估报告》中场地雨水沟布置图所示，清理原排水沟770米，对部分损坏沟渠进行拓宽加固，进一步增强养殖场泄洪能力，确保雨污无法进入养殖池塘，实现有效分流。四是开展养殖基地水质检测，委托三方水质检测机构对场内三号、七号养殖池塘进行定点检测4次，区水产站抽检1次，5次检测均满足重庆市《水产养殖尾水排放标准》（DB50/ 1544—2023）。</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4.强化河道岸线监管。全面排查区域水域岸线，强化河道水域岸线管控，严格涉河建设项目审批，建立涉河建设项目监管台账，加强日常巡查监管。加强饮用水水源地管理。完成合川区渭沱镇涪江城区第二水源水厂水源地水质监测，监测结果达到《地表水环境质量标准》（GB3838—2002）Ⅲ类水质标准。完成合川区渭沱镇涪江城区第二水源水厂水源地规范化建设，建立水源地“一源一档”档案。</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ascii="Times New Roman" w:hAnsi="Times New Roman" w:cs="Times New Roman"/>
              </w:rPr>
            </w:pPr>
            <w:r>
              <w:rPr>
                <w:rFonts w:hint="eastAsia" w:ascii="Times New Roman" w:hAnsi="Times New Roman" w:cs="Times New Roman"/>
                <w:b w:val="0"/>
                <w:bCs/>
                <w:sz w:val="24"/>
                <w:szCs w:val="24"/>
                <w:lang w:val="en-US" w:eastAsia="zh-CN"/>
              </w:rPr>
              <w:t>5.配合市水利局完成合川区河道“清四乱”常态化规范化，持续排查整治河道管理范围内“乱占、乱采、乱堆、乱建”问题。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5" w:hRule="atLeast"/>
          <w:jc w:val="center"/>
        </w:trPr>
        <w:tc>
          <w:tcPr>
            <w:tcW w:w="1198" w:type="dxa"/>
            <w:noWrap w:val="0"/>
            <w:vAlign w:val="center"/>
          </w:tcPr>
          <w:p>
            <w:pPr>
              <w:snapToGrid w:val="0"/>
              <w:spacing w:line="400" w:lineRule="exac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整改验收核查情况</w:t>
            </w:r>
          </w:p>
        </w:tc>
        <w:tc>
          <w:tcPr>
            <w:tcW w:w="786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2025年7月3日，市生态环境局会同市水利局、市农业农村委组成验收工作组，对合川区城区第二水源水厂饮用水水源二级保护区整改任务完成情况进行核查，核查验收组对照《重庆市贯彻落实</w:t>
            </w:r>
            <w:bookmarkStart w:id="0" w:name="_GoBack"/>
            <w:r>
              <w:rPr>
                <w:rFonts w:hint="default" w:ascii="汉仪平安行粗简" w:hAnsi="汉仪平安行粗简" w:eastAsia="汉仪平安行粗简" w:cs="汉仪平安行粗简"/>
                <w:b w:val="0"/>
                <w:bCs/>
                <w:kern w:val="2"/>
                <w:sz w:val="24"/>
                <w:szCs w:val="24"/>
                <w:lang w:val="en-US" w:eastAsia="zh-CN" w:bidi="ar"/>
                <w:woUserID w:val="1"/>
              </w:rPr>
              <w:t>〈</w:t>
            </w:r>
            <w:bookmarkEnd w:id="0"/>
            <w:r>
              <w:rPr>
                <w:rFonts w:hint="eastAsia" w:ascii="Times New Roman" w:hAnsi="Times New Roman" w:cs="Times New Roman"/>
                <w:b w:val="0"/>
                <w:bCs/>
                <w:sz w:val="24"/>
                <w:szCs w:val="24"/>
                <w:lang w:val="en-US" w:eastAsia="zh-CN"/>
              </w:rPr>
              <w:t>重庆市中央生态环境保护督察报告</w:t>
            </w:r>
            <w:r>
              <w:rPr>
                <w:rFonts w:hint="default" w:ascii="汉仪平安行粗简" w:hAnsi="汉仪平安行粗简" w:eastAsia="汉仪平安行粗简" w:cs="汉仪平安行粗简"/>
                <w:b w:val="0"/>
                <w:bCs/>
                <w:kern w:val="2"/>
                <w:sz w:val="24"/>
                <w:szCs w:val="24"/>
                <w:lang w:val="en-US" w:eastAsia="zh-CN" w:bidi="ar"/>
                <w:woUserID w:val="1"/>
              </w:rPr>
              <w:t>〉</w:t>
            </w:r>
            <w:r>
              <w:rPr>
                <w:rFonts w:hint="eastAsia" w:ascii="Times New Roman" w:hAnsi="Times New Roman" w:cs="Times New Roman"/>
                <w:b w:val="0"/>
                <w:bCs/>
                <w:sz w:val="24"/>
                <w:szCs w:val="24"/>
                <w:lang w:val="en-US" w:eastAsia="zh-CN"/>
              </w:rPr>
              <w:t>整改方案》明确的整改措施，通过查阅资料、现场核查、走访问询等方式，逐一核实整改任务的措施落实和目标完成情况。</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核查验收组认为：合川区党委和政府对标对表，按期完成了整改方案明确的整改措施。</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一是完善德源虾场洪水影响评价，消除了违规侵占河道的行为。编制《重庆市合川区德源农业开发有限公司铜溪镇弯桥村特种水产养殖基地项目洪水影响评价报告》并通过专家审查，同时按审查意见拆除了靠江侧塘坎约 100㎥。根据专家评审意见，项目对工程河段河势无影响、对防洪无影响、对防汛抢险无影响、对第三方水事权益无影响，结合整改情况和水质监测情况，区水利局出具了防洪审查意见表，消除了违规侵占河道的行为。</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二是开展养殖模式对城区饮用水源保护地影响评估，完成现场整改。编制《重庆市合川区德源农业开发有限公司水产养殖模式对合川城区第二水源水厂饮用水水源地二级保护区影响评估报告》并按照报告整改意见取缔并填埋原尾水处理区，设置20亩原养殖塘作为循环净化区，科学布局养殖进排水系统，实现了养殖水循环利用、不外溢。</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三是加强饮用水水源地水质监测。完成合川区渭沱镇涪江城区第二水源水厂水源地水质监测，监测结果达到《地表水环境质量标准 GB3838-2002)III 类水质标准，同时在水源地一级保护区内安装1套水质在线监测设施并联网。</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四是强化河道水域岸线管控。严格涉河建设项目审批。2024年开展涉河建设项目审批 11个，常态化规范化开展河道清四乱工作，建立健全管理台账，发现河道四乱问题6个，全部督促业主单位完成了整改。</w:t>
            </w:r>
          </w:p>
          <w:p>
            <w:pPr>
              <w:pStyle w:val="3"/>
              <w:keepNext/>
              <w:keepLines/>
              <w:pageBreakBefore w:val="0"/>
              <w:widowControl w:val="0"/>
              <w:kinsoku/>
              <w:wordWrap/>
              <w:overflowPunct/>
              <w:topLinePunct w:val="0"/>
              <w:autoSpaceDE/>
              <w:autoSpaceDN/>
              <w:bidi w:val="0"/>
              <w:adjustRightInd/>
              <w:snapToGrid/>
              <w:spacing w:before="0" w:after="0" w:line="280" w:lineRule="exact"/>
              <w:ind w:firstLine="480" w:firstLineChars="200"/>
              <w:jc w:val="both"/>
              <w:textAlignment w:val="auto"/>
              <w:rPr>
                <w:rFonts w:ascii="Times New Roman" w:hAnsi="Times New Roman" w:cs="Times New Roman"/>
              </w:rPr>
            </w:pPr>
            <w:r>
              <w:rPr>
                <w:rFonts w:hint="eastAsia" w:ascii="Times New Roman" w:hAnsi="Times New Roman" w:cs="Times New Roman"/>
                <w:b w:val="0"/>
                <w:bCs/>
                <w:sz w:val="24"/>
                <w:szCs w:val="24"/>
                <w:lang w:val="en-US" w:eastAsia="zh-CN"/>
              </w:rPr>
              <w:t>五是属地镇严格落实日常巡查制度，定期开展饮用水水源地巡查检查，发现问题及时进行了处置。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198" w:type="dxa"/>
            <w:noWrap w:val="0"/>
            <w:vAlign w:val="center"/>
          </w:tcPr>
          <w:p>
            <w:pPr>
              <w:snapToGrid w:val="0"/>
              <w:spacing w:line="400" w:lineRule="exac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反馈意见联系方式</w:t>
            </w:r>
          </w:p>
        </w:tc>
        <w:tc>
          <w:tcPr>
            <w:tcW w:w="7862" w:type="dxa"/>
            <w:gridSpan w:val="3"/>
            <w:noWrap w:val="0"/>
            <w:vAlign w:val="center"/>
          </w:tcPr>
          <w:p>
            <w:pPr>
              <w:pStyle w:val="3"/>
              <w:spacing w:before="0" w:after="0" w:line="400" w:lineRule="exact"/>
              <w:rPr>
                <w:rFonts w:hint="default" w:ascii="Times New Roman" w:hAnsi="Times New Roman" w:eastAsia="方正楷体_GBK" w:cs="Times New Roman"/>
                <w:b w:val="0"/>
                <w:sz w:val="24"/>
                <w:lang w:val="en-US" w:eastAsia="zh-CN"/>
              </w:rPr>
            </w:pPr>
            <w:r>
              <w:rPr>
                <w:rFonts w:hint="default" w:ascii="Times New Roman" w:hAnsi="Times New Roman" w:eastAsia="方正楷体_GBK" w:cs="Times New Roman"/>
                <w:b w:val="0"/>
                <w:sz w:val="24"/>
              </w:rPr>
              <w:t>联系电话：</w:t>
            </w:r>
            <w:r>
              <w:rPr>
                <w:rFonts w:hint="eastAsia" w:ascii="Times New Roman" w:hAnsi="Times New Roman" w:eastAsia="方正楷体_GBK" w:cs="Times New Roman"/>
                <w:b w:val="0"/>
                <w:sz w:val="24"/>
                <w:lang w:val="en-US" w:eastAsia="zh-CN"/>
              </w:rPr>
              <w:t>88521842</w:t>
            </w:r>
          </w:p>
          <w:p>
            <w:pPr>
              <w:pStyle w:val="3"/>
              <w:keepNext/>
              <w:keepLines/>
              <w:pageBreakBefore w:val="0"/>
              <w:widowControl w:val="0"/>
              <w:kinsoku/>
              <w:wordWrap/>
              <w:overflowPunct/>
              <w:topLinePunct w:val="0"/>
              <w:autoSpaceDE/>
              <w:autoSpaceDN/>
              <w:bidi w:val="0"/>
              <w:adjustRightInd/>
              <w:snapToGrid/>
              <w:spacing w:before="0" w:after="0" w:line="280" w:lineRule="exac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b w:val="0"/>
                <w:sz w:val="24"/>
              </w:rPr>
              <w:t>电子邮箱：</w:t>
            </w:r>
            <w:r>
              <w:rPr>
                <w:rFonts w:hint="eastAsia" w:ascii="Times New Roman" w:hAnsi="Times New Roman" w:eastAsia="方正楷体_GBK" w:cs="Times New Roman"/>
                <w:b w:val="0"/>
                <w:sz w:val="24"/>
                <w:lang w:val="en-US" w:eastAsia="zh-CN"/>
              </w:rPr>
              <w:t>cqhjjcb2@163.com</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82016" w:usb3="00000000" w:csb0="00040001" w:csb1="00000000"/>
  </w:font>
  <w:font w:name="方正黑体_GBK">
    <w:altName w:val="汉仪中黑KW"/>
    <w:panose1 w:val="02000000000000000000"/>
    <w:charset w:val="86"/>
    <w:family w:val="auto"/>
    <w:pitch w:val="default"/>
    <w:sig w:usb0="00000000" w:usb1="00000000" w:usb2="00082016" w:usb3="00000000" w:csb0="00040001" w:csb1="00000000"/>
  </w:font>
  <w:font w:name="方正仿宋_GBK">
    <w:altName w:val="汉仪仿宋KW"/>
    <w:panose1 w:val="02000000000000000000"/>
    <w:charset w:val="86"/>
    <w:family w:val="auto"/>
    <w:pitch w:val="default"/>
    <w:sig w:usb0="00000000" w:usb1="00000000" w:usb2="00082016" w:usb3="00000000" w:csb0="00040001" w:csb1="00000000"/>
  </w:font>
  <w:font w:name="方正楷体_GBK">
    <w:altName w:val="汉仪楷体KW"/>
    <w:panose1 w:val="02000000000000000000"/>
    <w:charset w:val="86"/>
    <w:family w:val="auto"/>
    <w:pitch w:val="default"/>
    <w:sig w:usb0="00000000" w:usb1="00000000" w:usb2="00082016" w:usb3="00000000" w:csb0="00040001" w:csb1="00000000"/>
  </w:font>
  <w:font w:name="汉仪仿宋KW">
    <w:panose1 w:val="00020600040101010101"/>
    <w:charset w:val="86"/>
    <w:family w:val="auto"/>
    <w:pitch w:val="default"/>
    <w:sig w:usb0="A00002BF" w:usb1="18EF7CFA" w:usb2="00000016" w:usb3="00000000" w:csb0="00040000" w:csb1="00000000"/>
  </w:font>
  <w:font w:name="Noto Serif CJK SC">
    <w:panose1 w:val="02020400000000000000"/>
    <w:charset w:val="86"/>
    <w:family w:val="auto"/>
    <w:pitch w:val="default"/>
    <w:sig w:usb0="30000083" w:usb1="2BDF3C10" w:usb2="00000016" w:usb3="00000000" w:csb0="602E0107" w:csb1="00000000"/>
  </w:font>
  <w:font w:name="汉仪楷体KW">
    <w:panose1 w:val="00020600040101010101"/>
    <w:charset w:val="86"/>
    <w:family w:val="auto"/>
    <w:pitch w:val="default"/>
    <w:sig w:usb0="A00002BF" w:usb1="18EF7CFA" w:usb2="00000016" w:usb3="00000000" w:csb0="00040000" w:csb1="00000000"/>
  </w:font>
  <w:font w:name="汉仪平安行粗简">
    <w:altName w:val="Arial"/>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E6A4F"/>
    <w:rsid w:val="384B76CF"/>
    <w:rsid w:val="38B4004A"/>
    <w:rsid w:val="3A2829A8"/>
    <w:rsid w:val="3AFE6A4F"/>
    <w:rsid w:val="3BC46484"/>
    <w:rsid w:val="3E307815"/>
    <w:rsid w:val="4089589B"/>
    <w:rsid w:val="4CF3C433"/>
    <w:rsid w:val="508F058A"/>
    <w:rsid w:val="62C332D8"/>
    <w:rsid w:val="70EB0853"/>
    <w:rsid w:val="7A137E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kern w:val="44"/>
      <w:sz w:val="44"/>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2025-08-04T17:40:00Z</dcterms:created>
  <dc:creator>Administrator</dc:creator>
  <cp:lastModifiedBy>aa</cp:lastModifiedBy>
  <cp:lastPrinted>2025-08-07T09:09:00Z</cp:lastPrinted>
  <dcterms:modified xsi:type="dcterms:W3CDTF">2025-11-18T14:44:56Z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1C945168C9C542FBB872BD28BC034C14</vt:lpwstr>
  </property>
</Properties>
</file>