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8" w:rsidRDefault="000F1918" w:rsidP="000F1918">
      <w:pPr>
        <w:adjustRightInd w:val="0"/>
        <w:snapToGrid w:val="0"/>
        <w:jc w:val="left"/>
        <w:rPr>
          <w:rFonts w:ascii="方正黑体_GBK" w:eastAsia="方正黑体_GBK" w:hAnsi="方正小标宋_GBK" w:cs="方正黑体_GBK"/>
          <w:sz w:val="32"/>
          <w:szCs w:val="32"/>
        </w:rPr>
      </w:pPr>
      <w:r>
        <w:rPr>
          <w:rFonts w:ascii="方正黑体_GBK" w:eastAsia="方正黑体_GBK" w:hAnsi="方正小标宋_GBK" w:cs="方正黑体_GBK" w:hint="eastAsia"/>
          <w:sz w:val="32"/>
          <w:szCs w:val="32"/>
        </w:rPr>
        <w:t>附件</w:t>
      </w:r>
    </w:p>
    <w:p w:rsidR="000F1918" w:rsidRDefault="000F1918" w:rsidP="000F1918">
      <w:pPr>
        <w:shd w:val="solid" w:color="FFFFFF" w:fill="auto"/>
        <w:autoSpaceDN w:val="0"/>
        <w:snapToGrid w:val="0"/>
        <w:jc w:val="center"/>
        <w:outlineLvl w:val="1"/>
        <w:rPr>
          <w:rFonts w:ascii="方正小标宋_GBK" w:eastAsia="方正小标宋_GBK" w:hAnsi="黑体"/>
          <w:color w:val="000000"/>
          <w:spacing w:val="-20"/>
        </w:rPr>
      </w:pPr>
    </w:p>
    <w:p w:rsidR="000F1918" w:rsidRDefault="000F1918" w:rsidP="000F1918">
      <w:pPr>
        <w:shd w:val="solid" w:color="FFFFFF" w:fill="auto"/>
        <w:autoSpaceDN w:val="0"/>
        <w:snapToGrid w:val="0"/>
        <w:jc w:val="center"/>
        <w:outlineLvl w:val="1"/>
        <w:rPr>
          <w:rFonts w:ascii="方正小标宋_GBK" w:eastAsia="方正小标宋_GBK" w:hAnsi="黑体" w:cs="方正小标宋_GBK"/>
          <w:color w:val="000000"/>
          <w:spacing w:val="-20"/>
          <w:sz w:val="44"/>
          <w:szCs w:val="44"/>
        </w:rPr>
      </w:pPr>
      <w:r>
        <w:rPr>
          <w:rFonts w:hint="eastAsia"/>
        </w:rPr>
        <w:t>居家</w:t>
      </w:r>
      <w:proofErr w:type="gramStart"/>
      <w:r>
        <w:rPr>
          <w:rFonts w:hint="eastAsia"/>
        </w:rPr>
        <w:t>适</w:t>
      </w:r>
      <w:proofErr w:type="gramEnd"/>
      <w:r>
        <w:rPr>
          <w:rFonts w:hint="eastAsia"/>
        </w:rPr>
        <w:t>老化改造项目和老年用品配置推荐清单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1335"/>
        <w:gridCol w:w="2126"/>
        <w:gridCol w:w="4279"/>
        <w:gridCol w:w="709"/>
      </w:tblGrid>
      <w:tr w:rsidR="000F1918" w:rsidTr="00212ACD">
        <w:trPr>
          <w:trHeight w:val="680"/>
          <w:tblHeader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方正黑体_GBK" w:hint="eastAsia"/>
                <w:spacing w:val="8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方正黑体_GBK" w:hint="eastAsia"/>
                <w:spacing w:val="8"/>
                <w:kern w:val="0"/>
                <w:sz w:val="18"/>
                <w:szCs w:val="18"/>
              </w:rPr>
              <w:t>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方正黑体_GBK" w:hint="eastAsia"/>
                <w:spacing w:val="8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方正黑体_GBK" w:hint="eastAsia"/>
                <w:spacing w:val="8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方正黑体_GBK" w:hint="eastAsia"/>
                <w:spacing w:val="8"/>
                <w:kern w:val="0"/>
                <w:sz w:val="18"/>
                <w:szCs w:val="18"/>
              </w:rPr>
              <w:t>项目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方正黑体_GBK" w:hint="eastAsia"/>
                <w:spacing w:val="8"/>
                <w:kern w:val="0"/>
                <w:sz w:val="18"/>
                <w:szCs w:val="18"/>
              </w:rPr>
              <w:t>类型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（一）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地面改造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防滑处理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在卫生间、厨房、卧室等区域，铺设防滑</w:t>
            </w:r>
            <w:proofErr w:type="gramStart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砖或者</w:t>
            </w:r>
            <w:proofErr w:type="gramEnd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防滑地胶，提高安全性。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  <w:t> 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高差处理</w:t>
            </w:r>
          </w:p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铺设水泥坡道或者加设橡胶等材质的可移动式坡道，保证路面平滑、无高差障碍，方便轮椅进出。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平整硬化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对地面进行平整硬化，方便轮椅通过，降低风险。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4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安装扶手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在高差变化处安装扶手，辅助老年人通过。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（二）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门改造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门槛移除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移除门槛，保证老年人进门无障碍，方便轮椅进出。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6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平开门改为推拉门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方便开启，增加通行宽度和辅助操作空间。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7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房门拓宽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对卫生间、厨房等空间较窄的门洞进行拓宽，改善通过性，方便轮椅进出。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下压式门把手改造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可用单手手掌或者手指轻松操作，增加摩擦力和稳定性，方便老年人开门。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9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安装闪光振动门铃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供听力视力障碍老年人使用。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（三）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卧室改造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配置护理床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帮助失能老年人完成起身、侧翻、上下床、吃饭等动作，辅助喂食、处理排泄物等。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11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安装床边护栏（抓杆）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辅助老年人起身、上下床，防止翻身滚下床，保证老年人睡眠和活动安全。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12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配置防</w:t>
            </w: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压疮垫</w:t>
            </w:r>
            <w:proofErr w:type="gram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避免长期乘坐轮椅或卧床的老年人发生严重压疮，包括防压疮坐垫、靠垫或床垫等。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（四）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如厕洗浴设备改造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安装扶手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如厕区</w:t>
            </w:r>
            <w:proofErr w:type="gramEnd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或者洗浴区安装扶手，辅助老年人起身、站立、转身和坐下，包括</w:t>
            </w:r>
            <w:proofErr w:type="gramStart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字形扶手、</w:t>
            </w:r>
            <w:r>
              <w:rPr>
                <w:rFonts w:ascii="宋体" w:hAnsi="宋体" w:cs="宋体"/>
                <w:color w:val="FF0000"/>
                <w:spacing w:val="8"/>
                <w:kern w:val="0"/>
                <w:sz w:val="18"/>
                <w:szCs w:val="18"/>
              </w:rPr>
              <w:t>U</w:t>
            </w: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形扶手、</w:t>
            </w:r>
            <w:r>
              <w:rPr>
                <w:rFonts w:ascii="宋体" w:hAnsi="宋体" w:cs="宋体"/>
                <w:color w:val="FF0000"/>
                <w:spacing w:val="8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形扶手、</w:t>
            </w:r>
            <w:r>
              <w:rPr>
                <w:rFonts w:ascii="宋体" w:hAnsi="宋体" w:cs="宋体"/>
                <w:color w:val="FF0000"/>
                <w:spacing w:val="8"/>
                <w:kern w:val="0"/>
                <w:sz w:val="18"/>
                <w:szCs w:val="18"/>
              </w:rPr>
              <w:t>135</w:t>
            </w: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°扶手、</w:t>
            </w:r>
            <w:r>
              <w:rPr>
                <w:rFonts w:ascii="宋体" w:hAnsi="宋体" w:cs="宋体"/>
                <w:color w:val="FF0000"/>
                <w:spacing w:val="8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形扶手或者助力扶手等。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蹲便器改坐便器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减轻</w:t>
            </w: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蹲姿造成</w:t>
            </w:r>
            <w:proofErr w:type="gramEnd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的腿部压力，避免老年人如厕时摔倒，</w:t>
            </w: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方便乘</w:t>
            </w:r>
            <w:proofErr w:type="gramEnd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轮椅老年人使用。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3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（四）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如厕洗浴设备改造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水龙头改造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采用拔杆式或感应水龙头，方便老年人开关水阀。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16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浴缸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淋浴房改造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拆除浴缸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淋浴房，更换浴帘、浴杆，增加淋浴空间，方便照护人员辅助老年人洗浴。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配置淋浴椅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 w:cs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辅助老年人洗澡用，避免老年人滑倒，提高安全性</w:t>
            </w:r>
          </w:p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18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（五）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厨房设备改造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台面改造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降低操作台、灶台、洗菜</w:t>
            </w: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池高度</w:t>
            </w:r>
            <w:proofErr w:type="gramEnd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或者在其下方留出容膝空间，</w:t>
            </w: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方便乘</w:t>
            </w:r>
            <w:proofErr w:type="gramEnd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轮椅或者体型矮小老年人操作。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19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加设中部柜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在吊柜下方设置开敞式中部柜、中部架，方便老年人取放物品。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9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（六）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物理环境改造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安装自动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感应灯具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安装感应便携灯，避免直射光源、强刺激性光源，人走灯灭，辅助老年人起夜使用。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9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21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电源插座及开关改造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视情进行高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低位改造，避免老年人下蹲或弯腰，方便老年人插拔电源和使用开关。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79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安装防撞护角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防撞条、提示标识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23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适老家具</w:t>
            </w:r>
            <w:proofErr w:type="gramEnd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配置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比如换鞋凳、</w:t>
            </w: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适老椅</w:t>
            </w:r>
            <w:proofErr w:type="gramEnd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、电动升降</w:t>
            </w: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晾</w:t>
            </w:r>
            <w:proofErr w:type="gramEnd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衣架等。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24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（七）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老年用品</w:t>
            </w:r>
          </w:p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手杖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辅助老年人平稳站立和行走，包含三脚或四脚手杖、</w:t>
            </w:r>
            <w:proofErr w:type="gramStart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凳拐等</w:t>
            </w:r>
            <w:proofErr w:type="gramEnd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left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轮椅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助行器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辅助家人、照护人员推行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帮助老年人站立行走，扩大老年人活动空间。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26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left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放大装置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运用光学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电子原理进行影像放大，方便老年人近用。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27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left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助听器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28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left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自助进食器具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辅助老年人进食，包括</w:t>
            </w:r>
            <w:proofErr w:type="gramStart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防洒碗</w:t>
            </w:r>
            <w:proofErr w:type="gramEnd"/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（盘）、助食筷、弯柄勺（叉）、饮水杯（壶）等。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29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left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防走失装置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用于监测失智老年人或其他精神障碍老年人定位，避免老年人走失，包括</w:t>
            </w:r>
            <w:proofErr w:type="gramStart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防走失手</w:t>
            </w:r>
            <w:proofErr w:type="gramEnd"/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环、防走失胸卡等。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kern w:val="0"/>
                <w:sz w:val="18"/>
                <w:szCs w:val="18"/>
              </w:rPr>
              <w:t>基础</w:t>
            </w:r>
          </w:p>
        </w:tc>
      </w:tr>
      <w:tr w:rsidR="000F1918" w:rsidTr="00212ACD">
        <w:trPr>
          <w:trHeight w:val="6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left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安全监控装置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佩戴于人体或安装在居家环境中，用于监测老年人动作或者居室环境，发生险情时及时报警。包括红外探测器、紧急呼叫器、烟雾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煤气泄露</w:t>
            </w:r>
            <w:r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溢水报警器等。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18" w:rsidRDefault="000F1918" w:rsidP="00212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可选</w:t>
            </w:r>
          </w:p>
        </w:tc>
      </w:tr>
    </w:tbl>
    <w:p w:rsidR="000F1918" w:rsidRDefault="000F1918" w:rsidP="000F1918">
      <w:pPr>
        <w:pStyle w:val="a3"/>
        <w:ind w:left="1680"/>
        <w:rPr>
          <w:rFonts w:ascii="宋体" w:cs="宋体"/>
          <w:sz w:val="28"/>
          <w:szCs w:val="28"/>
        </w:rPr>
      </w:pPr>
    </w:p>
    <w:p w:rsidR="000F1918" w:rsidRDefault="000F1918" w:rsidP="000F1918">
      <w:pPr>
        <w:rPr>
          <w:rFonts w:ascii="宋体" w:eastAsia="仿宋_GB2312" w:cs="宋体"/>
          <w:szCs w:val="28"/>
        </w:rPr>
      </w:pPr>
    </w:p>
    <w:p w:rsidR="000F1918" w:rsidRDefault="000F1918" w:rsidP="000F1918">
      <w:pPr>
        <w:jc w:val="center"/>
        <w:outlineLvl w:val="0"/>
        <w:rPr>
          <w:rFonts w:ascii="宋体" w:hAnsi="宋体" w:cs="宋体"/>
          <w:sz w:val="24"/>
          <w:szCs w:val="24"/>
        </w:rPr>
      </w:pPr>
    </w:p>
    <w:p w:rsidR="00F35685" w:rsidRDefault="00F35685"/>
    <w:sectPr w:rsidR="00F35685" w:rsidSect="00BC4C4B">
      <w:headerReference w:type="default" r:id="rId4"/>
      <w:footerReference w:type="default" r:id="rId5"/>
      <w:pgSz w:w="11907" w:h="16840"/>
      <w:pgMar w:top="1134" w:right="1191" w:bottom="1134" w:left="1304" w:header="851" w:footer="992" w:gutter="0"/>
      <w:pgNumType w:fmt="numberInDash" w:start="1"/>
      <w:cols w:space="720"/>
      <w:docGrid w:linePitch="380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5A" w:rsidRDefault="0023015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5" type="#_x0000_t202" style="position:absolute;margin-left:0;margin-top:0;width:15pt;height:10.3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" filled="f" stroked="f">
          <v:textbox style="mso-fit-shape-to-text:t" inset="0,0,0,0">
            <w:txbxContent>
              <w:p w:rsidR="0027755A" w:rsidRDefault="0023015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F1918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5A" w:rsidRDefault="00230158">
    <w:pPr>
      <w:pStyle w:val="a5"/>
      <w:pBdr>
        <w:bottom w:val="none" w:sz="0" w:space="1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F1918"/>
    <w:rsid w:val="000F1918"/>
    <w:rsid w:val="00230158"/>
    <w:rsid w:val="00F3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1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F1918"/>
    <w:rPr>
      <w:rFonts w:ascii="仿宋_GB2312" w:eastAsia="仿宋_GB2312"/>
      <w:sz w:val="32"/>
    </w:rPr>
  </w:style>
  <w:style w:type="character" w:customStyle="1" w:styleId="Char">
    <w:name w:val="正文文本 Char"/>
    <w:basedOn w:val="a0"/>
    <w:link w:val="a3"/>
    <w:rsid w:val="000F1918"/>
    <w:rPr>
      <w:rFonts w:ascii="仿宋_GB2312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0"/>
    <w:rsid w:val="000F19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0F1918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1"/>
    <w:rsid w:val="000F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">
    <w:name w:val="页眉 Char"/>
    <w:basedOn w:val="a0"/>
    <w:link w:val="a5"/>
    <w:rsid w:val="000F191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>微软中国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2021-04-20T09:17:00Z</dcterms:created>
  <dcterms:modified xsi:type="dcterms:W3CDTF">2021-04-20T09:18:00Z</dcterms:modified>
</cp:coreProperties>
</file>