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jc w:val="center"/>
        <w:rPr>
          <w:rFonts w:ascii="方正小标宋_GBK" w:eastAsia="方正小标宋_GBK"/>
          <w:sz w:val="44"/>
          <w:szCs w:val="44"/>
        </w:rPr>
      </w:pPr>
      <w:r>
        <w:rPr>
          <w:rFonts w:hint="eastAsia" w:ascii="方正小标宋_GBK" w:eastAsia="方正小标宋_GBK"/>
          <w:sz w:val="44"/>
          <w:szCs w:val="44"/>
          <w:shd w:val="clear" w:color="auto" w:fill="FFFFFF"/>
        </w:rPr>
        <w:t>重庆市合川</w:t>
      </w:r>
      <w:bookmarkStart w:id="0" w:name="_GoBack"/>
      <w:bookmarkEnd w:id="0"/>
      <w:r>
        <w:rPr>
          <w:rFonts w:hint="eastAsia" w:ascii="方正小标宋_GBK" w:eastAsia="方正小标宋_GBK"/>
          <w:sz w:val="44"/>
          <w:szCs w:val="44"/>
          <w:shd w:val="clear" w:color="auto" w:fill="FFFFFF"/>
        </w:rPr>
        <w:t>区科学技术局</w:t>
      </w:r>
    </w:p>
    <w:p>
      <w:pPr>
        <w:pStyle w:val="2"/>
        <w:spacing w:before="0" w:beforeAutospacing="0"/>
        <w:jc w:val="center"/>
        <w:rPr>
          <w:rFonts w:hint="eastAsia" w:ascii="方正小标宋_GBK" w:eastAsia="方正小标宋_GBK"/>
          <w:sz w:val="44"/>
          <w:szCs w:val="44"/>
          <w:lang w:eastAsia="zh-CN"/>
        </w:rPr>
      </w:pPr>
      <w:r>
        <w:rPr>
          <w:rFonts w:hint="eastAsia" w:ascii="方正小标宋_GBK" w:eastAsia="方正小标宋_GBK"/>
          <w:sz w:val="44"/>
          <w:szCs w:val="44"/>
          <w:shd w:val="clear" w:color="auto" w:fill="FFFFFF"/>
        </w:rPr>
        <w:t>2020年度部门决算</w:t>
      </w:r>
      <w:r>
        <w:rPr>
          <w:rFonts w:hint="eastAsia" w:ascii="方正小标宋_GBK" w:eastAsia="方正小标宋_GBK"/>
          <w:sz w:val="44"/>
          <w:szCs w:val="44"/>
          <w:shd w:val="clear" w:color="auto" w:fill="FFFFFF"/>
          <w:lang w:eastAsia="zh-CN"/>
        </w:rPr>
        <w:t>公开报告</w:t>
      </w:r>
    </w:p>
    <w:p>
      <w:pPr>
        <w:pStyle w:val="2"/>
        <w:numPr>
          <w:ilvl w:val="0"/>
          <w:numId w:val="1"/>
        </w:numPr>
        <w:spacing w:before="0" w:beforeAutospacing="0"/>
        <w:rPr>
          <w:rStyle w:val="5"/>
          <w:rFonts w:hint="eastAsia" w:ascii="方正黑体_GBK" w:eastAsia="方正黑体_GBK"/>
          <w:b w:val="0"/>
          <w:bCs w:val="0"/>
          <w:sz w:val="32"/>
          <w:szCs w:val="32"/>
          <w:shd w:val="clear" w:color="auto" w:fill="FFFFFF"/>
        </w:rPr>
      </w:pPr>
      <w:r>
        <w:rPr>
          <w:rStyle w:val="5"/>
          <w:rFonts w:hint="eastAsia" w:ascii="方正黑体_GBK" w:eastAsia="方正黑体_GBK"/>
          <w:b w:val="0"/>
          <w:bCs w:val="0"/>
          <w:sz w:val="32"/>
          <w:szCs w:val="32"/>
          <w:shd w:val="clear" w:color="auto" w:fill="FFFFFF"/>
        </w:rPr>
        <w:t>部门基本情况</w:t>
      </w:r>
    </w:p>
    <w:p>
      <w:pPr>
        <w:pStyle w:val="2"/>
        <w:autoSpaceDE w:val="0"/>
        <w:spacing w:before="0" w:beforeAutospacing="0"/>
        <w:rPr>
          <w:rFonts w:hint="eastAsia" w:ascii="方正楷体_GBK" w:eastAsia="方正楷体_GBK"/>
        </w:rPr>
      </w:pPr>
      <w:r>
        <w:rPr>
          <w:rStyle w:val="5"/>
          <w:rFonts w:hint="eastAsia" w:ascii="方正楷体_GBK" w:eastAsia="方正楷体_GBK"/>
          <w:b w:val="0"/>
          <w:bCs w:val="0"/>
          <w:sz w:val="32"/>
          <w:szCs w:val="32"/>
          <w:shd w:val="clear" w:color="auto" w:fill="FFFFFF"/>
        </w:rPr>
        <w:t>（一）职能职责</w:t>
      </w:r>
    </w:p>
    <w:p>
      <w:pPr>
        <w:pStyle w:val="2"/>
        <w:autoSpaceDE w:val="0"/>
        <w:spacing w:before="0" w:beforeAutospacing="0"/>
        <w:ind w:firstLine="640" w:firstLineChars="200"/>
        <w:rPr>
          <w:rFonts w:hint="eastAsia" w:ascii="方正仿宋_GBK" w:eastAsia="方正仿宋_GBK"/>
          <w:color w:val="333333"/>
          <w:kern w:val="2"/>
          <w:sz w:val="32"/>
          <w:szCs w:val="32"/>
        </w:rPr>
      </w:pPr>
      <w:r>
        <w:rPr>
          <w:rFonts w:hint="eastAsia" w:ascii="方正仿宋_GBK" w:eastAsia="方正仿宋_GBK"/>
          <w:sz w:val="32"/>
          <w:szCs w:val="32"/>
        </w:rPr>
        <w:t>重庆市合川区科学技术局，属国家政府机关单位。主要职能职责是</w:t>
      </w:r>
      <w:r>
        <w:rPr>
          <w:rFonts w:hint="eastAsia" w:ascii="方正仿宋_GBK" w:eastAsia="方正仿宋_GBK"/>
          <w:color w:val="333333"/>
          <w:kern w:val="2"/>
          <w:sz w:val="32"/>
          <w:szCs w:val="32"/>
        </w:rPr>
        <w:t>负责研究制定全区科技发展的宏观战略和科技促进经济与社会发展的方针、政策，研究科技促进经济与社会发展的重大问题，确定科技发展的重大布局和优先发展领域。组织实施科教兴区战略，编制全区科学技术发展的中长期规划和年度计划，督促检查计划完成情况。统筹协调全区包括知识创新在内的科技创新工作；负责高新技术产业化项目的小试、中试，参与高新技术产业化项目的规模化、商品化及相关的科技基地建设。履行本级政府防震减灾行政管理职能。履行知识产权保护和执法监督行政管理职能。负责全区应用研究与开发资金、科学事业费、其他科技资金和科研物资的使用配置和监督，负责多渠道增加科技投入和科技资源的合理配置。指导、协调镇街，区级各部门的科技管理工作，协同有关部门研究制定行业和企业技术进步的措施，参加重大经济建设项目和技术引进、技术开发项目的可行性论证、评估。负责对各镇街科技工作进行指导、协调、检查和考核；负责全区科学技术普及工作的宏观管理和综合协调。组织对外科技交流与合作，配合有关部门做好引进国内外科技智力工作。管理全区科技奖励、科技保密、技术市场及与科技相关的知识产权保护等工作，促进科技咨询、招标、评估等社会中介组织体系的建立。负责全区软科学研究、科技信息、科技宣传和科技统计工作。</w:t>
      </w:r>
    </w:p>
    <w:p>
      <w:pPr>
        <w:pStyle w:val="2"/>
        <w:autoSpaceDE w:val="0"/>
        <w:spacing w:before="0" w:beforeAutospacing="0"/>
        <w:rPr>
          <w:rFonts w:hint="eastAsia" w:ascii="方正楷体_GBK" w:eastAsia="方正楷体_GBK"/>
          <w:color w:val="333333"/>
          <w:kern w:val="2"/>
          <w:sz w:val="32"/>
          <w:szCs w:val="32"/>
        </w:rPr>
      </w:pPr>
      <w:r>
        <w:rPr>
          <w:rFonts w:hint="eastAsia" w:ascii="方正楷体_GBK" w:eastAsia="方正楷体_GBK"/>
          <w:color w:val="333333"/>
          <w:kern w:val="2"/>
          <w:sz w:val="32"/>
          <w:szCs w:val="32"/>
        </w:rPr>
        <w:t>（二）机构设置</w:t>
      </w:r>
    </w:p>
    <w:p>
      <w:pPr>
        <w:pStyle w:val="2"/>
        <w:autoSpaceDE w:val="0"/>
        <w:spacing w:before="0" w:beforeAutospacing="0"/>
        <w:ind w:firstLine="640" w:firstLineChars="200"/>
        <w:rPr>
          <w:rFonts w:hint="eastAsia" w:ascii="方正仿宋_GBK" w:eastAsia="方正仿宋_GBK"/>
          <w:color w:val="333333"/>
          <w:kern w:val="2"/>
          <w:sz w:val="32"/>
          <w:szCs w:val="32"/>
        </w:rPr>
      </w:pPr>
      <w:r>
        <w:rPr>
          <w:rFonts w:hint="eastAsia" w:ascii="方正仿宋_GBK" w:eastAsia="方正仿宋_GBK"/>
          <w:color w:val="333333"/>
          <w:kern w:val="2"/>
          <w:sz w:val="32"/>
          <w:szCs w:val="32"/>
        </w:rPr>
        <w:t>设2个职能科室：办公室、创新发展科。下属全额拨款事业单位3个：高新技术促进中心、民生科技服务中心、信息安全产业发展促进中心。较2019年有变化的是下属事业单位“信息安全产业发展促进中心”今年合并决算。且下属参公事业单位“知识产权管理中心”因机构改革转出。</w:t>
      </w:r>
    </w:p>
    <w:p>
      <w:pPr>
        <w:pStyle w:val="2"/>
        <w:autoSpaceDE w:val="0"/>
        <w:spacing w:before="0" w:beforeAutospacing="0"/>
        <w:rPr>
          <w:rFonts w:hint="eastAsia" w:ascii="方正楷体_GBK" w:eastAsia="方正楷体_GBK"/>
          <w:sz w:val="32"/>
          <w:szCs w:val="32"/>
        </w:rPr>
      </w:pPr>
      <w:r>
        <w:rPr>
          <w:rStyle w:val="5"/>
          <w:rFonts w:hint="eastAsia" w:ascii="方正楷体_GBK" w:eastAsia="方正楷体_GBK"/>
          <w:b w:val="0"/>
          <w:bCs w:val="0"/>
          <w:sz w:val="32"/>
          <w:szCs w:val="32"/>
          <w:shd w:val="clear" w:color="auto" w:fill="FFFFFF"/>
        </w:rPr>
        <w:t>（三）单位构成</w:t>
      </w:r>
    </w:p>
    <w:p>
      <w:pPr>
        <w:autoSpaceDE w:val="0"/>
        <w:ind w:firstLine="640" w:firstLineChars="200"/>
        <w:rPr>
          <w:rFonts w:hint="eastAsia" w:ascii="方正仿宋_GBK" w:eastAsia="方正仿宋_GBK"/>
          <w:color w:val="333333"/>
          <w:kern w:val="2"/>
          <w:sz w:val="32"/>
          <w:szCs w:val="32"/>
        </w:rPr>
      </w:pPr>
      <w:r>
        <w:rPr>
          <w:rFonts w:hint="eastAsia" w:ascii="方正仿宋_GBK" w:eastAsia="方正仿宋_GBK"/>
          <w:color w:val="333333"/>
          <w:kern w:val="2"/>
          <w:sz w:val="32"/>
          <w:szCs w:val="32"/>
        </w:rPr>
        <w:t>从预算单位构成看，无二级预算单位纳入本部门2020年度决算编制。</w:t>
      </w:r>
    </w:p>
    <w:p>
      <w:pPr>
        <w:pStyle w:val="2"/>
        <w:spacing w:before="0" w:beforeAutospacing="0"/>
        <w:rPr>
          <w:rFonts w:hint="eastAsia" w:ascii="方正黑体_GBK" w:eastAsia="方正黑体_GBK"/>
          <w:sz w:val="32"/>
          <w:szCs w:val="32"/>
        </w:rPr>
      </w:pPr>
      <w:r>
        <w:rPr>
          <w:rStyle w:val="5"/>
          <w:rFonts w:hint="eastAsia" w:ascii="方正黑体_GBK" w:eastAsia="方正黑体_GBK"/>
          <w:b w:val="0"/>
          <w:bCs w:val="0"/>
          <w:sz w:val="32"/>
          <w:szCs w:val="32"/>
          <w:shd w:val="clear" w:color="auto" w:fill="FFFFFF"/>
        </w:rPr>
        <w:t>二、部门决算情况说明</w:t>
      </w:r>
    </w:p>
    <w:p>
      <w:pPr>
        <w:pStyle w:val="2"/>
        <w:autoSpaceDE w:val="0"/>
        <w:spacing w:before="93" w:beforeLines="30" w:beforeAutospacing="0" w:after="93" w:afterLines="30" w:afterAutospacing="0"/>
        <w:rPr>
          <w:rFonts w:hint="eastAsia" w:ascii="方正楷体_GBK" w:eastAsia="方正楷体_GBK"/>
          <w:sz w:val="32"/>
          <w:szCs w:val="32"/>
        </w:rPr>
      </w:pPr>
      <w:r>
        <w:rPr>
          <w:rStyle w:val="5"/>
          <w:rFonts w:hint="eastAsia" w:ascii="方正楷体_GBK" w:eastAsia="方正楷体_GBK"/>
          <w:b w:val="0"/>
          <w:bCs w:val="0"/>
          <w:sz w:val="32"/>
          <w:szCs w:val="32"/>
          <w:shd w:val="clear" w:color="auto" w:fill="FFFFFF"/>
        </w:rPr>
        <w:t>（一）收入支出决算总体情况说明</w:t>
      </w:r>
    </w:p>
    <w:p>
      <w:pPr>
        <w:pStyle w:val="2"/>
        <w:autoSpaceDE w:val="0"/>
        <w:spacing w:before="0" w:beforeAutospacing="0"/>
        <w:rPr>
          <w:rFonts w:hint="eastAsia" w:ascii="方正仿宋_GBK" w:eastAsia="方正仿宋_GBK"/>
          <w:color w:val="333333"/>
          <w:kern w:val="2"/>
          <w:sz w:val="32"/>
          <w:szCs w:val="32"/>
        </w:rPr>
      </w:pPr>
      <w:r>
        <w:rPr>
          <w:rStyle w:val="5"/>
          <w:rFonts w:hint="eastAsia" w:ascii="方正黑体_GBK" w:eastAsia="方正黑体_GBK"/>
          <w:b w:val="0"/>
          <w:bCs w:val="0"/>
          <w:sz w:val="32"/>
          <w:szCs w:val="32"/>
          <w:shd w:val="clear" w:color="auto" w:fill="FFFFFF"/>
        </w:rPr>
        <w:t>1.总体情况</w:t>
      </w:r>
      <w:r>
        <w:rPr>
          <w:rFonts w:hint="eastAsia" w:ascii="方正黑体_GBK" w:eastAsia="方正黑体_GBK"/>
          <w:sz w:val="32"/>
          <w:szCs w:val="32"/>
          <w:shd w:val="clear" w:color="auto" w:fill="FFFFFF"/>
        </w:rPr>
        <w:t>。</w:t>
      </w:r>
      <w:r>
        <w:rPr>
          <w:rFonts w:hint="eastAsia" w:ascii="方正仿宋_GBK" w:eastAsia="方正仿宋_GBK"/>
          <w:color w:val="333333"/>
          <w:kern w:val="2"/>
          <w:sz w:val="32"/>
          <w:szCs w:val="32"/>
        </w:rPr>
        <w:t>2020年度收入总计1,733.03万元，支出总计1,733.03万元。收支较上年决算数减少463.41万元、下降21.1%，主要原因是主要原因是一方面落实财政过紧日子要求，压减项目支出，减少不必要的项目开展，提高项目开展质量。另一方面则是人员调出、在职转退休、一般性支出压减等因素，导致基本支出减少。</w:t>
      </w:r>
    </w:p>
    <w:p>
      <w:pPr>
        <w:autoSpaceDE w:val="0"/>
        <w:rPr>
          <w:rFonts w:hint="eastAsia" w:ascii="方正仿宋_GBK" w:eastAsia="方正仿宋_GBK"/>
          <w:color w:val="333333"/>
          <w:kern w:val="2"/>
          <w:sz w:val="32"/>
          <w:szCs w:val="32"/>
        </w:rPr>
      </w:pPr>
      <w:r>
        <w:rPr>
          <w:rStyle w:val="5"/>
          <w:rFonts w:hint="eastAsia" w:ascii="方正黑体_GBK" w:eastAsia="方正黑体_GBK"/>
          <w:b w:val="0"/>
          <w:bCs w:val="0"/>
          <w:sz w:val="32"/>
          <w:szCs w:val="32"/>
          <w:shd w:val="clear" w:color="auto" w:fill="FFFFFF"/>
        </w:rPr>
        <w:t>2.收入情况。</w:t>
      </w:r>
      <w:r>
        <w:rPr>
          <w:rFonts w:hint="eastAsia" w:ascii="方正仿宋_GBK" w:eastAsia="方正仿宋_GBK"/>
          <w:color w:val="333333"/>
          <w:kern w:val="2"/>
          <w:sz w:val="32"/>
          <w:szCs w:val="32"/>
        </w:rPr>
        <w:t>2020年度收入合计1,733.03万元，较上年决算数减少429.44万元，下降19.9%，主要原因主要原因是一方面落实财政过紧日子要求，压减一般性支出。另一方面则是人员调出、在职转退休等所致。其中：财政拨款收入1,733.03万元，占100%。</w:t>
      </w:r>
    </w:p>
    <w:p>
      <w:pPr>
        <w:rPr>
          <w:rFonts w:hint="eastAsia" w:ascii="方正仿宋_GBK" w:eastAsia="方正仿宋_GBK"/>
          <w:color w:val="333333"/>
          <w:kern w:val="2"/>
          <w:sz w:val="32"/>
          <w:szCs w:val="32"/>
        </w:rPr>
      </w:pPr>
      <w:r>
        <w:rPr>
          <w:rStyle w:val="5"/>
          <w:rFonts w:hint="eastAsia" w:ascii="方正黑体_GBK" w:eastAsia="方正黑体_GBK"/>
          <w:b w:val="0"/>
          <w:bCs w:val="0"/>
          <w:sz w:val="32"/>
          <w:szCs w:val="32"/>
          <w:shd w:val="clear" w:color="auto" w:fill="FFFFFF"/>
        </w:rPr>
        <w:t>3.支出情况。</w:t>
      </w:r>
      <w:r>
        <w:rPr>
          <w:rFonts w:hint="eastAsia" w:ascii="方正仿宋_GBK" w:eastAsia="方正仿宋_GBK"/>
          <w:color w:val="333333"/>
          <w:kern w:val="2"/>
          <w:sz w:val="32"/>
          <w:szCs w:val="32"/>
        </w:rPr>
        <w:t>2020年度支出合计1,700.73万元，较上年决算数减少495.71万元，下降22.6%，主要原因是一方面落实财政过紧日子要求，压减一般性支出。另一方面则是人员调出、在职转退休等所致。其中：基本支出447.73万元，占26.3%；项目支出1,253.00万元，占73.7%。</w:t>
      </w:r>
    </w:p>
    <w:p>
      <w:pPr>
        <w:pStyle w:val="2"/>
        <w:spacing w:before="0" w:beforeAutospacing="0"/>
        <w:rPr>
          <w:rFonts w:hint="eastAsia" w:ascii="方正仿宋_GBK" w:eastAsia="方正仿宋_GBK"/>
          <w:color w:val="333333"/>
          <w:kern w:val="2"/>
          <w:sz w:val="32"/>
          <w:szCs w:val="32"/>
        </w:rPr>
      </w:pPr>
      <w:r>
        <w:rPr>
          <w:rStyle w:val="5"/>
          <w:rFonts w:hint="eastAsia" w:ascii="方正黑体_GBK" w:eastAsia="方正黑体_GBK"/>
          <w:b w:val="0"/>
          <w:bCs w:val="0"/>
          <w:sz w:val="32"/>
          <w:szCs w:val="32"/>
          <w:shd w:val="clear" w:color="auto" w:fill="FFFFFF"/>
        </w:rPr>
        <w:t>4.结转结余情况。</w:t>
      </w:r>
      <w:r>
        <w:rPr>
          <w:rFonts w:hint="eastAsia" w:ascii="方正仿宋_GBK" w:eastAsia="方正仿宋_GBK"/>
          <w:color w:val="333333"/>
          <w:kern w:val="2"/>
          <w:sz w:val="32"/>
          <w:szCs w:val="32"/>
        </w:rPr>
        <w:t>2020年度年末结转和结余32.30万元，较上年决算数增加32.30万元，增长100%，主要原因是地震风险补偿资金需项目验收成功后拨付，项目资金结转至2021年。</w:t>
      </w:r>
    </w:p>
    <w:p>
      <w:pPr>
        <w:pStyle w:val="2"/>
        <w:autoSpaceDE w:val="0"/>
        <w:spacing w:before="93" w:beforeLines="30" w:beforeAutospacing="0" w:after="93" w:afterLines="30" w:afterAutospacing="0"/>
        <w:rPr>
          <w:rStyle w:val="5"/>
          <w:rFonts w:hint="eastAsia" w:ascii="方正楷体_GBK" w:eastAsia="方正楷体_GBK"/>
          <w:b w:val="0"/>
          <w:bCs w:val="0"/>
          <w:shd w:val="clear" w:color="auto" w:fill="FFFFFF"/>
        </w:rPr>
      </w:pPr>
      <w:r>
        <w:rPr>
          <w:rStyle w:val="5"/>
          <w:rFonts w:hint="eastAsia" w:ascii="方正楷体_GBK" w:eastAsia="方正楷体_GBK"/>
          <w:b w:val="0"/>
          <w:bCs w:val="0"/>
          <w:sz w:val="32"/>
          <w:szCs w:val="32"/>
          <w:shd w:val="clear" w:color="auto" w:fill="FFFFFF"/>
        </w:rPr>
        <w:t>（二）财政拨款收入支出决算总体情况说明</w:t>
      </w:r>
    </w:p>
    <w:p>
      <w:pPr>
        <w:pStyle w:val="2"/>
        <w:autoSpaceDE w:val="0"/>
        <w:spacing w:before="0" w:beforeAutospacing="0"/>
        <w:ind w:firstLine="640" w:firstLineChars="200"/>
        <w:rPr>
          <w:rFonts w:hint="eastAsia" w:ascii="方正仿宋_GBK" w:eastAsia="方正仿宋_GBK"/>
          <w:color w:val="000000"/>
        </w:rPr>
      </w:pPr>
      <w:r>
        <w:rPr>
          <w:rFonts w:hint="eastAsia" w:ascii="方正仿宋_GBK" w:eastAsia="方正仿宋_GBK"/>
          <w:sz w:val="32"/>
          <w:szCs w:val="32"/>
          <w:shd w:val="clear" w:color="auto" w:fill="FFFFFF"/>
        </w:rPr>
        <w:t>2020年度财政拨款收、支总计1,733.03万元。与2019年相比，财政拨款收、支总计各减少463.41万元，下降21.1%。主要原因是</w:t>
      </w:r>
      <w:r>
        <w:rPr>
          <w:rFonts w:hint="eastAsia" w:ascii="方正仿宋_GBK" w:eastAsia="方正仿宋_GBK"/>
          <w:color w:val="000000"/>
          <w:sz w:val="32"/>
          <w:szCs w:val="32"/>
        </w:rPr>
        <w:t>一方面落实财政过紧日子要求，压减一般性支出。另一方面则是人员调出、在职转退休等所致。</w:t>
      </w:r>
    </w:p>
    <w:p>
      <w:pPr>
        <w:pStyle w:val="2"/>
        <w:autoSpaceDE w:val="0"/>
        <w:spacing w:before="0" w:beforeAutospacing="0"/>
        <w:rPr>
          <w:rFonts w:hint="eastAsia" w:ascii="方正楷体_GBK" w:eastAsia="方正楷体_GBK"/>
          <w:sz w:val="32"/>
          <w:szCs w:val="32"/>
        </w:rPr>
      </w:pPr>
      <w:r>
        <w:rPr>
          <w:rStyle w:val="5"/>
          <w:rFonts w:hint="eastAsia" w:ascii="方正楷体_GBK" w:eastAsia="方正楷体_GBK"/>
          <w:b w:val="0"/>
          <w:bCs w:val="0"/>
          <w:sz w:val="32"/>
          <w:szCs w:val="32"/>
          <w:shd w:val="clear" w:color="auto" w:fill="FFFFFF"/>
        </w:rPr>
        <w:t>（三）一般公共预算财政拨款支出决算情况说明</w:t>
      </w:r>
    </w:p>
    <w:p>
      <w:pPr>
        <w:pStyle w:val="2"/>
        <w:autoSpaceDE w:val="0"/>
        <w:spacing w:before="0" w:beforeAutospacing="0"/>
        <w:rPr>
          <w:rFonts w:hint="eastAsia" w:ascii="方正仿宋_GBK" w:eastAsia="方正仿宋_GBK"/>
          <w:sz w:val="32"/>
          <w:szCs w:val="32"/>
          <w:shd w:val="clear" w:color="auto" w:fill="FFFFFF"/>
        </w:rPr>
      </w:pPr>
      <w:r>
        <w:rPr>
          <w:rStyle w:val="5"/>
          <w:rFonts w:hint="eastAsia" w:ascii="方正黑体_GBK" w:eastAsia="方正黑体_GBK"/>
          <w:b w:val="0"/>
          <w:bCs w:val="0"/>
          <w:sz w:val="32"/>
          <w:szCs w:val="32"/>
          <w:shd w:val="clear" w:color="auto" w:fill="FFFFFF"/>
        </w:rPr>
        <w:t>1.收入情况。</w:t>
      </w:r>
      <w:r>
        <w:rPr>
          <w:rFonts w:hint="eastAsia" w:ascii="方正仿宋_GBK" w:eastAsia="方正仿宋_GBK"/>
          <w:sz w:val="32"/>
          <w:szCs w:val="32"/>
          <w:shd w:val="clear" w:color="auto" w:fill="FFFFFF"/>
        </w:rPr>
        <w:t>2020年度一般公共预算财政拨款收入1,104.03万元，较上年决算数减少1,058.44万元，下降48.9%。主要原因是一方面落实财政过紧日子要求，压减一般性支出。另一方面则是人员调出、在职转退休等所致。较年初预算数 减少587.41万元，下降34.7%。主要原因是一方面落实财政过紧日子要求，压减一般性支出。另一方面则是人员调出、在职转退休等所致。此外，年初财政拨款结转和结余0.00万元。</w:t>
      </w:r>
    </w:p>
    <w:p>
      <w:pPr>
        <w:pStyle w:val="2"/>
        <w:autoSpaceDE w:val="0"/>
        <w:spacing w:before="0" w:beforeAutospacing="0"/>
        <w:rPr>
          <w:rFonts w:hint="eastAsia" w:ascii="方正仿宋_GBK" w:eastAsia="方正仿宋_GBK"/>
          <w:sz w:val="32"/>
          <w:szCs w:val="32"/>
          <w:shd w:val="clear" w:color="auto" w:fill="FFFFFF"/>
        </w:rPr>
      </w:pPr>
      <w:r>
        <w:rPr>
          <w:rStyle w:val="5"/>
          <w:rFonts w:hint="eastAsia" w:ascii="方正黑体_GBK" w:eastAsia="方正黑体_GBK"/>
          <w:b w:val="0"/>
          <w:bCs w:val="0"/>
          <w:sz w:val="32"/>
          <w:szCs w:val="32"/>
          <w:shd w:val="clear" w:color="auto" w:fill="FFFFFF"/>
        </w:rPr>
        <w:t>2.支出情况。</w:t>
      </w:r>
      <w:r>
        <w:rPr>
          <w:rFonts w:hint="eastAsia" w:ascii="方正仿宋_GBK" w:eastAsia="方正仿宋_GBK"/>
          <w:sz w:val="32"/>
          <w:szCs w:val="32"/>
          <w:shd w:val="clear" w:color="auto" w:fill="FFFFFF"/>
        </w:rPr>
        <w:t>2020年度一般公共预算财政拨款支出1,071.73万元，较上年决算数减少1,124.71万元，下降51.2%。主要原因是一方面落实财政过紧日子要求，压减一般性支出。另一方面则是人员调出、在职转退休等所致。较年初预算数 减少619.71万 元，下降36.6%。主要原因是一方面落实财政过紧日子要求，压减一般性支出。另一方面则是人员调出、在职转退休等所致。</w:t>
      </w:r>
    </w:p>
    <w:p>
      <w:pPr>
        <w:pStyle w:val="2"/>
        <w:autoSpaceDE w:val="0"/>
        <w:spacing w:before="0" w:beforeAutospacing="0"/>
        <w:rPr>
          <w:rStyle w:val="5"/>
          <w:rFonts w:hint="eastAsia" w:ascii="方正黑体_GBK" w:eastAsia="方正黑体_GBK"/>
          <w:b w:val="0"/>
          <w:bCs w:val="0"/>
        </w:rPr>
      </w:pPr>
      <w:r>
        <w:rPr>
          <w:rStyle w:val="5"/>
          <w:rFonts w:hint="eastAsia" w:ascii="方正黑体_GBK" w:eastAsia="方正黑体_GBK"/>
          <w:b w:val="0"/>
          <w:bCs w:val="0"/>
          <w:sz w:val="32"/>
          <w:szCs w:val="32"/>
          <w:shd w:val="clear" w:color="auto" w:fill="FFFFFF"/>
        </w:rPr>
        <w:t>3.结转结余情况。</w:t>
      </w:r>
      <w:r>
        <w:rPr>
          <w:rFonts w:hint="eastAsia" w:ascii="方正仿宋_GBK" w:eastAsia="方正仿宋_GBK"/>
          <w:sz w:val="32"/>
          <w:szCs w:val="32"/>
          <w:shd w:val="clear" w:color="auto" w:fill="FFFFFF"/>
        </w:rPr>
        <w:t>2020年度年末一般公共预算财政拨款结转和结余32.30万元，较上年决算数增加32.30万元，主要原因是地震风险补偿资金需项目验收成功后拨付，项目资金结转至2021年。</w:t>
      </w:r>
    </w:p>
    <w:p>
      <w:pPr>
        <w:pStyle w:val="2"/>
        <w:autoSpaceDE w:val="0"/>
        <w:spacing w:before="0" w:beforeAutospacing="0"/>
        <w:rPr>
          <w:rFonts w:hint="eastAsia" w:ascii="方正仿宋_GBK" w:eastAsia="方正仿宋_GBK"/>
        </w:rPr>
      </w:pPr>
      <w:r>
        <w:rPr>
          <w:rStyle w:val="5"/>
          <w:rFonts w:hint="eastAsia" w:ascii="方正黑体_GBK" w:eastAsia="方正黑体_GBK"/>
          <w:b w:val="0"/>
          <w:bCs w:val="0"/>
          <w:sz w:val="32"/>
          <w:szCs w:val="32"/>
          <w:shd w:val="clear" w:color="auto" w:fill="FFFFFF"/>
        </w:rPr>
        <w:t>4.比较情况。</w:t>
      </w:r>
      <w:r>
        <w:rPr>
          <w:rFonts w:hint="eastAsia" w:ascii="方正仿宋_GBK" w:eastAsia="方正仿宋_GBK"/>
          <w:sz w:val="32"/>
          <w:szCs w:val="32"/>
          <w:shd w:val="clear" w:color="auto" w:fill="FFFFFF"/>
        </w:rPr>
        <w:t>本部门2020年度一般公共预算财政拨款支出主要用于以下几个方面：</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（1）科学技术支出936.04万元，占87.4%，较年初预算数减少614.53万元，下降39.6%，主要原因是落实财政过紧日子要求，压减项目中管理费用及三公费用。</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（2）社会保障</w:t>
      </w:r>
      <w:r>
        <w:rPr>
          <w:rFonts w:hint="eastAsia" w:ascii="方正仿宋_GBK" w:eastAsia="方正仿宋_GBK"/>
          <w:sz w:val="32"/>
          <w:szCs w:val="32"/>
          <w:shd w:val="clear" w:color="auto" w:fill="FFFFFF"/>
          <w:lang w:eastAsia="zh-CN"/>
        </w:rPr>
        <w:t>和</w:t>
      </w:r>
      <w:r>
        <w:rPr>
          <w:rFonts w:hint="eastAsia" w:ascii="方正仿宋_GBK" w:eastAsia="方正仿宋_GBK"/>
          <w:sz w:val="32"/>
          <w:szCs w:val="32"/>
          <w:shd w:val="clear" w:color="auto" w:fill="FFFFFF"/>
        </w:rPr>
        <w:t>就业支出93.50万元，占8.7%，较年初预算数增加19.86万元，增长27%，主要原因是对工资福利、社保基数等进行了调整规范；对2019年账务系统中部分其他商品与服务支出科目进行规范，2020年调整为人员经费。</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（3）卫生健康支出23.68万元，占2.2%，较年初预算数减少11.29万元，下降32.3%，主要原因是人员调出、在职转退休等所致。</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（4）住房保障支出18.51万元，占1.7%，较年初预算数减少13.76万元，下降42.6%，主要原因是人员调出、在职转退休等所致。</w:t>
      </w:r>
    </w:p>
    <w:p>
      <w:pPr>
        <w:pStyle w:val="2"/>
        <w:autoSpaceDE w:val="0"/>
        <w:spacing w:before="93" w:beforeLines="30" w:beforeAutospacing="0" w:after="93" w:afterLines="30" w:afterAutospacing="0"/>
        <w:rPr>
          <w:rStyle w:val="5"/>
          <w:rFonts w:hint="eastAsia" w:ascii="方正楷体_GBK" w:eastAsia="方正楷体_GBK"/>
          <w:b w:val="0"/>
          <w:bCs w:val="0"/>
        </w:rPr>
      </w:pPr>
      <w:r>
        <w:rPr>
          <w:rStyle w:val="5"/>
          <w:rFonts w:hint="eastAsia" w:ascii="方正楷体_GBK" w:eastAsia="方正楷体_GBK"/>
          <w:b w:val="0"/>
          <w:bCs w:val="0"/>
          <w:sz w:val="32"/>
          <w:szCs w:val="32"/>
          <w:shd w:val="clear" w:color="auto" w:fill="FFFFFF"/>
        </w:rPr>
        <w:t>（四）一般公共预算财政拨款基本支出决算情况说明</w:t>
      </w:r>
    </w:p>
    <w:p>
      <w:pPr>
        <w:pStyle w:val="2"/>
        <w:autoSpaceDE w:val="0"/>
        <w:spacing w:before="0" w:beforeAutospacing="0"/>
        <w:ind w:firstLine="640" w:firstLineChars="200"/>
        <w:rPr>
          <w:rFonts w:hint="eastAsia" w:ascii="方正仿宋_GBK" w:eastAsia="方正仿宋_GBK"/>
        </w:rPr>
      </w:pPr>
      <w:r>
        <w:rPr>
          <w:rFonts w:hint="eastAsia" w:ascii="方正仿宋_GBK" w:eastAsia="方正仿宋_GBK"/>
          <w:sz w:val="32"/>
          <w:szCs w:val="32"/>
          <w:shd w:val="clear" w:color="auto" w:fill="FFFFFF"/>
        </w:rPr>
        <w:t>2020年度一般公共财政拨款基本支出447.73万元。其中：人员经费374.26万元，较上年决算数增加56.17万元，增长17.7%，主要原因是对工资福利、社保基数等进行了调整规范；对2019年账务系统中部分其他商品与服务支出科目进行规范，2020年调整为人员经费。人员经费用途主要包括基本工资、津贴补贴、奖金、社会保障缴费等。公用经费73.47万元，较上年决算数减少21.53万元，下降22.7%，主要原因一方面落实财政过紧日子要求，压减一般性支出。另一方面则是人员调出、在职转退休等所致。公用经费用途主要包括办公费、印刷费、差旅费、公务接待费、公务车运行及维护费等。</w:t>
      </w:r>
    </w:p>
    <w:p>
      <w:pPr>
        <w:pStyle w:val="2"/>
        <w:autoSpaceDE w:val="0"/>
        <w:spacing w:before="93" w:beforeLines="30" w:beforeAutospacing="0" w:after="93" w:afterLines="30" w:afterAutospacing="0"/>
        <w:rPr>
          <w:rStyle w:val="5"/>
          <w:rFonts w:hint="eastAsia" w:ascii="方正楷体_GBK" w:eastAsia="方正楷体_GBK"/>
          <w:b w:val="0"/>
          <w:bCs w:val="0"/>
        </w:rPr>
      </w:pPr>
      <w:r>
        <w:rPr>
          <w:rStyle w:val="5"/>
          <w:rFonts w:hint="eastAsia" w:ascii="方正楷体_GBK" w:eastAsia="方正楷体_GBK"/>
          <w:b w:val="0"/>
          <w:bCs w:val="0"/>
          <w:sz w:val="32"/>
          <w:szCs w:val="32"/>
          <w:shd w:val="clear" w:color="auto" w:fill="FFFFFF"/>
        </w:rPr>
        <w:t>（五）政府性基金预算收支决算情况说明</w:t>
      </w:r>
    </w:p>
    <w:p>
      <w:pPr>
        <w:pStyle w:val="2"/>
        <w:autoSpaceDE w:val="0"/>
        <w:spacing w:before="0" w:beforeAutospacing="0"/>
        <w:ind w:firstLine="640" w:firstLineChars="200"/>
        <w:rPr>
          <w:rFonts w:hint="eastAsia" w:ascii="方正仿宋_GBK" w:eastAsia="方正仿宋_GBK"/>
        </w:rPr>
      </w:pPr>
      <w:r>
        <w:rPr>
          <w:rFonts w:hint="eastAsia" w:ascii="方正仿宋_GBK" w:eastAsia="方正仿宋_GBK"/>
          <w:sz w:val="32"/>
          <w:szCs w:val="32"/>
          <w:shd w:val="clear" w:color="auto" w:fill="FFFFFF"/>
        </w:rPr>
        <w:t>2020年度政府性基金预算财政拨款年初结转结余0.00万元，年末结转结余0.00万元。本年收入629.00万元，较上年决算数增加629.00万元，增长100%，主要原因是今年新增了政府基金预算629万元。（根据渝财预【2020】23号、合川财预产金【2020】323号、合川财预产金【2020】696号文件精神，追加和调剂的2020年抗疫特别国债资金）。</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年支出629.00万元，较上年决算数增加629.00万元，增长%，主要原因是今年新增了政府基金预算629万元。（根据渝财预【2020】23号、合川财预产金【2020】323号、合川财预产金【2020】696号文件精神，追加和调剂的2020年抗疫特别国债资金）</w:t>
      </w:r>
    </w:p>
    <w:p>
      <w:pPr>
        <w:pStyle w:val="2"/>
        <w:autoSpaceDE w:val="0"/>
        <w:spacing w:before="93" w:beforeLines="30" w:beforeAutospacing="0" w:after="93" w:afterLines="30" w:afterAutospacing="0"/>
        <w:rPr>
          <w:rStyle w:val="5"/>
          <w:rFonts w:hint="eastAsia" w:ascii="方正楷体_GBK" w:eastAsia="方正楷体_GBK"/>
          <w:b w:val="0"/>
          <w:bCs w:val="0"/>
        </w:rPr>
      </w:pPr>
      <w:r>
        <w:rPr>
          <w:rStyle w:val="5"/>
          <w:rFonts w:hint="eastAsia" w:ascii="方正楷体_GBK" w:eastAsia="方正楷体_GBK"/>
          <w:b w:val="0"/>
          <w:bCs w:val="0"/>
          <w:sz w:val="32"/>
          <w:szCs w:val="32"/>
          <w:shd w:val="clear" w:color="auto" w:fill="FFFFFF"/>
        </w:rPr>
        <w:t>（六）国有资本经营预算财政拨款支出决算情况说明</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本部门2020年度无国有资本经营预算财政拨款支出。</w:t>
      </w:r>
    </w:p>
    <w:p>
      <w:pPr>
        <w:pStyle w:val="2"/>
        <w:spacing w:before="0" w:beforeAutospacing="0"/>
        <w:rPr>
          <w:rFonts w:ascii="方正黑体_GBK" w:eastAsia="方正黑体_GBK"/>
          <w:sz w:val="32"/>
          <w:szCs w:val="32"/>
        </w:rPr>
      </w:pPr>
      <w:r>
        <w:rPr>
          <w:rStyle w:val="5"/>
          <w:rFonts w:hint="eastAsia" w:ascii="方正黑体_GBK" w:eastAsia="方正黑体_GBK"/>
          <w:b w:val="0"/>
          <w:bCs w:val="0"/>
          <w:sz w:val="32"/>
          <w:szCs w:val="32"/>
          <w:shd w:val="clear" w:color="auto" w:fill="FFFFFF"/>
        </w:rPr>
        <w:t>三、“三公”经费情况说明</w:t>
      </w:r>
    </w:p>
    <w:p>
      <w:pPr>
        <w:pStyle w:val="2"/>
        <w:autoSpaceDE w:val="0"/>
        <w:spacing w:before="93" w:beforeLines="30" w:beforeAutospacing="0" w:after="93" w:afterLines="30" w:afterAutospacing="0"/>
        <w:rPr>
          <w:rStyle w:val="5"/>
          <w:rFonts w:hint="eastAsia" w:ascii="方正楷体_GBK" w:eastAsia="方正楷体_GBK"/>
          <w:b w:val="0"/>
          <w:bCs w:val="0"/>
          <w:shd w:val="clear" w:color="auto" w:fill="FFFFFF"/>
        </w:rPr>
      </w:pPr>
      <w:r>
        <w:rPr>
          <w:rStyle w:val="5"/>
          <w:rFonts w:hint="eastAsia" w:ascii="方正楷体_GBK" w:eastAsia="方正楷体_GBK"/>
          <w:b w:val="0"/>
          <w:bCs w:val="0"/>
          <w:sz w:val="32"/>
          <w:szCs w:val="32"/>
          <w:shd w:val="clear" w:color="auto" w:fill="FFFFFF"/>
        </w:rPr>
        <w:t>（一）“三公”经费支出总体情况说明</w:t>
      </w:r>
    </w:p>
    <w:p>
      <w:pPr>
        <w:pStyle w:val="2"/>
        <w:autoSpaceDE w:val="0"/>
        <w:spacing w:before="0" w:beforeAutospacing="0"/>
        <w:ind w:firstLine="640" w:firstLineChars="200"/>
        <w:rPr>
          <w:rFonts w:hint="eastAsia" w:ascii="方正仿宋_GBK" w:eastAsia="方正仿宋_GBK"/>
        </w:rPr>
      </w:pPr>
      <w:r>
        <w:rPr>
          <w:rFonts w:hint="eastAsia" w:ascii="方正仿宋_GBK" w:eastAsia="方正仿宋_GBK"/>
          <w:sz w:val="32"/>
          <w:szCs w:val="32"/>
          <w:shd w:val="clear" w:color="auto" w:fill="FFFFFF"/>
        </w:rPr>
        <w:t>2020年度“三公”经费支出共计4.83万元，较年初预算数减少18.17万元，下降79%；较上年支出数减少3.14万元，下降39.4%，较年初预算和上年决算下降的主要原因是一是认真贯彻落实中央八项规定精神和厉行节约要求，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公务接待费大幅下降。</w:t>
      </w:r>
    </w:p>
    <w:p>
      <w:pPr>
        <w:pStyle w:val="2"/>
        <w:autoSpaceDE w:val="0"/>
        <w:spacing w:before="93" w:beforeLines="30" w:beforeAutospacing="0" w:after="93" w:afterLines="30" w:afterAutospacing="0"/>
        <w:rPr>
          <w:rStyle w:val="5"/>
          <w:rFonts w:hint="eastAsia" w:ascii="方正楷体_GBK" w:eastAsia="方正楷体_GBK"/>
          <w:b w:val="0"/>
          <w:bCs w:val="0"/>
        </w:rPr>
      </w:pPr>
      <w:r>
        <w:rPr>
          <w:rStyle w:val="5"/>
          <w:rFonts w:hint="eastAsia" w:ascii="方正楷体_GBK" w:eastAsia="方正楷体_GBK"/>
          <w:b w:val="0"/>
          <w:bCs w:val="0"/>
          <w:sz w:val="32"/>
          <w:szCs w:val="32"/>
          <w:shd w:val="clear" w:color="auto" w:fill="FFFFFF"/>
        </w:rPr>
        <w:t>（二）“三公”经费分项支出情况</w:t>
      </w:r>
    </w:p>
    <w:p>
      <w:pPr>
        <w:pStyle w:val="2"/>
        <w:autoSpaceDE w:val="0"/>
        <w:spacing w:before="0" w:beforeAutospacing="0"/>
        <w:ind w:firstLine="640" w:firstLineChars="200"/>
        <w:rPr>
          <w:rFonts w:hint="eastAsia" w:ascii="方正仿宋_GBK" w:eastAsia="方正仿宋_GBK"/>
          <w:sz w:val="32"/>
          <w:szCs w:val="32"/>
          <w:shd w:val="clear" w:color="auto" w:fill="FFFFFF"/>
        </w:rPr>
      </w:pP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firstLine="720" w:firstLineChars="225"/>
        <w:outlineLvl w:val="9"/>
        <w:rPr>
          <w:rFonts w:hint="eastAsia" w:ascii="方正仿宋_GBK" w:eastAsia="方正仿宋_GBK"/>
          <w:sz w:val="32"/>
          <w:szCs w:val="32"/>
        </w:rPr>
      </w:pPr>
      <w:r>
        <w:rPr>
          <w:rFonts w:hint="eastAsia" w:ascii="方正仿宋_GBK" w:eastAsia="方正仿宋_GBK"/>
          <w:sz w:val="32"/>
          <w:szCs w:val="32"/>
          <w:shd w:val="clear" w:color="auto" w:fill="FFFFFF"/>
        </w:rPr>
        <w:t>2020年度本部门因公出国（境）费用0.00万元，费用支出较年初预算数增加0.00万元，</w:t>
      </w:r>
      <w:r>
        <w:rPr>
          <w:rFonts w:hint="eastAsia" w:ascii="方正仿宋_GBK" w:eastAsia="方正仿宋_GBK"/>
          <w:color w:val="252525"/>
          <w:sz w:val="32"/>
          <w:szCs w:val="32"/>
          <w:shd w:val="clear" w:color="auto" w:fill="FFFFFF"/>
        </w:rPr>
        <w:t>增长0.00%</w:t>
      </w:r>
      <w:r>
        <w:rPr>
          <w:rFonts w:hint="eastAsia" w:ascii="方正仿宋_GBK" w:eastAsia="方正仿宋_GBK"/>
          <w:color w:val="252525"/>
          <w:sz w:val="32"/>
          <w:szCs w:val="32"/>
          <w:shd w:val="clear" w:color="auto" w:fill="FFFFFF"/>
          <w:lang w:eastAsia="zh-CN"/>
        </w:rPr>
        <w:t>，</w:t>
      </w:r>
      <w:r>
        <w:rPr>
          <w:rFonts w:hint="eastAsia" w:ascii="方正仿宋_GBK" w:eastAsia="方正仿宋_GBK"/>
          <w:color w:val="252525"/>
          <w:sz w:val="32"/>
          <w:szCs w:val="32"/>
          <w:shd w:val="clear" w:color="auto" w:fill="FFFFFF"/>
        </w:rPr>
        <w:t>本单位2020年无因公出国支出</w:t>
      </w:r>
      <w:r>
        <w:rPr>
          <w:rFonts w:hint="eastAsia" w:ascii="方正仿宋_GBK" w:eastAsia="方正仿宋_GBK"/>
          <w:sz w:val="32"/>
          <w:szCs w:val="32"/>
          <w:shd w:val="clear" w:color="auto" w:fill="FFFFFF"/>
        </w:rPr>
        <w:t>。</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firstLine="720" w:firstLineChars="225"/>
        <w:outlineLvl w:val="9"/>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2020年度本部门公务车购置费用0.00万元，费用支出较年初预算数增加0.00万元，</w:t>
      </w:r>
      <w:r>
        <w:rPr>
          <w:rFonts w:hint="eastAsia" w:ascii="方正仿宋_GBK" w:eastAsia="方正仿宋_GBK"/>
          <w:color w:val="252525"/>
          <w:sz w:val="32"/>
          <w:szCs w:val="32"/>
          <w:shd w:val="clear" w:color="auto" w:fill="FFFFFF"/>
        </w:rPr>
        <w:t>增长0.00%</w:t>
      </w:r>
      <w:r>
        <w:rPr>
          <w:rFonts w:hint="eastAsia" w:ascii="方正仿宋_GBK" w:eastAsia="方正仿宋_GBK"/>
          <w:color w:val="252525"/>
          <w:sz w:val="32"/>
          <w:szCs w:val="32"/>
          <w:shd w:val="clear" w:color="auto" w:fill="FFFFFF"/>
          <w:lang w:eastAsia="zh-CN"/>
        </w:rPr>
        <w:t>，</w:t>
      </w:r>
      <w:r>
        <w:rPr>
          <w:rFonts w:hint="eastAsia" w:ascii="方正仿宋_GBK" w:eastAsia="方正仿宋_GBK"/>
          <w:color w:val="252525"/>
          <w:sz w:val="32"/>
          <w:szCs w:val="32"/>
          <w:shd w:val="clear" w:color="auto" w:fill="FFFFFF"/>
        </w:rPr>
        <w:t>本单位2020年无</w:t>
      </w:r>
      <w:r>
        <w:rPr>
          <w:rFonts w:hint="eastAsia" w:ascii="方正仿宋_GBK" w:eastAsia="方正仿宋_GBK"/>
          <w:sz w:val="32"/>
          <w:szCs w:val="32"/>
          <w:shd w:val="clear" w:color="auto" w:fill="FFFFFF"/>
        </w:rPr>
        <w:t>公务车购置费用。</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公务车运行维护费2.12万元，主要用于机要文件交换、市内因公出行、项目验收等工作所需车辆的燃料费、维修费、过桥过路费、保险费等。费用支出较年初预算数减少2.88万元，下降57.6%，较上年支出数减少1.46万元，下降40.8%，主要原因是今年的项目验收、应急执法等活动较上年有所减少。</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公务接待费2.71万元，主要用于接待市科技局领导来合调研、招商引资、创建国家高新区等。费用支出较年初预算数减少15.29万元，下降84.9%，较上年支出数减少1.68万元，下降38.3%，主要原因是强化公务接待支出管理，严格遵守公务接待开支范围和开支标准，严格控制陪餐人数。</w:t>
      </w:r>
    </w:p>
    <w:p>
      <w:pPr>
        <w:pStyle w:val="2"/>
        <w:autoSpaceDE w:val="0"/>
        <w:spacing w:before="93" w:beforeLines="30" w:beforeAutospacing="0" w:after="93" w:afterLines="30" w:afterAutospacing="0"/>
        <w:rPr>
          <w:rStyle w:val="5"/>
          <w:rFonts w:hint="eastAsia" w:ascii="方正楷体_GBK" w:eastAsia="方正楷体_GBK"/>
          <w:b w:val="0"/>
          <w:bCs w:val="0"/>
        </w:rPr>
      </w:pPr>
      <w:r>
        <w:rPr>
          <w:rStyle w:val="5"/>
          <w:rFonts w:hint="eastAsia" w:ascii="方正楷体_GBK" w:eastAsia="方正楷体_GBK"/>
          <w:b w:val="0"/>
          <w:bCs w:val="0"/>
          <w:sz w:val="32"/>
          <w:szCs w:val="32"/>
          <w:shd w:val="clear" w:color="auto" w:fill="FFFFFF"/>
        </w:rPr>
        <w:t>（三）“三公”经费实物量情况</w:t>
      </w:r>
    </w:p>
    <w:p>
      <w:pPr>
        <w:pStyle w:val="2"/>
        <w:autoSpaceDE w:val="0"/>
        <w:spacing w:before="0" w:beforeAutospacing="0"/>
        <w:ind w:firstLine="640" w:firstLineChars="200"/>
        <w:rPr>
          <w:rFonts w:hint="eastAsia" w:ascii="方正仿宋_GBK" w:eastAsia="方正仿宋_GBK"/>
        </w:rPr>
      </w:pPr>
      <w:r>
        <w:rPr>
          <w:rFonts w:hint="eastAsia" w:ascii="方正仿宋_GBK" w:eastAsia="方正仿宋_GBK"/>
          <w:sz w:val="32"/>
          <w:szCs w:val="32"/>
          <w:shd w:val="clear" w:color="auto" w:fill="FFFFFF"/>
        </w:rPr>
        <w:t>2020年度本部门因公出国（境）共计0个团组，0人；公务用车购置0辆，公务车保有量为1辆；国内公务接待67批次339人，其中：国内外事接待0批次，0人；国（境）外公务接待0批次，0人。2020年本部门人均接待费79.81元，车均购置费0.00万元，车均维护费2.12万元。</w:t>
      </w:r>
    </w:p>
    <w:p>
      <w:pPr>
        <w:pStyle w:val="2"/>
        <w:spacing w:before="0" w:beforeAutospacing="0"/>
        <w:rPr>
          <w:rFonts w:hint="eastAsia" w:ascii="方正黑体_GBK" w:eastAsia="方正黑体_GBK"/>
          <w:sz w:val="32"/>
          <w:szCs w:val="32"/>
        </w:rPr>
      </w:pPr>
      <w:r>
        <w:rPr>
          <w:rStyle w:val="5"/>
          <w:rFonts w:hint="eastAsia" w:ascii="方正黑体_GBK" w:eastAsia="方正黑体_GBK"/>
          <w:b w:val="0"/>
          <w:bCs w:val="0"/>
          <w:sz w:val="32"/>
          <w:szCs w:val="32"/>
          <w:shd w:val="clear" w:color="auto" w:fill="FFFFFF"/>
        </w:rPr>
        <w:t>四、其他需要说明的事项</w:t>
      </w:r>
    </w:p>
    <w:p>
      <w:pPr>
        <w:pStyle w:val="2"/>
        <w:autoSpaceDE w:val="0"/>
        <w:spacing w:before="93" w:beforeLines="30" w:beforeAutospacing="0" w:after="93" w:afterLines="30" w:afterAutospacing="0"/>
        <w:rPr>
          <w:rStyle w:val="5"/>
          <w:rFonts w:hint="eastAsia" w:ascii="方正楷体_GBK" w:eastAsia="方正楷体_GBK"/>
          <w:b w:val="0"/>
          <w:bCs w:val="0"/>
          <w:shd w:val="clear" w:color="auto" w:fill="FFFFFF"/>
        </w:rPr>
      </w:pPr>
      <w:r>
        <w:rPr>
          <w:rStyle w:val="5"/>
          <w:rFonts w:hint="eastAsia" w:ascii="方正楷体_GBK" w:eastAsia="方正楷体_GBK"/>
          <w:b w:val="0"/>
          <w:bCs w:val="0"/>
          <w:sz w:val="32"/>
          <w:szCs w:val="32"/>
          <w:shd w:val="clear" w:color="auto" w:fill="FFFFFF"/>
        </w:rPr>
        <w:t>（一）机关运行经费情况说明</w:t>
      </w:r>
    </w:p>
    <w:p>
      <w:pPr>
        <w:pStyle w:val="2"/>
        <w:autoSpaceDE w:val="0"/>
        <w:spacing w:before="0" w:beforeAutospacing="0"/>
        <w:ind w:firstLine="640" w:firstLineChars="200"/>
        <w:rPr>
          <w:rFonts w:hint="eastAsia" w:ascii="方正仿宋_GBK" w:eastAsia="方正仿宋_GBK"/>
        </w:rPr>
      </w:pPr>
      <w:r>
        <w:rPr>
          <w:rFonts w:hint="eastAsia" w:ascii="方正仿宋_GBK" w:eastAsia="方正仿宋_GBK"/>
          <w:sz w:val="32"/>
          <w:szCs w:val="32"/>
          <w:shd w:val="clear" w:color="auto" w:fill="FFFFFF"/>
        </w:rPr>
        <w:t>2020年度本部门机关运行经费支出73.47万元，机关运行经费主要用于开支办公费、公务车运行维护费、印刷费等。机关运行经费较上年决算数减少21.53万元，下降22.7%，主要原因是认真贯彻落实中央八项规定精神和厉行节约要求，减少机关运行经费。</w:t>
      </w:r>
    </w:p>
    <w:p>
      <w:pPr>
        <w:pStyle w:val="2"/>
        <w:autoSpaceDE w:val="0"/>
        <w:spacing w:before="0" w:beforeAutospacing="0"/>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年度会议费支出0.11万元，较上年决算数增加0.07万元，增长175%，主要原因是上年账务中将部分会议费和培训费等相关项目费用纳入其他商品与服务费用，今年对相关科目进行规范。本年度培训费支出0.71万元，较上年决算数增加0.34万元，增长91.9%，主要原因是上年账务中将部分会议费和培训费等相关项目费用纳入其他商品与服务费用，今年对相关科目进行规范。</w:t>
      </w:r>
    </w:p>
    <w:p>
      <w:pPr>
        <w:pStyle w:val="2"/>
        <w:autoSpaceDE w:val="0"/>
        <w:spacing w:before="93" w:beforeLines="30" w:beforeAutospacing="0" w:after="93" w:afterLines="30" w:afterAutospacing="0"/>
        <w:rPr>
          <w:rStyle w:val="5"/>
          <w:rFonts w:hint="eastAsia" w:ascii="方正楷体_GBK" w:eastAsia="方正楷体_GBK"/>
          <w:b w:val="0"/>
          <w:bCs w:val="0"/>
        </w:rPr>
      </w:pPr>
      <w:r>
        <w:rPr>
          <w:rStyle w:val="5"/>
          <w:rFonts w:hint="eastAsia" w:ascii="方正楷体_GBK" w:eastAsia="方正楷体_GBK"/>
          <w:b w:val="0"/>
          <w:bCs w:val="0"/>
          <w:sz w:val="32"/>
          <w:szCs w:val="32"/>
          <w:shd w:val="clear" w:color="auto" w:fill="FFFFFF"/>
        </w:rPr>
        <w:t>（二）国有资产占用情况说明</w:t>
      </w:r>
    </w:p>
    <w:p>
      <w:pPr>
        <w:pStyle w:val="2"/>
        <w:autoSpaceDE w:val="0"/>
        <w:spacing w:before="0" w:beforeAutospacing="0"/>
        <w:ind w:firstLine="640" w:firstLineChars="200"/>
        <w:rPr>
          <w:rFonts w:hint="eastAsia" w:ascii="方正仿宋_GBK" w:eastAsia="方正仿宋_GBK"/>
        </w:rPr>
      </w:pPr>
      <w:r>
        <w:rPr>
          <w:rFonts w:hint="eastAsia" w:ascii="方正仿宋_GBK" w:eastAsia="方正仿宋_GBK"/>
          <w:sz w:val="32"/>
          <w:szCs w:val="32"/>
          <w:shd w:val="clear" w:color="auto" w:fill="FFFFFF"/>
        </w:rPr>
        <w:t>截至2020年12月31日，本部门共有车辆1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pPr>
        <w:pStyle w:val="2"/>
        <w:autoSpaceDE w:val="0"/>
        <w:spacing w:before="93" w:beforeLines="30" w:beforeAutospacing="0" w:after="93" w:afterLines="30" w:afterAutospacing="0"/>
        <w:rPr>
          <w:rStyle w:val="5"/>
          <w:rFonts w:hint="eastAsia" w:ascii="方正楷体_GBK" w:eastAsia="方正楷体_GBK"/>
          <w:b w:val="0"/>
          <w:bCs w:val="0"/>
        </w:rPr>
      </w:pPr>
      <w:r>
        <w:rPr>
          <w:rStyle w:val="5"/>
          <w:rFonts w:hint="eastAsia" w:ascii="方正楷体_GBK" w:eastAsia="方正楷体_GBK"/>
          <w:b w:val="0"/>
          <w:bCs w:val="0"/>
          <w:sz w:val="32"/>
          <w:szCs w:val="32"/>
          <w:shd w:val="clear" w:color="auto" w:fill="FFFFFF"/>
        </w:rPr>
        <w:t>（三）政府采购支出情况说明</w:t>
      </w:r>
    </w:p>
    <w:p>
      <w:pPr>
        <w:pStyle w:val="2"/>
        <w:autoSpaceDE w:val="0"/>
        <w:spacing w:before="0" w:beforeAutospacing="0"/>
        <w:ind w:firstLine="640" w:firstLineChars="200"/>
        <w:rPr>
          <w:rFonts w:hint="eastAsia" w:ascii="方正仿宋_GBK" w:eastAsia="方正仿宋_GBK"/>
        </w:rPr>
      </w:pPr>
      <w:r>
        <w:rPr>
          <w:rFonts w:hint="eastAsia" w:ascii="方正仿宋_GBK" w:eastAsia="方正仿宋_GBK"/>
          <w:sz w:val="32"/>
          <w:szCs w:val="32"/>
          <w:shd w:val="clear" w:color="auto" w:fill="FFFFFF"/>
        </w:rPr>
        <w:t>2020年度本部门政府采购支出总额158.30万元，其中：政府采购货物支出0.00万元、政府采购工程支出0.00万元、政府采购服务支出158.30万元。授予中小企业合同金额0.00万元，占政府采购支出总额的0%，其中：授予小微企业合同金额 0.00万元，占政府采购支出总额的0%。主要用于采购工业园区区域地震安全性评估。</w:t>
      </w:r>
    </w:p>
    <w:p>
      <w:pPr>
        <w:pStyle w:val="2"/>
        <w:spacing w:before="0" w:beforeAutospacing="0"/>
        <w:rPr>
          <w:rFonts w:hint="eastAsia" w:ascii="方正黑体_GBK" w:eastAsia="方正黑体_GBK"/>
          <w:sz w:val="32"/>
          <w:szCs w:val="32"/>
        </w:rPr>
      </w:pPr>
      <w:r>
        <w:rPr>
          <w:rStyle w:val="5"/>
          <w:rFonts w:hint="eastAsia" w:ascii="方正黑体_GBK" w:eastAsia="方正黑体_GBK"/>
          <w:b w:val="0"/>
          <w:bCs w:val="0"/>
          <w:sz w:val="32"/>
          <w:szCs w:val="32"/>
          <w:shd w:val="clear" w:color="auto" w:fill="FFFFFF"/>
        </w:rPr>
        <w:t>五、预算绩效管理情况说明</w:t>
      </w:r>
    </w:p>
    <w:p>
      <w:pPr>
        <w:pStyle w:val="2"/>
        <w:autoSpaceDE w:val="0"/>
        <w:spacing w:before="93" w:beforeLines="30" w:beforeAutospacing="0" w:after="93" w:afterLines="30" w:afterAutospacing="0"/>
        <w:rPr>
          <w:rStyle w:val="5"/>
          <w:rFonts w:hint="eastAsia" w:ascii="方正楷体_GBK" w:eastAsia="方正楷体_GBK"/>
          <w:b w:val="0"/>
          <w:bCs w:val="0"/>
          <w:shd w:val="clear" w:color="auto" w:fill="FFFFFF"/>
        </w:rPr>
      </w:pPr>
      <w:r>
        <w:rPr>
          <w:rStyle w:val="5"/>
          <w:rFonts w:hint="eastAsia" w:ascii="方正楷体_GBK" w:eastAsia="方正楷体_GBK"/>
          <w:b w:val="0"/>
          <w:bCs w:val="0"/>
          <w:sz w:val="32"/>
          <w:szCs w:val="32"/>
          <w:shd w:val="clear" w:color="auto" w:fill="FFFFFF"/>
        </w:rPr>
        <w:t>（一）预算绩效管理工作开展情况</w:t>
      </w:r>
    </w:p>
    <w:p>
      <w:pPr>
        <w:pStyle w:val="2"/>
        <w:autoSpaceDE w:val="0"/>
        <w:spacing w:before="0" w:beforeAutospacing="0"/>
        <w:ind w:firstLine="640" w:firstLineChars="200"/>
        <w:rPr>
          <w:rFonts w:hint="eastAsia" w:ascii="方正仿宋_GBK" w:eastAsia="方正仿宋_GBK"/>
        </w:rPr>
      </w:pPr>
      <w:r>
        <w:rPr>
          <w:rFonts w:hint="eastAsia" w:ascii="方正仿宋_GBK" w:eastAsia="方正仿宋_GBK"/>
          <w:sz w:val="32"/>
          <w:szCs w:val="32"/>
          <w:shd w:val="clear" w:color="auto" w:fill="FFFFFF"/>
        </w:rPr>
        <w:t>根据预算绩效管理要求，我单位以填报目标自评表形式对部门整体和8个项目开展绩效自评，涉及资金1253万元。从评价情况来看，2020年我局项目开支管理规范，严格按照预算指标拨付和使用。</w:t>
      </w:r>
    </w:p>
    <w:p>
      <w:pPr>
        <w:pStyle w:val="2"/>
        <w:autoSpaceDE w:val="0"/>
        <w:spacing w:before="93" w:beforeLines="30" w:beforeAutospacing="0" w:after="93" w:afterLines="30" w:afterAutospacing="0"/>
        <w:rPr>
          <w:rStyle w:val="5"/>
          <w:rFonts w:hint="eastAsia" w:ascii="方正楷体_GBK" w:eastAsia="方正楷体_GBK"/>
          <w:b w:val="0"/>
          <w:bCs w:val="0"/>
        </w:rPr>
      </w:pPr>
      <w:r>
        <w:rPr>
          <w:rStyle w:val="5"/>
          <w:rFonts w:hint="eastAsia" w:ascii="方正楷体_GBK" w:eastAsia="方正楷体_GBK"/>
          <w:b w:val="0"/>
          <w:bCs w:val="0"/>
          <w:sz w:val="32"/>
          <w:szCs w:val="32"/>
          <w:shd w:val="clear" w:color="auto" w:fill="FFFFFF"/>
        </w:rPr>
        <w:t>（二）绩效自评结果</w:t>
      </w:r>
    </w:p>
    <w:p>
      <w:pPr>
        <w:pStyle w:val="2"/>
        <w:autoSpaceDE w:val="0"/>
        <w:spacing w:before="0" w:beforeAutospacing="0"/>
        <w:rPr>
          <w:rFonts w:hint="eastAsia" w:ascii="方正仿宋_GBK" w:eastAsia="方正仿宋_GBK"/>
          <w:b/>
          <w:bCs/>
        </w:rPr>
      </w:pPr>
      <w:r>
        <w:rPr>
          <w:rFonts w:hint="eastAsia" w:ascii="方正仿宋_GBK" w:eastAsia="方正仿宋_GBK"/>
          <w:b/>
          <w:bCs/>
          <w:sz w:val="32"/>
          <w:szCs w:val="32"/>
        </w:rPr>
        <w:t>1.</w:t>
      </w:r>
      <w:r>
        <w:rPr>
          <w:rFonts w:hint="eastAsia" w:ascii="方正仿宋_GBK" w:eastAsia="方正仿宋_GBK"/>
          <w:b/>
          <w:bCs/>
          <w:sz w:val="32"/>
          <w:szCs w:val="32"/>
          <w:shd w:val="clear" w:color="auto" w:fill="FFFFFF"/>
        </w:rPr>
        <w:t>绩效自评表</w:t>
      </w:r>
    </w:p>
    <w:p>
      <w:pPr>
        <w:keepNext w:val="0"/>
        <w:keepLines w:val="0"/>
        <w:pageBreakBefore w:val="0"/>
        <w:kinsoku/>
        <w:wordWrap/>
        <w:overflowPunct/>
        <w:topLinePunct w:val="0"/>
        <w:autoSpaceDE w:val="0"/>
        <w:autoSpaceDN/>
        <w:bidi w:val="0"/>
        <w:adjustRightInd/>
        <w:snapToGrid/>
        <w:spacing w:beforeAutospacing="0" w:afterAutospacing="0" w:line="540" w:lineRule="exact"/>
        <w:jc w:val="center"/>
        <w:outlineLvl w:val="9"/>
        <w:rPr>
          <w:rFonts w:hint="eastAsia" w:ascii="方正小标宋_GBK" w:hAnsi="Times New Roman" w:eastAsia="方正小标宋_GBK"/>
          <w:b/>
          <w:bCs/>
          <w:color w:val="auto"/>
          <w:sz w:val="36"/>
          <w:szCs w:val="36"/>
        </w:rPr>
      </w:pPr>
      <w:r>
        <w:rPr>
          <w:rFonts w:hint="eastAsia" w:ascii="方正小标宋_GBK" w:hAnsi="Times New Roman" w:eastAsia="方正小标宋_GBK"/>
          <w:b/>
          <w:bCs/>
          <w:color w:val="auto"/>
          <w:sz w:val="36"/>
          <w:szCs w:val="36"/>
        </w:rPr>
        <w:t>部门整体绩效自评表</w:t>
      </w:r>
    </w:p>
    <w:p>
      <w:pPr>
        <w:keepNext w:val="0"/>
        <w:keepLines w:val="0"/>
        <w:pageBreakBefore w:val="0"/>
        <w:kinsoku/>
        <w:wordWrap/>
        <w:overflowPunct/>
        <w:topLinePunct w:val="0"/>
        <w:autoSpaceDE w:val="0"/>
        <w:autoSpaceDN/>
        <w:bidi w:val="0"/>
        <w:adjustRightInd/>
        <w:snapToGrid/>
        <w:spacing w:beforeAutospacing="0" w:afterAutospacing="0" w:line="540" w:lineRule="exact"/>
        <w:jc w:val="center"/>
        <w:outlineLvl w:val="9"/>
        <w:rPr>
          <w:rFonts w:hint="eastAsia" w:ascii="方正小标宋_GBK" w:hAnsi="Times New Roman" w:eastAsia="方正小标宋_GBK"/>
          <w:b/>
          <w:bCs/>
          <w:color w:val="auto"/>
          <w:sz w:val="36"/>
          <w:szCs w:val="36"/>
        </w:rPr>
      </w:pPr>
    </w:p>
    <w:tbl>
      <w:tblPr>
        <w:tblStyle w:val="3"/>
        <w:tblW w:w="9238" w:type="dxa"/>
        <w:jc w:val="center"/>
        <w:tblLayout w:type="fixed"/>
        <w:tblCellMar>
          <w:top w:w="0" w:type="dxa"/>
          <w:left w:w="108" w:type="dxa"/>
          <w:bottom w:w="0" w:type="dxa"/>
          <w:right w:w="108" w:type="dxa"/>
        </w:tblCellMar>
      </w:tblPr>
      <w:tblGrid>
        <w:gridCol w:w="847"/>
        <w:gridCol w:w="958"/>
        <w:gridCol w:w="228"/>
        <w:gridCol w:w="815"/>
        <w:gridCol w:w="568"/>
        <w:gridCol w:w="287"/>
        <w:gridCol w:w="381"/>
        <w:gridCol w:w="227"/>
        <w:gridCol w:w="483"/>
        <w:gridCol w:w="757"/>
        <w:gridCol w:w="625"/>
        <w:gridCol w:w="692"/>
        <w:gridCol w:w="54"/>
        <w:gridCol w:w="326"/>
        <w:gridCol w:w="447"/>
        <w:gridCol w:w="113"/>
        <w:gridCol w:w="705"/>
        <w:gridCol w:w="725"/>
      </w:tblGrid>
      <w:tr>
        <w:tblPrEx>
          <w:tblCellMar>
            <w:top w:w="0" w:type="dxa"/>
            <w:left w:w="108" w:type="dxa"/>
            <w:bottom w:w="0" w:type="dxa"/>
            <w:right w:w="108" w:type="dxa"/>
          </w:tblCellMar>
        </w:tblPrEx>
        <w:trPr>
          <w:trHeight w:val="729" w:hRule="atLeast"/>
          <w:jc w:val="center"/>
        </w:trPr>
        <w:tc>
          <w:tcPr>
            <w:tcW w:w="847"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主管</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部门</w:t>
            </w:r>
          </w:p>
        </w:tc>
        <w:tc>
          <w:tcPr>
            <w:tcW w:w="1186" w:type="dxa"/>
            <w:gridSpan w:val="2"/>
            <w:vMerge w:val="restart"/>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lang w:eastAsia="zh-CN"/>
              </w:rPr>
            </w:pPr>
            <w:r>
              <w:rPr>
                <w:rFonts w:hint="eastAsia" w:ascii="Times New Roman" w:hAnsi="Times New Roman" w:eastAsia="方正仿宋_GBK"/>
                <w:color w:val="auto"/>
              </w:rPr>
              <w:t>重庆市合川区科学技术</w:t>
            </w:r>
            <w:r>
              <w:rPr>
                <w:rFonts w:hint="eastAsia" w:ascii="Times New Roman" w:hAnsi="Times New Roman" w:eastAsia="方正仿宋_GBK"/>
                <w:color w:val="auto"/>
                <w:lang w:eastAsia="zh-CN"/>
              </w:rPr>
              <w:t>局</w:t>
            </w:r>
          </w:p>
        </w:tc>
        <w:tc>
          <w:tcPr>
            <w:tcW w:w="815" w:type="dxa"/>
            <w:vMerge w:val="restart"/>
            <w:tcBorders>
              <w:top w:val="single" w:color="auto"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财政科室</w:t>
            </w:r>
          </w:p>
        </w:tc>
        <w:tc>
          <w:tcPr>
            <w:tcW w:w="855" w:type="dxa"/>
            <w:gridSpan w:val="2"/>
            <w:vMerge w:val="restart"/>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行财科</w:t>
            </w:r>
          </w:p>
        </w:tc>
        <w:tc>
          <w:tcPr>
            <w:tcW w:w="109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自评总分（分）</w:t>
            </w:r>
          </w:p>
        </w:tc>
        <w:tc>
          <w:tcPr>
            <w:tcW w:w="4444" w:type="dxa"/>
            <w:gridSpan w:val="9"/>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98</w:t>
            </w:r>
          </w:p>
        </w:tc>
      </w:tr>
      <w:tr>
        <w:tblPrEx>
          <w:tblCellMar>
            <w:top w:w="0" w:type="dxa"/>
            <w:left w:w="108" w:type="dxa"/>
            <w:bottom w:w="0" w:type="dxa"/>
            <w:right w:w="108" w:type="dxa"/>
          </w:tblCellMar>
        </w:tblPrEx>
        <w:trPr>
          <w:trHeight w:val="592" w:hRule="atLeast"/>
          <w:jc w:val="center"/>
        </w:trPr>
        <w:tc>
          <w:tcPr>
            <w:tcW w:w="847"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9"/>
              <w:rPr>
                <w:rFonts w:ascii="Times New Roman" w:hAnsi="Times New Roman" w:eastAsia="方正仿宋_GBK"/>
                <w:color w:val="auto"/>
              </w:rPr>
            </w:pPr>
          </w:p>
        </w:tc>
        <w:tc>
          <w:tcPr>
            <w:tcW w:w="1186" w:type="dxa"/>
            <w:gridSpan w:val="2"/>
            <w:vMerge w:val="continue"/>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9"/>
              <w:rPr>
                <w:rFonts w:ascii="Times New Roman" w:hAnsi="Times New Roman" w:eastAsia="方正仿宋_GBK"/>
                <w:color w:val="auto"/>
              </w:rPr>
            </w:pPr>
          </w:p>
        </w:tc>
        <w:tc>
          <w:tcPr>
            <w:tcW w:w="815" w:type="dxa"/>
            <w:vMerge w:val="continue"/>
            <w:tcBorders>
              <w:top w:val="single" w:color="auto"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9"/>
              <w:rPr>
                <w:rFonts w:ascii="Times New Roman" w:hAnsi="Times New Roman" w:eastAsia="方正仿宋_GBK"/>
                <w:color w:val="auto"/>
              </w:rPr>
            </w:pPr>
          </w:p>
        </w:tc>
        <w:tc>
          <w:tcPr>
            <w:tcW w:w="855" w:type="dxa"/>
            <w:gridSpan w:val="2"/>
            <w:vMerge w:val="continue"/>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9"/>
              <w:rPr>
                <w:rFonts w:ascii="Times New Roman" w:hAnsi="Times New Roman" w:eastAsia="方正仿宋_GBK"/>
                <w:color w:val="auto"/>
              </w:rPr>
            </w:pPr>
          </w:p>
        </w:tc>
        <w:tc>
          <w:tcPr>
            <w:tcW w:w="109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部门</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联系人</w:t>
            </w:r>
          </w:p>
        </w:tc>
        <w:tc>
          <w:tcPr>
            <w:tcW w:w="7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lang w:eastAsia="zh-CN"/>
              </w:rPr>
            </w:pPr>
            <w:r>
              <w:rPr>
                <w:rFonts w:hint="eastAsia" w:ascii="Times New Roman" w:hAnsi="Times New Roman" w:eastAsia="方正仿宋_GBK"/>
                <w:color w:val="auto"/>
                <w:lang w:eastAsia="zh-CN"/>
              </w:rPr>
              <w:t>林欣</w:t>
            </w:r>
          </w:p>
        </w:tc>
        <w:tc>
          <w:tcPr>
            <w:tcW w:w="131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联系电话</w:t>
            </w:r>
          </w:p>
        </w:tc>
        <w:tc>
          <w:tcPr>
            <w:tcW w:w="2370"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rPr>
              <w:t>42756</w:t>
            </w:r>
            <w:r>
              <w:rPr>
                <w:rFonts w:hint="eastAsia" w:ascii="Times New Roman" w:hAnsi="Times New Roman" w:eastAsia="方正仿宋_GBK"/>
                <w:color w:val="auto"/>
                <w:lang w:val="en-US" w:eastAsia="zh-CN"/>
              </w:rPr>
              <w:t>855</w:t>
            </w:r>
          </w:p>
        </w:tc>
      </w:tr>
      <w:tr>
        <w:tblPrEx>
          <w:tblCellMar>
            <w:top w:w="0" w:type="dxa"/>
            <w:left w:w="108" w:type="dxa"/>
            <w:bottom w:w="0" w:type="dxa"/>
            <w:right w:w="108" w:type="dxa"/>
          </w:tblCellMar>
        </w:tblPrEx>
        <w:trPr>
          <w:trHeight w:val="831"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部门预算执行情况</w:t>
            </w:r>
          </w:p>
        </w:tc>
        <w:tc>
          <w:tcPr>
            <w:tcW w:w="958" w:type="dxa"/>
            <w:vMerge w:val="restart"/>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预算</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sz w:val="21"/>
                <w:szCs w:val="21"/>
              </w:rPr>
            </w:pPr>
            <w:r>
              <w:rPr>
                <w:rFonts w:hint="eastAsia" w:ascii="Times New Roman" w:hAnsi="Times New Roman" w:eastAsia="方正仿宋_GBK"/>
                <w:color w:val="auto"/>
                <w:sz w:val="21"/>
                <w:szCs w:val="21"/>
              </w:rPr>
              <w:t>资金</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sz w:val="21"/>
                <w:szCs w:val="21"/>
              </w:rPr>
              <w:t>（万元）</w:t>
            </w:r>
          </w:p>
        </w:tc>
        <w:tc>
          <w:tcPr>
            <w:tcW w:w="104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年初</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预算数</w:t>
            </w:r>
          </w:p>
        </w:tc>
        <w:tc>
          <w:tcPr>
            <w:tcW w:w="146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全年（调整）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sz w:val="21"/>
                <w:szCs w:val="21"/>
              </w:rPr>
              <w:t>预算数</w:t>
            </w:r>
          </w:p>
        </w:tc>
        <w:tc>
          <w:tcPr>
            <w:tcW w:w="124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全年执行数</w:t>
            </w:r>
          </w:p>
        </w:tc>
        <w:tc>
          <w:tcPr>
            <w:tcW w:w="131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执行率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w:t>
            </w:r>
            <w:r>
              <w:rPr>
                <w:rFonts w:ascii="Times New Roman" w:hAnsi="Times New Roman" w:eastAsia="方正仿宋_GBK" w:cs="Times New Roman"/>
                <w:color w:val="auto"/>
              </w:rPr>
              <w:t>%</w:t>
            </w:r>
            <w:r>
              <w:rPr>
                <w:rFonts w:hint="eastAsia" w:ascii="方正仿宋_GBK" w:eastAsia="方正仿宋_GBK"/>
                <w:color w:val="auto"/>
              </w:rPr>
              <w:t>）</w:t>
            </w:r>
          </w:p>
        </w:tc>
        <w:tc>
          <w:tcPr>
            <w:tcW w:w="940"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执行率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权重</w:t>
            </w:r>
          </w:p>
        </w:tc>
        <w:tc>
          <w:tcPr>
            <w:tcW w:w="143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执行率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rPr>
            </w:pPr>
            <w:r>
              <w:rPr>
                <w:rFonts w:hint="eastAsia" w:ascii="Times New Roman" w:hAnsi="Times New Roman" w:eastAsia="方正仿宋_GBK"/>
                <w:color w:val="auto"/>
              </w:rPr>
              <w:t>得分</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（分）</w:t>
            </w:r>
          </w:p>
        </w:tc>
      </w:tr>
      <w:tr>
        <w:tblPrEx>
          <w:tblCellMar>
            <w:top w:w="0" w:type="dxa"/>
            <w:left w:w="108" w:type="dxa"/>
            <w:bottom w:w="0" w:type="dxa"/>
            <w:right w:w="108" w:type="dxa"/>
          </w:tblCellMar>
        </w:tblPrEx>
        <w:trPr>
          <w:trHeight w:val="592"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9"/>
              <w:rPr>
                <w:rFonts w:ascii="Times New Roman" w:hAnsi="Times New Roman" w:eastAsia="方正仿宋_GBK"/>
                <w:color w:val="auto"/>
              </w:rPr>
            </w:pPr>
          </w:p>
        </w:tc>
        <w:tc>
          <w:tcPr>
            <w:tcW w:w="958" w:type="dxa"/>
            <w:vMerge w:val="continue"/>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9"/>
              <w:rPr>
                <w:rFonts w:ascii="Times New Roman" w:hAnsi="Times New Roman" w:eastAsia="方正仿宋_GBK"/>
                <w:color w:val="auto"/>
              </w:rPr>
            </w:pPr>
          </w:p>
        </w:tc>
        <w:tc>
          <w:tcPr>
            <w:tcW w:w="104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1000</w:t>
            </w:r>
          </w:p>
        </w:tc>
        <w:tc>
          <w:tcPr>
            <w:tcW w:w="146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1129</w:t>
            </w:r>
          </w:p>
        </w:tc>
        <w:tc>
          <w:tcPr>
            <w:tcW w:w="1240"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1129</w:t>
            </w:r>
          </w:p>
        </w:tc>
        <w:tc>
          <w:tcPr>
            <w:tcW w:w="1317"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default" w:ascii="Times New Roman" w:hAnsi="Times New Roman" w:eastAsia="方正仿宋_GBK"/>
                <w:color w:val="auto"/>
                <w:lang w:val="en-US"/>
              </w:rPr>
            </w:pPr>
            <w:r>
              <w:rPr>
                <w:rFonts w:hint="eastAsia" w:ascii="Times New Roman" w:hAnsi="Times New Roman" w:eastAsia="方正仿宋_GBK"/>
                <w:color w:val="auto"/>
                <w:lang w:val="en-US" w:eastAsia="zh-CN"/>
              </w:rPr>
              <w:t>112.9</w:t>
            </w:r>
          </w:p>
        </w:tc>
        <w:tc>
          <w:tcPr>
            <w:tcW w:w="940"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10</w:t>
            </w:r>
          </w:p>
        </w:tc>
        <w:tc>
          <w:tcPr>
            <w:tcW w:w="143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10</w:t>
            </w:r>
          </w:p>
        </w:tc>
      </w:tr>
      <w:tr>
        <w:tblPrEx>
          <w:tblCellMar>
            <w:top w:w="0" w:type="dxa"/>
            <w:left w:w="108" w:type="dxa"/>
            <w:bottom w:w="0" w:type="dxa"/>
            <w:right w:w="108" w:type="dxa"/>
          </w:tblCellMar>
        </w:tblPrEx>
        <w:trPr>
          <w:trHeight w:val="921"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当年绩效目标</w:t>
            </w:r>
          </w:p>
        </w:tc>
        <w:tc>
          <w:tcPr>
            <w:tcW w:w="4704" w:type="dxa"/>
            <w:gridSpan w:val="9"/>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年初绩效目标</w:t>
            </w:r>
          </w:p>
        </w:tc>
        <w:tc>
          <w:tcPr>
            <w:tcW w:w="169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全年（调整）绩效目标</w:t>
            </w:r>
          </w:p>
        </w:tc>
        <w:tc>
          <w:tcPr>
            <w:tcW w:w="199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全年目标实际完成情况</w:t>
            </w:r>
          </w:p>
        </w:tc>
      </w:tr>
      <w:tr>
        <w:tblPrEx>
          <w:tblCellMar>
            <w:top w:w="0" w:type="dxa"/>
            <w:left w:w="108" w:type="dxa"/>
            <w:bottom w:w="0" w:type="dxa"/>
            <w:right w:w="108" w:type="dxa"/>
          </w:tblCellMar>
        </w:tblPrEx>
        <w:trPr>
          <w:trHeight w:val="2796"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9"/>
              <w:rPr>
                <w:rFonts w:ascii="Times New Roman" w:hAnsi="Times New Roman" w:eastAsia="方正仿宋_GBK"/>
                <w:color w:val="auto"/>
              </w:rPr>
            </w:pPr>
          </w:p>
        </w:tc>
        <w:tc>
          <w:tcPr>
            <w:tcW w:w="4704" w:type="dxa"/>
            <w:gridSpan w:val="9"/>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outlineLvl w:val="9"/>
              <w:rPr>
                <w:rFonts w:hint="eastAsia" w:ascii="Times New Roman" w:hAnsi="Times New Roman" w:eastAsia="方正仿宋_GBK"/>
                <w:color w:val="auto"/>
                <w:lang w:eastAsia="zh-CN"/>
              </w:rPr>
            </w:pPr>
            <w:r>
              <w:rPr>
                <w:rFonts w:hint="eastAsia"/>
                <w:color w:val="auto"/>
              </w:rPr>
              <w:t xml:space="preserve">  </w:t>
            </w:r>
            <w:r>
              <w:rPr>
                <w:rFonts w:hint="eastAsia"/>
                <w:color w:val="auto"/>
                <w:sz w:val="21"/>
                <w:szCs w:val="21"/>
              </w:rPr>
              <w:t xml:space="preserve"> </w:t>
            </w:r>
            <w:r>
              <w:rPr>
                <w:rFonts w:hint="eastAsia" w:ascii="Times New Roman" w:hAnsi="Times New Roman" w:eastAsia="方正仿宋_GBK"/>
                <w:color w:val="auto"/>
                <w:sz w:val="21"/>
                <w:szCs w:val="21"/>
              </w:rPr>
              <w:t xml:space="preserve"> 根据全区经济社会和科技发展需要，壮大创新主体，提高科技创新能力，对于在一定时间周期内组织实施的科学技术研究开发及科技成果产业化等活动，设立科技创新奖励补助。对企业进行高新技术企业申报、国家科技型中小企业、科技型企业入库备案奖励补助，用于支持企业继续研发创新</w:t>
            </w:r>
            <w:r>
              <w:rPr>
                <w:rFonts w:hint="eastAsia" w:ascii="Times New Roman" w:hAnsi="Times New Roman" w:eastAsia="方正仿宋_GBK"/>
                <w:color w:val="auto"/>
                <w:sz w:val="21"/>
                <w:szCs w:val="21"/>
                <w:lang w:eastAsia="zh-CN"/>
              </w:rPr>
              <w:t>。</w:t>
            </w:r>
          </w:p>
        </w:tc>
        <w:tc>
          <w:tcPr>
            <w:tcW w:w="169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无调整</w:t>
            </w:r>
          </w:p>
        </w:tc>
        <w:tc>
          <w:tcPr>
            <w:tcW w:w="199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已完成</w:t>
            </w:r>
          </w:p>
        </w:tc>
      </w:tr>
      <w:tr>
        <w:tblPrEx>
          <w:tblCellMar>
            <w:top w:w="0" w:type="dxa"/>
            <w:left w:w="108" w:type="dxa"/>
            <w:bottom w:w="0" w:type="dxa"/>
            <w:right w:w="108" w:type="dxa"/>
          </w:tblCellMar>
        </w:tblPrEx>
        <w:trPr>
          <w:trHeight w:val="1587"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绩效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指标</w:t>
            </w:r>
          </w:p>
        </w:tc>
        <w:tc>
          <w:tcPr>
            <w:tcW w:w="200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指标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名称</w:t>
            </w:r>
          </w:p>
        </w:tc>
        <w:tc>
          <w:tcPr>
            <w:tcW w:w="5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计量</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单位</w:t>
            </w:r>
          </w:p>
        </w:tc>
        <w:tc>
          <w:tcPr>
            <w:tcW w:w="6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指标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性质</w:t>
            </w:r>
          </w:p>
        </w:tc>
        <w:tc>
          <w:tcPr>
            <w:tcW w:w="7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年初</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rPr>
            </w:pPr>
            <w:r>
              <w:rPr>
                <w:rFonts w:hint="eastAsia" w:ascii="Times New Roman" w:hAnsi="Times New Roman" w:eastAsia="方正仿宋_GBK"/>
                <w:color w:val="auto"/>
              </w:rPr>
              <w:t>指标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值</w:t>
            </w:r>
          </w:p>
        </w:tc>
        <w:tc>
          <w:tcPr>
            <w:tcW w:w="7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调整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rPr>
            </w:pPr>
            <w:r>
              <w:rPr>
                <w:rFonts w:hint="eastAsia" w:ascii="Times New Roman" w:hAnsi="Times New Roman" w:eastAsia="方正仿宋_GBK"/>
                <w:color w:val="auto"/>
              </w:rPr>
              <w:t>指标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rPr>
            </w:pPr>
            <w:r>
              <w:rPr>
                <w:rFonts w:hint="eastAsia" w:ascii="Times New Roman" w:hAnsi="Times New Roman" w:eastAsia="方正仿宋_GBK"/>
                <w:color w:val="auto"/>
              </w:rPr>
              <w:t>值</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全年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sz w:val="21"/>
                <w:szCs w:val="21"/>
              </w:rPr>
            </w:pPr>
            <w:r>
              <w:rPr>
                <w:rFonts w:hint="eastAsia" w:ascii="Times New Roman" w:hAnsi="Times New Roman" w:eastAsia="方正仿宋_GBK"/>
                <w:color w:val="auto"/>
                <w:sz w:val="21"/>
                <w:szCs w:val="21"/>
              </w:rPr>
              <w:t>完成</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值</w:t>
            </w:r>
          </w:p>
        </w:tc>
        <w:tc>
          <w:tcPr>
            <w:tcW w:w="74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得分</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sz w:val="21"/>
                <w:szCs w:val="21"/>
              </w:rPr>
            </w:pPr>
            <w:r>
              <w:rPr>
                <w:rFonts w:hint="eastAsia" w:ascii="Times New Roman" w:hAnsi="Times New Roman" w:eastAsia="方正仿宋_GBK"/>
                <w:color w:val="auto"/>
                <w:sz w:val="21"/>
                <w:szCs w:val="21"/>
              </w:rPr>
              <w:t>系数</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w:t>
            </w:r>
            <w:r>
              <w:rPr>
                <w:rFonts w:ascii="Times New Roman" w:hAnsi="Times New Roman" w:eastAsia="方正仿宋_GBK" w:cs="Times New Roman"/>
                <w:color w:val="auto"/>
                <w:sz w:val="21"/>
                <w:szCs w:val="21"/>
              </w:rPr>
              <w:t>%</w:t>
            </w:r>
            <w:r>
              <w:rPr>
                <w:rFonts w:hint="eastAsia" w:ascii="方正仿宋_GBK" w:eastAsia="方正仿宋_GBK"/>
                <w:color w:val="auto"/>
                <w:sz w:val="21"/>
                <w:szCs w:val="21"/>
              </w:rPr>
              <w:t>）</w:t>
            </w:r>
          </w:p>
        </w:tc>
        <w:tc>
          <w:tcPr>
            <w:tcW w:w="77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指标权重</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（分）</w:t>
            </w:r>
          </w:p>
        </w:tc>
        <w:tc>
          <w:tcPr>
            <w:tcW w:w="8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指标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Times New Roman" w:hAnsi="Times New Roman" w:eastAsia="方正仿宋_GBK"/>
                <w:color w:val="auto"/>
                <w:sz w:val="21"/>
                <w:szCs w:val="21"/>
              </w:rPr>
            </w:pPr>
            <w:r>
              <w:rPr>
                <w:rFonts w:hint="eastAsia" w:ascii="Times New Roman" w:hAnsi="Times New Roman" w:eastAsia="方正仿宋_GBK"/>
                <w:color w:val="auto"/>
                <w:sz w:val="21"/>
                <w:szCs w:val="21"/>
              </w:rPr>
              <w:t>得分</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（分）</w:t>
            </w:r>
          </w:p>
        </w:tc>
        <w:tc>
          <w:tcPr>
            <w:tcW w:w="7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是否核心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指标</w:t>
            </w:r>
          </w:p>
        </w:tc>
      </w:tr>
      <w:tr>
        <w:tblPrEx>
          <w:tblCellMar>
            <w:top w:w="0" w:type="dxa"/>
            <w:left w:w="108" w:type="dxa"/>
            <w:bottom w:w="0" w:type="dxa"/>
            <w:right w:w="108" w:type="dxa"/>
          </w:tblCellMar>
        </w:tblPrEx>
        <w:trPr>
          <w:trHeight w:val="1089"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540" w:lineRule="exact"/>
              <w:outlineLvl w:val="9"/>
              <w:rPr>
                <w:rFonts w:ascii="Times New Roman" w:hAnsi="Times New Roman" w:eastAsia="方正仿宋_GBK"/>
                <w:color w:val="auto"/>
              </w:rPr>
            </w:pPr>
          </w:p>
        </w:tc>
        <w:tc>
          <w:tcPr>
            <w:tcW w:w="2001" w:type="dxa"/>
            <w:gridSpan w:val="3"/>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补助金额拨付额</w:t>
            </w:r>
          </w:p>
        </w:tc>
        <w:tc>
          <w:tcPr>
            <w:tcW w:w="568"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eastAsia="zh-CN"/>
              </w:rPr>
              <w:t>万元</w:t>
            </w:r>
            <w:r>
              <w:rPr>
                <w:rFonts w:hint="eastAsia" w:eastAsia="方正仿宋_GBK"/>
                <w:color w:val="auto"/>
                <w:sz w:val="20"/>
                <w:szCs w:val="20"/>
                <w:lang w:val="en-US" w:eastAsia="zh-CN"/>
              </w:rPr>
              <w:t xml:space="preserve"> </w:t>
            </w:r>
          </w:p>
        </w:tc>
        <w:tc>
          <w:tcPr>
            <w:tcW w:w="66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w:t>
            </w:r>
          </w:p>
        </w:tc>
        <w:tc>
          <w:tcPr>
            <w:tcW w:w="7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eastAsia" w:ascii="Times New Roman" w:hAnsi="Times New Roman" w:eastAsia="宋体"/>
                <w:color w:val="auto"/>
                <w:lang w:val="en-US" w:eastAsia="zh-CN"/>
              </w:rPr>
            </w:pPr>
            <w:r>
              <w:rPr>
                <w:rFonts w:hint="eastAsia"/>
                <w:color w:val="auto"/>
                <w:sz w:val="20"/>
                <w:szCs w:val="20"/>
              </w:rPr>
              <w:t>50</w:t>
            </w:r>
            <w:r>
              <w:rPr>
                <w:rFonts w:hint="eastAsia"/>
                <w:color w:val="auto"/>
                <w:sz w:val="20"/>
                <w:szCs w:val="20"/>
                <w:lang w:val="en-US" w:eastAsia="zh-CN"/>
              </w:rPr>
              <w:t>0</w:t>
            </w:r>
          </w:p>
        </w:tc>
        <w:tc>
          <w:tcPr>
            <w:tcW w:w="757"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629</w:t>
            </w:r>
          </w:p>
        </w:tc>
        <w:tc>
          <w:tcPr>
            <w:tcW w:w="625"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629</w:t>
            </w:r>
          </w:p>
        </w:tc>
        <w:tc>
          <w:tcPr>
            <w:tcW w:w="74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color w:val="auto"/>
                <w:sz w:val="20"/>
                <w:szCs w:val="20"/>
              </w:rPr>
            </w:pPr>
            <w:r>
              <w:rPr>
                <w:rFonts w:hint="eastAsia"/>
                <w:color w:val="auto"/>
                <w:sz w:val="18"/>
                <w:szCs w:val="18"/>
              </w:rPr>
              <w:t>100</w:t>
            </w:r>
          </w:p>
        </w:tc>
        <w:tc>
          <w:tcPr>
            <w:tcW w:w="77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eastAsia="宋体"/>
                <w:color w:val="auto"/>
                <w:sz w:val="20"/>
                <w:szCs w:val="20"/>
                <w:lang w:val="en-US" w:eastAsia="zh-CN"/>
              </w:rPr>
            </w:pPr>
            <w:r>
              <w:rPr>
                <w:rFonts w:hint="eastAsia"/>
                <w:color w:val="auto"/>
                <w:sz w:val="20"/>
                <w:szCs w:val="20"/>
                <w:lang w:val="en-US" w:eastAsia="zh-CN"/>
              </w:rPr>
              <w:t>30</w:t>
            </w:r>
          </w:p>
        </w:tc>
        <w:tc>
          <w:tcPr>
            <w:tcW w:w="81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30</w:t>
            </w:r>
          </w:p>
        </w:tc>
        <w:tc>
          <w:tcPr>
            <w:tcW w:w="7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outlineLvl w:val="9"/>
              <w:rPr>
                <w:rFonts w:hint="eastAsia" w:ascii="Times New Roman" w:hAnsi="Times New Roman" w:eastAsia="方正仿宋_GBK"/>
                <w:color w:val="auto"/>
                <w:lang w:eastAsia="zh-CN"/>
              </w:rPr>
            </w:pPr>
            <w:r>
              <w:rPr>
                <w:rFonts w:hint="eastAsia" w:ascii="Times New Roman" w:hAnsi="Times New Roman" w:eastAsia="方正仿宋_GBK"/>
                <w:color w:val="auto"/>
                <w:lang w:eastAsia="zh-CN"/>
              </w:rPr>
              <w:t>是</w:t>
            </w:r>
          </w:p>
        </w:tc>
      </w:tr>
      <w:tr>
        <w:tblPrEx>
          <w:tblCellMar>
            <w:top w:w="0" w:type="dxa"/>
            <w:left w:w="108" w:type="dxa"/>
            <w:bottom w:w="0" w:type="dxa"/>
            <w:right w:w="108" w:type="dxa"/>
          </w:tblCellMar>
        </w:tblPrEx>
        <w:trPr>
          <w:trHeight w:val="1089"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540" w:lineRule="exact"/>
              <w:outlineLvl w:val="9"/>
              <w:rPr>
                <w:rFonts w:ascii="Times New Roman" w:hAnsi="Times New Roman" w:eastAsia="方正仿宋_GBK"/>
                <w:color w:val="auto"/>
              </w:rPr>
            </w:pPr>
          </w:p>
        </w:tc>
        <w:tc>
          <w:tcPr>
            <w:tcW w:w="2001" w:type="dxa"/>
            <w:gridSpan w:val="3"/>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补助企业</w:t>
            </w:r>
          </w:p>
        </w:tc>
        <w:tc>
          <w:tcPr>
            <w:tcW w:w="568"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eastAsia" w:ascii="Times New Roman" w:hAnsi="Times New Roman" w:eastAsia="方正仿宋_GBK"/>
                <w:color w:val="auto"/>
                <w:lang w:eastAsia="zh-CN"/>
              </w:rPr>
            </w:pPr>
            <w:r>
              <w:rPr>
                <w:rFonts w:hint="eastAsia" w:ascii="Times New Roman" w:hAnsi="Times New Roman" w:eastAsia="方正仿宋_GBK"/>
                <w:color w:val="auto"/>
                <w:lang w:eastAsia="zh-CN"/>
              </w:rPr>
              <w:t>家</w:t>
            </w:r>
          </w:p>
        </w:tc>
        <w:tc>
          <w:tcPr>
            <w:tcW w:w="66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ascii="方正仿宋_GBK" w:hAnsi="方正仿宋_GBK" w:eastAsia="方正仿宋_GBK" w:cs="方正仿宋_GBK"/>
                <w:color w:val="auto"/>
                <w:lang w:eastAsia="zh-CN"/>
              </w:rPr>
              <w:t>=</w:t>
            </w:r>
          </w:p>
        </w:tc>
        <w:tc>
          <w:tcPr>
            <w:tcW w:w="7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205</w:t>
            </w:r>
          </w:p>
        </w:tc>
        <w:tc>
          <w:tcPr>
            <w:tcW w:w="757"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205</w:t>
            </w:r>
          </w:p>
        </w:tc>
        <w:tc>
          <w:tcPr>
            <w:tcW w:w="625"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205</w:t>
            </w:r>
          </w:p>
        </w:tc>
        <w:tc>
          <w:tcPr>
            <w:tcW w:w="74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color w:val="auto"/>
                <w:sz w:val="20"/>
                <w:szCs w:val="20"/>
              </w:rPr>
            </w:pPr>
            <w:r>
              <w:rPr>
                <w:rFonts w:hint="eastAsia"/>
                <w:color w:val="auto"/>
                <w:sz w:val="18"/>
                <w:szCs w:val="18"/>
              </w:rPr>
              <w:t>100</w:t>
            </w:r>
          </w:p>
        </w:tc>
        <w:tc>
          <w:tcPr>
            <w:tcW w:w="77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color w:val="auto"/>
                <w:sz w:val="20"/>
                <w:szCs w:val="20"/>
              </w:rPr>
            </w:pPr>
            <w:r>
              <w:rPr>
                <w:rFonts w:hint="eastAsia"/>
                <w:color w:val="auto"/>
                <w:sz w:val="20"/>
                <w:szCs w:val="20"/>
              </w:rPr>
              <w:t>30</w:t>
            </w:r>
          </w:p>
        </w:tc>
        <w:tc>
          <w:tcPr>
            <w:tcW w:w="81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30</w:t>
            </w:r>
          </w:p>
        </w:tc>
        <w:tc>
          <w:tcPr>
            <w:tcW w:w="7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是</w:t>
            </w:r>
          </w:p>
        </w:tc>
      </w:tr>
      <w:tr>
        <w:tblPrEx>
          <w:tblCellMar>
            <w:top w:w="0" w:type="dxa"/>
            <w:left w:w="108" w:type="dxa"/>
            <w:bottom w:w="0" w:type="dxa"/>
            <w:right w:w="108" w:type="dxa"/>
          </w:tblCellMar>
        </w:tblPrEx>
        <w:trPr>
          <w:trHeight w:val="652"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540" w:lineRule="exact"/>
              <w:outlineLvl w:val="9"/>
              <w:rPr>
                <w:rFonts w:ascii="Times New Roman" w:hAnsi="Times New Roman" w:eastAsia="方正仿宋_GBK"/>
                <w:color w:val="auto"/>
              </w:rPr>
            </w:pPr>
          </w:p>
        </w:tc>
        <w:tc>
          <w:tcPr>
            <w:tcW w:w="2001" w:type="dxa"/>
            <w:gridSpan w:val="3"/>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补助事项</w:t>
            </w:r>
          </w:p>
        </w:tc>
        <w:tc>
          <w:tcPr>
            <w:tcW w:w="568"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eastAsia" w:ascii="Times New Roman" w:hAnsi="Times New Roman" w:eastAsia="方正仿宋_GBK"/>
                <w:color w:val="auto"/>
                <w:lang w:eastAsia="zh-CN"/>
              </w:rPr>
            </w:pPr>
            <w:r>
              <w:rPr>
                <w:rFonts w:hint="eastAsia" w:eastAsia="方正仿宋_GBK"/>
                <w:color w:val="auto"/>
                <w:sz w:val="20"/>
                <w:szCs w:val="20"/>
                <w:lang w:eastAsia="zh-CN"/>
              </w:rPr>
              <w:t>个</w:t>
            </w:r>
          </w:p>
        </w:tc>
        <w:tc>
          <w:tcPr>
            <w:tcW w:w="66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ascii="方正仿宋_GBK" w:hAnsi="方正仿宋_GBK" w:eastAsia="方正仿宋_GBK" w:cs="方正仿宋_GBK"/>
                <w:color w:val="auto"/>
                <w:lang w:eastAsia="zh-CN"/>
              </w:rPr>
              <w:t>=</w:t>
            </w:r>
          </w:p>
        </w:tc>
        <w:tc>
          <w:tcPr>
            <w:tcW w:w="7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229</w:t>
            </w:r>
          </w:p>
        </w:tc>
        <w:tc>
          <w:tcPr>
            <w:tcW w:w="757"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229</w:t>
            </w:r>
          </w:p>
        </w:tc>
        <w:tc>
          <w:tcPr>
            <w:tcW w:w="625"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229</w:t>
            </w:r>
          </w:p>
        </w:tc>
        <w:tc>
          <w:tcPr>
            <w:tcW w:w="74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color w:val="auto"/>
                <w:sz w:val="20"/>
                <w:szCs w:val="20"/>
              </w:rPr>
            </w:pPr>
            <w:r>
              <w:rPr>
                <w:rFonts w:hint="eastAsia"/>
                <w:color w:val="auto"/>
                <w:sz w:val="18"/>
                <w:szCs w:val="18"/>
              </w:rPr>
              <w:t>100</w:t>
            </w:r>
          </w:p>
        </w:tc>
        <w:tc>
          <w:tcPr>
            <w:tcW w:w="77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eastAsia="宋体"/>
                <w:color w:val="auto"/>
                <w:sz w:val="20"/>
                <w:szCs w:val="20"/>
                <w:lang w:val="en-US" w:eastAsia="zh-CN"/>
              </w:rPr>
            </w:pPr>
            <w:r>
              <w:rPr>
                <w:rFonts w:hint="eastAsia"/>
                <w:color w:val="auto"/>
                <w:sz w:val="20"/>
                <w:szCs w:val="20"/>
                <w:lang w:val="en-US" w:eastAsia="zh-CN"/>
              </w:rPr>
              <w:t>10</w:t>
            </w:r>
          </w:p>
        </w:tc>
        <w:tc>
          <w:tcPr>
            <w:tcW w:w="81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10</w:t>
            </w:r>
          </w:p>
        </w:tc>
        <w:tc>
          <w:tcPr>
            <w:tcW w:w="7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是</w:t>
            </w:r>
          </w:p>
        </w:tc>
      </w:tr>
      <w:tr>
        <w:tblPrEx>
          <w:tblCellMar>
            <w:top w:w="0" w:type="dxa"/>
            <w:left w:w="108" w:type="dxa"/>
            <w:bottom w:w="0" w:type="dxa"/>
            <w:right w:w="108" w:type="dxa"/>
          </w:tblCellMar>
        </w:tblPrEx>
        <w:trPr>
          <w:trHeight w:val="697"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540" w:lineRule="exact"/>
              <w:outlineLvl w:val="9"/>
              <w:rPr>
                <w:rFonts w:ascii="Times New Roman" w:hAnsi="Times New Roman" w:eastAsia="方正仿宋_GBK"/>
                <w:color w:val="auto"/>
              </w:rPr>
            </w:pPr>
          </w:p>
        </w:tc>
        <w:tc>
          <w:tcPr>
            <w:tcW w:w="2001" w:type="dxa"/>
            <w:gridSpan w:val="3"/>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服务对象满意度指标</w:t>
            </w:r>
          </w:p>
        </w:tc>
        <w:tc>
          <w:tcPr>
            <w:tcW w:w="568"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w:t>
            </w:r>
          </w:p>
        </w:tc>
        <w:tc>
          <w:tcPr>
            <w:tcW w:w="66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w:t>
            </w:r>
          </w:p>
        </w:tc>
        <w:tc>
          <w:tcPr>
            <w:tcW w:w="7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100</w:t>
            </w:r>
          </w:p>
        </w:tc>
        <w:tc>
          <w:tcPr>
            <w:tcW w:w="757"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100</w:t>
            </w:r>
          </w:p>
        </w:tc>
        <w:tc>
          <w:tcPr>
            <w:tcW w:w="625"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20"/>
                <w:szCs w:val="20"/>
                <w:lang w:val="en-US" w:eastAsia="zh-CN"/>
              </w:rPr>
              <w:t>100</w:t>
            </w:r>
          </w:p>
        </w:tc>
        <w:tc>
          <w:tcPr>
            <w:tcW w:w="74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color w:val="auto"/>
                <w:sz w:val="20"/>
                <w:szCs w:val="20"/>
              </w:rPr>
            </w:pPr>
            <w:r>
              <w:rPr>
                <w:rFonts w:hint="eastAsia"/>
                <w:color w:val="auto"/>
                <w:sz w:val="18"/>
                <w:szCs w:val="18"/>
              </w:rPr>
              <w:t>100</w:t>
            </w:r>
          </w:p>
        </w:tc>
        <w:tc>
          <w:tcPr>
            <w:tcW w:w="77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color w:val="auto"/>
                <w:sz w:val="20"/>
                <w:szCs w:val="20"/>
              </w:rPr>
            </w:pPr>
            <w:r>
              <w:rPr>
                <w:rFonts w:hint="eastAsia"/>
                <w:color w:val="auto"/>
                <w:sz w:val="20"/>
                <w:szCs w:val="20"/>
              </w:rPr>
              <w:t>10</w:t>
            </w:r>
          </w:p>
        </w:tc>
        <w:tc>
          <w:tcPr>
            <w:tcW w:w="81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10</w:t>
            </w:r>
          </w:p>
        </w:tc>
        <w:tc>
          <w:tcPr>
            <w:tcW w:w="72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outlineLvl w:val="9"/>
              <w:rPr>
                <w:rFonts w:ascii="Times New Roman" w:hAnsi="Times New Roman" w:eastAsia="方正仿宋_GBK"/>
                <w:color w:val="auto"/>
              </w:rPr>
            </w:pPr>
            <w:r>
              <w:rPr>
                <w:rFonts w:hint="eastAsia" w:ascii="Times New Roman" w:hAnsi="Times New Roman" w:eastAsia="方正仿宋_GBK"/>
                <w:color w:val="auto"/>
              </w:rPr>
              <w:t>否</w:t>
            </w:r>
          </w:p>
        </w:tc>
      </w:tr>
      <w:tr>
        <w:tblPrEx>
          <w:tblCellMar>
            <w:top w:w="0" w:type="dxa"/>
            <w:left w:w="108" w:type="dxa"/>
            <w:bottom w:w="0" w:type="dxa"/>
            <w:right w:w="108" w:type="dxa"/>
          </w:tblCellMar>
        </w:tblPrEx>
        <w:trPr>
          <w:trHeight w:val="861"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540" w:lineRule="exact"/>
              <w:outlineLvl w:val="9"/>
              <w:rPr>
                <w:rFonts w:ascii="Times New Roman" w:hAnsi="Times New Roman" w:eastAsia="方正仿宋_GBK"/>
                <w:color w:val="auto"/>
              </w:rPr>
            </w:pPr>
          </w:p>
        </w:tc>
        <w:tc>
          <w:tcPr>
            <w:tcW w:w="2001" w:type="dxa"/>
            <w:gridSpan w:val="3"/>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 xml:space="preserve"> 预决算信息公开性</w:t>
            </w:r>
          </w:p>
        </w:tc>
        <w:tc>
          <w:tcPr>
            <w:tcW w:w="568"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次</w:t>
            </w:r>
          </w:p>
        </w:tc>
        <w:tc>
          <w:tcPr>
            <w:tcW w:w="66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w:t>
            </w:r>
          </w:p>
        </w:tc>
        <w:tc>
          <w:tcPr>
            <w:tcW w:w="7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2</w:t>
            </w:r>
          </w:p>
        </w:tc>
        <w:tc>
          <w:tcPr>
            <w:tcW w:w="757"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2</w:t>
            </w:r>
          </w:p>
        </w:tc>
        <w:tc>
          <w:tcPr>
            <w:tcW w:w="625" w:type="dxa"/>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ascii="Times New Roman" w:hAnsi="Times New Roman" w:eastAsia="方正仿宋_GBK"/>
                <w:color w:val="auto"/>
              </w:rPr>
            </w:pPr>
            <w:r>
              <w:rPr>
                <w:rFonts w:hint="eastAsia"/>
                <w:color w:val="auto"/>
                <w:sz w:val="20"/>
                <w:szCs w:val="20"/>
              </w:rPr>
              <w:t>2</w:t>
            </w:r>
          </w:p>
        </w:tc>
        <w:tc>
          <w:tcPr>
            <w:tcW w:w="74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color w:val="auto"/>
                <w:sz w:val="20"/>
                <w:szCs w:val="20"/>
              </w:rPr>
            </w:pPr>
            <w:r>
              <w:rPr>
                <w:rFonts w:hint="eastAsia"/>
                <w:color w:val="auto"/>
                <w:sz w:val="18"/>
                <w:szCs w:val="18"/>
              </w:rPr>
              <w:t>100</w:t>
            </w:r>
          </w:p>
        </w:tc>
        <w:tc>
          <w:tcPr>
            <w:tcW w:w="77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default" w:eastAsia="宋体"/>
                <w:color w:val="auto"/>
                <w:sz w:val="20"/>
                <w:szCs w:val="20"/>
                <w:lang w:val="en-US" w:eastAsia="zh-CN"/>
              </w:rPr>
            </w:pPr>
            <w:r>
              <w:rPr>
                <w:rFonts w:hint="eastAsia"/>
                <w:color w:val="auto"/>
                <w:sz w:val="20"/>
                <w:szCs w:val="20"/>
                <w:lang w:val="en-US" w:eastAsia="zh-CN"/>
              </w:rPr>
              <w:t>10</w:t>
            </w:r>
          </w:p>
        </w:tc>
        <w:tc>
          <w:tcPr>
            <w:tcW w:w="818"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textAlignment w:val="center"/>
              <w:outlineLvl w:val="9"/>
              <w:rPr>
                <w:rFonts w:hint="eastAsia" w:ascii="Times New Roman" w:hAnsi="Times New Roman" w:eastAsia="方正仿宋_GBK"/>
                <w:color w:val="auto"/>
                <w:lang w:eastAsia="zh-CN"/>
              </w:rPr>
            </w:pPr>
            <w:r>
              <w:rPr>
                <w:rFonts w:hint="eastAsia" w:eastAsia="方正仿宋_GBK"/>
                <w:color w:val="auto"/>
                <w:sz w:val="20"/>
                <w:szCs w:val="20"/>
                <w:lang w:val="en-US" w:eastAsia="zh-CN"/>
              </w:rPr>
              <w:t>8</w:t>
            </w:r>
          </w:p>
        </w:tc>
        <w:tc>
          <w:tcPr>
            <w:tcW w:w="72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beforeAutospacing="0" w:afterAutospacing="0" w:line="540" w:lineRule="exact"/>
              <w:jc w:val="center"/>
              <w:outlineLvl w:val="9"/>
              <w:rPr>
                <w:rFonts w:ascii="Times New Roman" w:hAnsi="Times New Roman" w:eastAsia="方正仿宋_GBK"/>
                <w:color w:val="auto"/>
              </w:rPr>
            </w:pPr>
            <w:r>
              <w:rPr>
                <w:rFonts w:hint="eastAsia" w:ascii="Times New Roman" w:hAnsi="Times New Roman" w:eastAsia="方正仿宋_GBK"/>
                <w:color w:val="auto"/>
              </w:rPr>
              <w:t>否</w:t>
            </w:r>
          </w:p>
        </w:tc>
      </w:tr>
      <w:tr>
        <w:tblPrEx>
          <w:tblCellMar>
            <w:top w:w="0" w:type="dxa"/>
            <w:left w:w="108" w:type="dxa"/>
            <w:bottom w:w="0" w:type="dxa"/>
            <w:right w:w="108" w:type="dxa"/>
          </w:tblCellMar>
        </w:tblPrEx>
        <w:trPr>
          <w:trHeight w:val="677"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beforeAutospacing="0" w:afterAutospacing="0" w:line="540" w:lineRule="exact"/>
              <w:outlineLvl w:val="9"/>
              <w:rPr>
                <w:rFonts w:ascii="Times New Roman" w:hAnsi="Times New Roman" w:eastAsia="方正仿宋_GBK"/>
                <w:color w:val="auto"/>
              </w:rPr>
            </w:pPr>
            <w:r>
              <w:rPr>
                <w:rFonts w:hint="eastAsia" w:ascii="Times New Roman" w:hAnsi="Times New Roman" w:eastAsia="方正仿宋_GBK"/>
                <w:color w:val="auto"/>
              </w:rPr>
              <w:t>说明</w:t>
            </w:r>
          </w:p>
        </w:tc>
        <w:tc>
          <w:tcPr>
            <w:tcW w:w="8391" w:type="dxa"/>
            <w:gridSpan w:val="17"/>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N/>
              <w:bidi w:val="0"/>
              <w:adjustRightInd/>
              <w:snapToGrid/>
              <w:spacing w:beforeAutospacing="0" w:afterAutospacing="0" w:line="540" w:lineRule="exact"/>
              <w:outlineLvl w:val="9"/>
              <w:rPr>
                <w:rFonts w:ascii="Times New Roman" w:hAnsi="Times New Roman" w:eastAsia="方正仿宋_GBK"/>
                <w:color w:val="auto"/>
              </w:rPr>
            </w:pPr>
            <w:r>
              <w:rPr>
                <w:rFonts w:hint="eastAsia" w:ascii="Times New Roman" w:hAnsi="Times New Roman" w:eastAsia="方正仿宋_GBK"/>
                <w:color w:val="auto"/>
              </w:rPr>
              <w:t>无</w:t>
            </w:r>
          </w:p>
        </w:tc>
      </w:tr>
    </w:tbl>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jc w:val="left"/>
        <w:outlineLvl w:val="9"/>
        <w:rPr>
          <w:rFonts w:hint="eastAsia" w:ascii="方正小标宋_GBK" w:hAnsi="Times New Roman" w:eastAsia="方正小标宋_GBK"/>
          <w:color w:val="auto"/>
          <w:sz w:val="36"/>
          <w:szCs w:val="36"/>
        </w:rPr>
      </w:pPr>
      <w:r>
        <w:rPr>
          <w:rFonts w:hint="eastAsia"/>
          <w:color w:val="auto"/>
        </w:rPr>
        <w:t xml:space="preserve"> </w:t>
      </w:r>
    </w:p>
    <w:p>
      <w:pPr>
        <w:keepNext w:val="0"/>
        <w:keepLines w:val="0"/>
        <w:pageBreakBefore w:val="0"/>
        <w:widowControl/>
        <w:kinsoku/>
        <w:wordWrap/>
        <w:overflowPunct/>
        <w:topLinePunct w:val="0"/>
        <w:autoSpaceDE w:val="0"/>
        <w:autoSpaceDN/>
        <w:bidi w:val="0"/>
        <w:adjustRightInd/>
        <w:snapToGrid/>
        <w:spacing w:beforeAutospacing="0" w:afterAutospacing="0" w:line="240" w:lineRule="exact"/>
        <w:ind w:left="0" w:leftChars="0" w:right="0" w:rightChars="0" w:firstLine="0" w:firstLineChars="0"/>
        <w:jc w:val="center"/>
        <w:outlineLvl w:val="9"/>
        <w:rPr>
          <w:rFonts w:hint="eastAsia" w:ascii="方正小标宋_GBK" w:hAnsi="Times New Roman" w:eastAsia="方正小标宋_GBK"/>
          <w:color w:val="auto"/>
          <w:sz w:val="36"/>
          <w:szCs w:val="36"/>
        </w:rPr>
      </w:pP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_GBK" w:hAnsi="Times New Roman" w:eastAsia="方正小标宋_GBK"/>
          <w:color w:val="auto"/>
          <w:sz w:val="36"/>
          <w:szCs w:val="36"/>
        </w:rPr>
      </w:pPr>
      <w:r>
        <w:rPr>
          <w:rFonts w:hint="eastAsia" w:ascii="方正小标宋_GBK" w:hAnsi="Times New Roman" w:eastAsia="方正小标宋_GBK"/>
          <w:color w:val="auto"/>
          <w:sz w:val="36"/>
          <w:szCs w:val="36"/>
        </w:rPr>
        <w:t>项目绩效自评表</w:t>
      </w:r>
    </w:p>
    <w:tbl>
      <w:tblPr>
        <w:tblStyle w:val="3"/>
        <w:tblW w:w="9258" w:type="dxa"/>
        <w:jc w:val="center"/>
        <w:tblLayout w:type="fixed"/>
        <w:tblCellMar>
          <w:top w:w="0" w:type="dxa"/>
          <w:left w:w="108" w:type="dxa"/>
          <w:bottom w:w="0" w:type="dxa"/>
          <w:right w:w="108" w:type="dxa"/>
        </w:tblCellMar>
      </w:tblPr>
      <w:tblGrid>
        <w:gridCol w:w="868"/>
        <w:gridCol w:w="984"/>
        <w:gridCol w:w="234"/>
        <w:gridCol w:w="835"/>
        <w:gridCol w:w="583"/>
        <w:gridCol w:w="295"/>
        <w:gridCol w:w="391"/>
        <w:gridCol w:w="232"/>
        <w:gridCol w:w="498"/>
        <w:gridCol w:w="847"/>
        <w:gridCol w:w="737"/>
        <w:gridCol w:w="544"/>
        <w:gridCol w:w="88"/>
        <w:gridCol w:w="302"/>
        <w:gridCol w:w="491"/>
        <w:gridCol w:w="84"/>
        <w:gridCol w:w="709"/>
        <w:gridCol w:w="536"/>
      </w:tblGrid>
      <w:tr>
        <w:tblPrEx>
          <w:tblCellMar>
            <w:top w:w="0" w:type="dxa"/>
            <w:left w:w="108" w:type="dxa"/>
            <w:bottom w:w="0" w:type="dxa"/>
            <w:right w:w="108" w:type="dxa"/>
          </w:tblCellMar>
        </w:tblPrEx>
        <w:trPr>
          <w:trHeight w:val="1453" w:hRule="atLeast"/>
          <w:jc w:val="center"/>
        </w:trPr>
        <w:tc>
          <w:tcPr>
            <w:tcW w:w="86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项目</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rPr>
            </w:pPr>
            <w:r>
              <w:rPr>
                <w:rFonts w:hint="eastAsia" w:ascii="Times New Roman" w:hAnsi="Times New Roman" w:eastAsia="方正仿宋_GBK"/>
                <w:color w:val="auto"/>
                <w:sz w:val="24"/>
                <w:szCs w:val="24"/>
              </w:rPr>
              <w:t>名称</w:t>
            </w:r>
          </w:p>
        </w:tc>
        <w:tc>
          <w:tcPr>
            <w:tcW w:w="1218"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lang w:eastAsia="zh-CN"/>
              </w:rPr>
            </w:pPr>
            <w:r>
              <w:rPr>
                <w:rFonts w:hint="eastAsia" w:ascii="Times New Roman" w:hAnsi="Times New Roman" w:eastAsia="方正仿宋_GBK"/>
                <w:color w:val="auto"/>
                <w:lang w:eastAsia="zh-CN"/>
              </w:rPr>
              <w:t>科技型企业知识价值信用贷款风险补偿基金</w:t>
            </w:r>
          </w:p>
        </w:tc>
        <w:tc>
          <w:tcPr>
            <w:tcW w:w="835"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项目</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rPr>
            </w:pPr>
            <w:r>
              <w:rPr>
                <w:rFonts w:hint="eastAsia" w:ascii="Times New Roman" w:hAnsi="Times New Roman" w:eastAsia="方正仿宋_GBK"/>
                <w:color w:val="auto"/>
                <w:sz w:val="24"/>
                <w:szCs w:val="24"/>
              </w:rPr>
              <w:t>编码</w:t>
            </w:r>
          </w:p>
        </w:tc>
        <w:tc>
          <w:tcPr>
            <w:tcW w:w="878"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exact"/>
              <w:ind w:left="0" w:leftChars="0" w:right="0" w:rightChars="0" w:firstLine="0" w:firstLineChars="0"/>
              <w:jc w:val="left"/>
              <w:textAlignment w:val="center"/>
              <w:outlineLvl w:val="9"/>
              <w:rPr>
                <w:rFonts w:hint="eastAsia" w:ascii="Times New Roman" w:hAnsi="Times New Roman" w:eastAsia="方正仿宋_GBK"/>
                <w:color w:val="auto"/>
              </w:rPr>
            </w:pPr>
          </w:p>
        </w:tc>
        <w:tc>
          <w:tcPr>
            <w:tcW w:w="112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rPr>
            </w:pPr>
            <w:r>
              <w:rPr>
                <w:rFonts w:hint="eastAsia" w:ascii="Times New Roman" w:hAnsi="Times New Roman" w:eastAsia="方正仿宋_GBK"/>
                <w:color w:val="auto"/>
              </w:rPr>
              <w:t>自评总分（分）</w:t>
            </w:r>
          </w:p>
        </w:tc>
        <w:tc>
          <w:tcPr>
            <w:tcW w:w="4338" w:type="dxa"/>
            <w:gridSpan w:val="9"/>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99.2</w:t>
            </w:r>
          </w:p>
        </w:tc>
      </w:tr>
      <w:tr>
        <w:tblPrEx>
          <w:tblCellMar>
            <w:top w:w="0" w:type="dxa"/>
            <w:left w:w="108" w:type="dxa"/>
            <w:bottom w:w="0" w:type="dxa"/>
            <w:right w:w="108" w:type="dxa"/>
          </w:tblCellMar>
        </w:tblPrEx>
        <w:trPr>
          <w:trHeight w:val="1020" w:hRule="atLeast"/>
          <w:jc w:val="center"/>
        </w:trPr>
        <w:tc>
          <w:tcPr>
            <w:tcW w:w="868"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主管</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部门</w:t>
            </w:r>
          </w:p>
        </w:tc>
        <w:tc>
          <w:tcPr>
            <w:tcW w:w="1218"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lang w:eastAsia="zh-CN"/>
              </w:rPr>
            </w:pPr>
            <w:r>
              <w:rPr>
                <w:rFonts w:hint="eastAsia" w:ascii="Times New Roman" w:hAnsi="Times New Roman" w:eastAsia="方正仿宋_GBK"/>
                <w:color w:val="auto"/>
              </w:rPr>
              <w:t>重庆市合川区科学技术</w:t>
            </w:r>
            <w:r>
              <w:rPr>
                <w:rFonts w:hint="eastAsia" w:ascii="Times New Roman" w:hAnsi="Times New Roman" w:eastAsia="方正仿宋_GBK"/>
                <w:color w:val="auto"/>
                <w:lang w:eastAsia="zh-CN"/>
              </w:rPr>
              <w:t>局</w:t>
            </w:r>
          </w:p>
        </w:tc>
        <w:tc>
          <w:tcPr>
            <w:tcW w:w="835" w:type="dxa"/>
            <w:tcBorders>
              <w:top w:val="single" w:color="auto"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财政科室</w:t>
            </w:r>
          </w:p>
        </w:tc>
        <w:tc>
          <w:tcPr>
            <w:tcW w:w="878"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行财科</w:t>
            </w:r>
          </w:p>
        </w:tc>
        <w:tc>
          <w:tcPr>
            <w:tcW w:w="1121" w:type="dxa"/>
            <w:gridSpan w:val="3"/>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lang w:eastAsia="zh-CN"/>
              </w:rPr>
            </w:pPr>
            <w:r>
              <w:rPr>
                <w:rFonts w:hint="eastAsia" w:ascii="Times New Roman" w:hAnsi="Times New Roman" w:eastAsia="方正仿宋_GBK"/>
                <w:color w:val="auto"/>
                <w:lang w:eastAsia="zh-CN"/>
              </w:rPr>
              <w:t>项目</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联系人</w:t>
            </w:r>
          </w:p>
        </w:tc>
        <w:tc>
          <w:tcPr>
            <w:tcW w:w="847"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lang w:eastAsia="zh-CN"/>
              </w:rPr>
            </w:pPr>
            <w:r>
              <w:rPr>
                <w:rFonts w:hint="eastAsia" w:ascii="Times New Roman" w:hAnsi="Times New Roman" w:eastAsia="方正仿宋_GBK"/>
                <w:color w:val="auto"/>
                <w:sz w:val="21"/>
                <w:szCs w:val="21"/>
                <w:lang w:eastAsia="zh-CN"/>
              </w:rPr>
              <w:t>林欣</w:t>
            </w:r>
          </w:p>
        </w:tc>
        <w:tc>
          <w:tcPr>
            <w:tcW w:w="12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联系电话</w:t>
            </w:r>
          </w:p>
        </w:tc>
        <w:tc>
          <w:tcPr>
            <w:tcW w:w="2210"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rPr>
              <w:t>42756</w:t>
            </w:r>
            <w:r>
              <w:rPr>
                <w:rFonts w:hint="eastAsia" w:ascii="Times New Roman" w:hAnsi="Times New Roman" w:eastAsia="方正仿宋_GBK"/>
                <w:color w:val="auto"/>
                <w:lang w:val="en-US" w:eastAsia="zh-CN"/>
              </w:rPr>
              <w:t>855</w:t>
            </w:r>
          </w:p>
        </w:tc>
      </w:tr>
      <w:tr>
        <w:tblPrEx>
          <w:tblCellMar>
            <w:top w:w="0" w:type="dxa"/>
            <w:left w:w="108" w:type="dxa"/>
            <w:bottom w:w="0" w:type="dxa"/>
            <w:right w:w="108" w:type="dxa"/>
          </w:tblCellMar>
        </w:tblPrEx>
        <w:trPr>
          <w:trHeight w:val="916" w:hRule="atLeast"/>
          <w:jc w:val="center"/>
        </w:trPr>
        <w:tc>
          <w:tcPr>
            <w:tcW w:w="86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部门预算执行情况</w:t>
            </w:r>
          </w:p>
        </w:tc>
        <w:tc>
          <w:tcPr>
            <w:tcW w:w="984" w:type="dxa"/>
            <w:vMerge w:val="restart"/>
            <w:tcBorders>
              <w:top w:val="nil"/>
              <w:left w:val="nil"/>
              <w:right w:val="nil"/>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预算</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sz w:val="21"/>
                <w:szCs w:val="21"/>
              </w:rPr>
            </w:pPr>
            <w:r>
              <w:rPr>
                <w:rFonts w:hint="eastAsia" w:ascii="Times New Roman" w:hAnsi="Times New Roman" w:eastAsia="方正仿宋_GBK"/>
                <w:color w:val="auto"/>
                <w:sz w:val="21"/>
                <w:szCs w:val="21"/>
              </w:rPr>
              <w:t>资金</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sz w:val="21"/>
                <w:szCs w:val="21"/>
              </w:rPr>
              <w:t>（万元）</w:t>
            </w:r>
          </w:p>
        </w:tc>
        <w:tc>
          <w:tcPr>
            <w:tcW w:w="1069"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年初</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预算数</w:t>
            </w:r>
          </w:p>
        </w:tc>
        <w:tc>
          <w:tcPr>
            <w:tcW w:w="150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全年（调整）</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预算数</w:t>
            </w:r>
          </w:p>
        </w:tc>
        <w:tc>
          <w:tcPr>
            <w:tcW w:w="13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全年执行数</w:t>
            </w:r>
          </w:p>
        </w:tc>
        <w:tc>
          <w:tcPr>
            <w:tcW w:w="12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执行率</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w:t>
            </w:r>
            <w:r>
              <w:rPr>
                <w:rFonts w:ascii="Times New Roman" w:hAnsi="Times New Roman" w:eastAsia="方正仿宋_GBK" w:cs="Times New Roman"/>
                <w:color w:val="auto"/>
              </w:rPr>
              <w:t>%</w:t>
            </w:r>
            <w:r>
              <w:rPr>
                <w:rFonts w:hint="eastAsia" w:ascii="方正仿宋_GBK" w:eastAsia="方正仿宋_GBK"/>
                <w:color w:val="auto"/>
              </w:rPr>
              <w:t>）</w:t>
            </w:r>
          </w:p>
        </w:tc>
        <w:tc>
          <w:tcPr>
            <w:tcW w:w="965" w:type="dxa"/>
            <w:gridSpan w:val="4"/>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执行率</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权重</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执行率</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rPr>
            </w:pPr>
            <w:r>
              <w:rPr>
                <w:rFonts w:hint="eastAsia" w:ascii="Times New Roman" w:hAnsi="Times New Roman" w:eastAsia="方正仿宋_GBK"/>
                <w:color w:val="auto"/>
              </w:rPr>
              <w:t>得分</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（分）</w:t>
            </w:r>
          </w:p>
        </w:tc>
      </w:tr>
      <w:tr>
        <w:tblPrEx>
          <w:tblCellMar>
            <w:top w:w="0" w:type="dxa"/>
            <w:left w:w="108" w:type="dxa"/>
            <w:bottom w:w="0" w:type="dxa"/>
            <w:right w:w="108" w:type="dxa"/>
          </w:tblCellMar>
        </w:tblPrEx>
        <w:trPr>
          <w:trHeight w:val="600" w:hRule="atLeast"/>
          <w:jc w:val="center"/>
        </w:trPr>
        <w:tc>
          <w:tcPr>
            <w:tcW w:w="8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p>
        </w:tc>
        <w:tc>
          <w:tcPr>
            <w:tcW w:w="984" w:type="dxa"/>
            <w:vMerge w:val="continue"/>
            <w:tcBorders>
              <w:top w:val="nil"/>
              <w:left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p>
        </w:tc>
        <w:tc>
          <w:tcPr>
            <w:tcW w:w="106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300</w:t>
            </w:r>
          </w:p>
        </w:tc>
        <w:tc>
          <w:tcPr>
            <w:tcW w:w="150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300</w:t>
            </w:r>
          </w:p>
        </w:tc>
        <w:tc>
          <w:tcPr>
            <w:tcW w:w="1345"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300</w:t>
            </w:r>
          </w:p>
        </w:tc>
        <w:tc>
          <w:tcPr>
            <w:tcW w:w="1281"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lang w:val="en-US" w:eastAsia="zh-CN"/>
              </w:rPr>
              <w:t>100</w:t>
            </w:r>
          </w:p>
        </w:tc>
        <w:tc>
          <w:tcPr>
            <w:tcW w:w="965"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10</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10</w:t>
            </w:r>
          </w:p>
        </w:tc>
      </w:tr>
      <w:tr>
        <w:tblPrEx>
          <w:tblCellMar>
            <w:top w:w="0" w:type="dxa"/>
            <w:left w:w="108" w:type="dxa"/>
            <w:bottom w:w="0" w:type="dxa"/>
            <w:right w:w="108" w:type="dxa"/>
          </w:tblCellMar>
        </w:tblPrEx>
        <w:trPr>
          <w:trHeight w:val="807" w:hRule="atLeast"/>
          <w:jc w:val="center"/>
        </w:trPr>
        <w:tc>
          <w:tcPr>
            <w:tcW w:w="86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当年绩效目标</w:t>
            </w:r>
          </w:p>
        </w:tc>
        <w:tc>
          <w:tcPr>
            <w:tcW w:w="4899" w:type="dxa"/>
            <w:gridSpan w:val="9"/>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年初绩效目标</w:t>
            </w:r>
          </w:p>
        </w:tc>
        <w:tc>
          <w:tcPr>
            <w:tcW w:w="1671"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全年（调整）绩效目标</w:t>
            </w:r>
          </w:p>
        </w:tc>
        <w:tc>
          <w:tcPr>
            <w:tcW w:w="182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全年目标实际完成情况</w:t>
            </w:r>
          </w:p>
        </w:tc>
      </w:tr>
      <w:tr>
        <w:tblPrEx>
          <w:tblCellMar>
            <w:top w:w="0" w:type="dxa"/>
            <w:left w:w="108" w:type="dxa"/>
            <w:bottom w:w="0" w:type="dxa"/>
            <w:right w:w="108" w:type="dxa"/>
          </w:tblCellMar>
        </w:tblPrEx>
        <w:trPr>
          <w:trHeight w:val="2717" w:hRule="atLeast"/>
          <w:jc w:val="center"/>
        </w:trPr>
        <w:tc>
          <w:tcPr>
            <w:tcW w:w="8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p>
        </w:tc>
        <w:tc>
          <w:tcPr>
            <w:tcW w:w="4899" w:type="dxa"/>
            <w:gridSpan w:val="9"/>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r>
              <w:rPr>
                <w:rFonts w:hint="eastAsia" w:ascii="Times New Roman" w:hAnsi="Times New Roman" w:eastAsia="方正仿宋_GBK"/>
                <w:color w:val="auto"/>
              </w:rPr>
              <w:t>为解决科技型中小企业融资难、融资贵的难题，我区于2018年底启动科技型企业知识价值信用贷款改革工作，由市区两级共同设立规模为1亿元的风险补偿基金，首期到位1000万元。截</w:t>
            </w:r>
            <w:r>
              <w:rPr>
                <w:rFonts w:hint="eastAsia" w:ascii="Times New Roman" w:hAnsi="Times New Roman" w:eastAsia="方正仿宋_GBK"/>
                <w:color w:val="auto"/>
                <w:lang w:eastAsia="zh-CN"/>
              </w:rPr>
              <w:t>至</w:t>
            </w:r>
            <w:r>
              <w:rPr>
                <w:rFonts w:hint="eastAsia" w:ascii="Times New Roman" w:hAnsi="Times New Roman" w:eastAsia="方正仿宋_GBK"/>
                <w:color w:val="auto"/>
              </w:rPr>
              <w:t>今年9月15日，4家合作银行已向我区56家科技型企业发放贷款8020万元。</w:t>
            </w:r>
          </w:p>
        </w:tc>
        <w:tc>
          <w:tcPr>
            <w:tcW w:w="1671"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无调整</w:t>
            </w:r>
          </w:p>
        </w:tc>
        <w:tc>
          <w:tcPr>
            <w:tcW w:w="182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已完成</w:t>
            </w:r>
          </w:p>
        </w:tc>
      </w:tr>
      <w:tr>
        <w:tblPrEx>
          <w:tblCellMar>
            <w:top w:w="0" w:type="dxa"/>
            <w:left w:w="108" w:type="dxa"/>
            <w:bottom w:w="0" w:type="dxa"/>
            <w:right w:w="108" w:type="dxa"/>
          </w:tblCellMar>
        </w:tblPrEx>
        <w:trPr>
          <w:trHeight w:val="1960" w:hRule="atLeast"/>
          <w:jc w:val="center"/>
        </w:trPr>
        <w:tc>
          <w:tcPr>
            <w:tcW w:w="86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rPr>
            </w:pPr>
            <w:r>
              <w:rPr>
                <w:rFonts w:hint="eastAsia" w:ascii="Times New Roman" w:hAnsi="Times New Roman" w:eastAsia="方正仿宋_GBK"/>
                <w:color w:val="auto"/>
              </w:rPr>
              <w:t>绩效</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指标</w:t>
            </w:r>
          </w:p>
        </w:tc>
        <w:tc>
          <w:tcPr>
            <w:tcW w:w="2053"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指标</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名称</w:t>
            </w:r>
          </w:p>
        </w:tc>
        <w:tc>
          <w:tcPr>
            <w:tcW w:w="5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计量</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单位</w:t>
            </w:r>
          </w:p>
        </w:tc>
        <w:tc>
          <w:tcPr>
            <w:tcW w:w="68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指标</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性质</w:t>
            </w:r>
          </w:p>
        </w:tc>
        <w:tc>
          <w:tcPr>
            <w:tcW w:w="73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年初</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rPr>
            </w:pPr>
            <w:r>
              <w:rPr>
                <w:rFonts w:hint="eastAsia" w:ascii="Times New Roman" w:hAnsi="Times New Roman" w:eastAsia="方正仿宋_GBK"/>
                <w:color w:val="auto"/>
              </w:rPr>
              <w:t>指标</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值</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调整</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rPr>
            </w:pPr>
            <w:r>
              <w:rPr>
                <w:rFonts w:hint="eastAsia" w:ascii="Times New Roman" w:hAnsi="Times New Roman" w:eastAsia="方正仿宋_GBK"/>
                <w:color w:val="auto"/>
              </w:rPr>
              <w:t>指标</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值</w:t>
            </w:r>
          </w:p>
        </w:tc>
        <w:tc>
          <w:tcPr>
            <w:tcW w:w="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全年</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sz w:val="21"/>
                <w:szCs w:val="21"/>
              </w:rPr>
            </w:pPr>
            <w:r>
              <w:rPr>
                <w:rFonts w:hint="eastAsia" w:ascii="Times New Roman" w:hAnsi="Times New Roman" w:eastAsia="方正仿宋_GBK"/>
                <w:color w:val="auto"/>
                <w:sz w:val="21"/>
                <w:szCs w:val="21"/>
              </w:rPr>
              <w:t>完成</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值</w:t>
            </w:r>
          </w:p>
        </w:tc>
        <w:tc>
          <w:tcPr>
            <w:tcW w:w="6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得分</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sz w:val="21"/>
                <w:szCs w:val="21"/>
              </w:rPr>
            </w:pPr>
            <w:r>
              <w:rPr>
                <w:rFonts w:hint="eastAsia" w:ascii="Times New Roman" w:hAnsi="Times New Roman" w:eastAsia="方正仿宋_GBK"/>
                <w:color w:val="auto"/>
                <w:sz w:val="21"/>
                <w:szCs w:val="21"/>
              </w:rPr>
              <w:t>系数</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w:t>
            </w:r>
            <w:r>
              <w:rPr>
                <w:rFonts w:ascii="Times New Roman" w:hAnsi="Times New Roman" w:eastAsia="方正仿宋_GBK" w:cs="Times New Roman"/>
                <w:color w:val="auto"/>
                <w:sz w:val="21"/>
                <w:szCs w:val="21"/>
              </w:rPr>
              <w:t>%</w:t>
            </w:r>
            <w:r>
              <w:rPr>
                <w:rFonts w:hint="eastAsia" w:ascii="方正仿宋_GBK" w:eastAsia="方正仿宋_GBK"/>
                <w:color w:val="auto"/>
                <w:sz w:val="21"/>
                <w:szCs w:val="21"/>
              </w:rPr>
              <w:t>）</w:t>
            </w:r>
          </w:p>
        </w:tc>
        <w:tc>
          <w:tcPr>
            <w:tcW w:w="79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指标权重</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（分）</w:t>
            </w:r>
          </w:p>
        </w:tc>
        <w:tc>
          <w:tcPr>
            <w:tcW w:w="79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指标</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hint="eastAsia" w:ascii="Times New Roman" w:hAnsi="Times New Roman" w:eastAsia="方正仿宋_GBK"/>
                <w:color w:val="auto"/>
                <w:sz w:val="21"/>
                <w:szCs w:val="21"/>
              </w:rPr>
            </w:pPr>
            <w:r>
              <w:rPr>
                <w:rFonts w:hint="eastAsia" w:ascii="Times New Roman" w:hAnsi="Times New Roman" w:eastAsia="方正仿宋_GBK"/>
                <w:color w:val="auto"/>
                <w:sz w:val="21"/>
                <w:szCs w:val="21"/>
              </w:rPr>
              <w:t>得分</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（分）</w:t>
            </w:r>
          </w:p>
        </w:tc>
        <w:tc>
          <w:tcPr>
            <w:tcW w:w="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是否核心</w:t>
            </w:r>
          </w:p>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sz w:val="21"/>
                <w:szCs w:val="21"/>
              </w:rPr>
            </w:pPr>
            <w:r>
              <w:rPr>
                <w:rFonts w:hint="eastAsia" w:ascii="Times New Roman" w:hAnsi="Times New Roman" w:eastAsia="方正仿宋_GBK"/>
                <w:color w:val="auto"/>
                <w:sz w:val="21"/>
                <w:szCs w:val="21"/>
              </w:rPr>
              <w:t>指标</w:t>
            </w:r>
          </w:p>
        </w:tc>
      </w:tr>
      <w:tr>
        <w:tblPrEx>
          <w:tblCellMar>
            <w:top w:w="0" w:type="dxa"/>
            <w:left w:w="108" w:type="dxa"/>
            <w:bottom w:w="0" w:type="dxa"/>
            <w:right w:w="108" w:type="dxa"/>
          </w:tblCellMar>
        </w:tblPrEx>
        <w:trPr>
          <w:trHeight w:val="722" w:hRule="atLeast"/>
          <w:jc w:val="center"/>
        </w:trPr>
        <w:tc>
          <w:tcPr>
            <w:tcW w:w="8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p>
        </w:tc>
        <w:tc>
          <w:tcPr>
            <w:tcW w:w="2053" w:type="dxa"/>
            <w:gridSpan w:val="3"/>
            <w:tcBorders>
              <w:top w:val="nil"/>
              <w:left w:val="nil"/>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20"/>
                <w:szCs w:val="20"/>
              </w:rPr>
              <w:t xml:space="preserve">实际完成数（户数） </w:t>
            </w:r>
          </w:p>
        </w:tc>
        <w:tc>
          <w:tcPr>
            <w:tcW w:w="583"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eastAsia" w:ascii="Times New Roman" w:hAnsi="Times New Roman" w:eastAsia="方正仿宋_GBK"/>
                <w:color w:val="auto"/>
                <w:lang w:eastAsia="zh-CN"/>
              </w:rPr>
            </w:pPr>
            <w:r>
              <w:rPr>
                <w:rFonts w:hint="eastAsia" w:ascii="Times New Roman" w:hAnsi="Times New Roman" w:eastAsia="方正仿宋_GBK"/>
                <w:color w:val="auto"/>
                <w:lang w:eastAsia="zh-CN"/>
              </w:rPr>
              <w:t>户</w:t>
            </w:r>
          </w:p>
        </w:tc>
        <w:tc>
          <w:tcPr>
            <w:tcW w:w="68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20"/>
                <w:szCs w:val="20"/>
              </w:rPr>
              <w:t>≥</w:t>
            </w:r>
          </w:p>
        </w:tc>
        <w:tc>
          <w:tcPr>
            <w:tcW w:w="73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18"/>
                <w:szCs w:val="18"/>
              </w:rPr>
              <w:t>50</w:t>
            </w:r>
          </w:p>
        </w:tc>
        <w:tc>
          <w:tcPr>
            <w:tcW w:w="847"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50</w:t>
            </w:r>
          </w:p>
        </w:tc>
        <w:tc>
          <w:tcPr>
            <w:tcW w:w="737"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95</w:t>
            </w:r>
          </w:p>
        </w:tc>
        <w:tc>
          <w:tcPr>
            <w:tcW w:w="632"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color w:val="auto"/>
                <w:sz w:val="20"/>
                <w:szCs w:val="20"/>
              </w:rPr>
            </w:pPr>
            <w:r>
              <w:rPr>
                <w:rFonts w:hint="eastAsia"/>
                <w:color w:val="auto"/>
                <w:sz w:val="18"/>
                <w:szCs w:val="18"/>
              </w:rPr>
              <w:t>100</w:t>
            </w:r>
          </w:p>
        </w:tc>
        <w:tc>
          <w:tcPr>
            <w:tcW w:w="79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eastAsia="宋体"/>
                <w:color w:val="auto"/>
                <w:sz w:val="20"/>
                <w:szCs w:val="20"/>
                <w:lang w:val="en-US" w:eastAsia="zh-CN"/>
              </w:rPr>
            </w:pPr>
            <w:r>
              <w:rPr>
                <w:rFonts w:hint="eastAsia"/>
                <w:color w:val="auto"/>
                <w:sz w:val="18"/>
                <w:szCs w:val="18"/>
                <w:lang w:val="en-US" w:eastAsia="zh-CN"/>
              </w:rPr>
              <w:t>40</w:t>
            </w:r>
          </w:p>
        </w:tc>
        <w:tc>
          <w:tcPr>
            <w:tcW w:w="79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宋体"/>
                <w:color w:val="auto"/>
                <w:lang w:val="en-US" w:eastAsia="zh-CN"/>
              </w:rPr>
            </w:pPr>
            <w:r>
              <w:rPr>
                <w:rFonts w:hint="eastAsia"/>
                <w:color w:val="auto"/>
                <w:sz w:val="18"/>
                <w:szCs w:val="18"/>
                <w:lang w:val="en-US" w:eastAsia="zh-CN"/>
              </w:rPr>
              <w:t>40</w:t>
            </w:r>
          </w:p>
        </w:tc>
        <w:tc>
          <w:tcPr>
            <w:tcW w:w="536"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outlineLvl w:val="9"/>
              <w:rPr>
                <w:rFonts w:ascii="Times New Roman" w:hAnsi="Times New Roman" w:eastAsia="方正仿宋_GBK"/>
                <w:color w:val="auto"/>
              </w:rPr>
            </w:pPr>
            <w:r>
              <w:rPr>
                <w:rFonts w:hint="eastAsia" w:ascii="Times New Roman" w:hAnsi="Times New Roman" w:eastAsia="方正仿宋_GBK"/>
                <w:color w:val="auto"/>
              </w:rPr>
              <w:t>是</w:t>
            </w:r>
          </w:p>
        </w:tc>
      </w:tr>
      <w:tr>
        <w:tblPrEx>
          <w:tblCellMar>
            <w:top w:w="0" w:type="dxa"/>
            <w:left w:w="108" w:type="dxa"/>
            <w:bottom w:w="0" w:type="dxa"/>
            <w:right w:w="108" w:type="dxa"/>
          </w:tblCellMar>
        </w:tblPrEx>
        <w:trPr>
          <w:trHeight w:val="554" w:hRule="atLeast"/>
          <w:jc w:val="center"/>
        </w:trPr>
        <w:tc>
          <w:tcPr>
            <w:tcW w:w="8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p>
        </w:tc>
        <w:tc>
          <w:tcPr>
            <w:tcW w:w="2053" w:type="dxa"/>
            <w:gridSpan w:val="3"/>
            <w:tcBorders>
              <w:top w:val="nil"/>
              <w:left w:val="nil"/>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20"/>
                <w:szCs w:val="20"/>
              </w:rPr>
              <w:t>知识价值信用贷款额（万元）</w:t>
            </w:r>
          </w:p>
        </w:tc>
        <w:tc>
          <w:tcPr>
            <w:tcW w:w="583"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eastAsia" w:ascii="Times New Roman" w:hAnsi="Times New Roman" w:eastAsia="方正仿宋_GBK"/>
                <w:color w:val="auto"/>
                <w:lang w:eastAsia="zh-CN"/>
              </w:rPr>
            </w:pPr>
            <w:r>
              <w:rPr>
                <w:rFonts w:hint="eastAsia" w:eastAsia="方正仿宋_GBK"/>
                <w:color w:val="auto"/>
                <w:sz w:val="20"/>
                <w:szCs w:val="20"/>
                <w:lang w:eastAsia="zh-CN"/>
              </w:rPr>
              <w:t>万元</w:t>
            </w:r>
          </w:p>
        </w:tc>
        <w:tc>
          <w:tcPr>
            <w:tcW w:w="68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20"/>
                <w:szCs w:val="20"/>
              </w:rPr>
              <w:t>≥</w:t>
            </w:r>
          </w:p>
        </w:tc>
        <w:tc>
          <w:tcPr>
            <w:tcW w:w="73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10000</w:t>
            </w:r>
          </w:p>
        </w:tc>
        <w:tc>
          <w:tcPr>
            <w:tcW w:w="847"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ascii="宋体" w:hAnsi="宋体" w:eastAsia="方正仿宋_GBK"/>
                <w:color w:val="auto"/>
                <w:sz w:val="18"/>
                <w:szCs w:val="18"/>
                <w:lang w:val="en-US" w:eastAsia="zh-CN"/>
              </w:rPr>
              <w:t>10000</w:t>
            </w:r>
          </w:p>
        </w:tc>
        <w:tc>
          <w:tcPr>
            <w:tcW w:w="737"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16840.60</w:t>
            </w:r>
          </w:p>
        </w:tc>
        <w:tc>
          <w:tcPr>
            <w:tcW w:w="632"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color w:val="auto"/>
                <w:sz w:val="20"/>
                <w:szCs w:val="20"/>
              </w:rPr>
            </w:pPr>
            <w:r>
              <w:rPr>
                <w:rFonts w:hint="eastAsia"/>
                <w:color w:val="auto"/>
                <w:sz w:val="18"/>
                <w:szCs w:val="18"/>
              </w:rPr>
              <w:t>100</w:t>
            </w:r>
          </w:p>
        </w:tc>
        <w:tc>
          <w:tcPr>
            <w:tcW w:w="79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color w:val="auto"/>
                <w:sz w:val="20"/>
                <w:szCs w:val="20"/>
                <w:lang w:val="en-US"/>
              </w:rPr>
            </w:pPr>
            <w:r>
              <w:rPr>
                <w:rFonts w:hint="eastAsia"/>
                <w:color w:val="auto"/>
                <w:sz w:val="18"/>
                <w:szCs w:val="18"/>
                <w:lang w:val="en-US" w:eastAsia="zh-CN"/>
              </w:rPr>
              <w:t>30</w:t>
            </w:r>
          </w:p>
        </w:tc>
        <w:tc>
          <w:tcPr>
            <w:tcW w:w="79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18"/>
                <w:szCs w:val="18"/>
                <w:lang w:val="en-US" w:eastAsia="zh-CN"/>
              </w:rPr>
              <w:t>40</w:t>
            </w:r>
          </w:p>
        </w:tc>
        <w:tc>
          <w:tcPr>
            <w:tcW w:w="536"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ascii="Times New Roman" w:hAnsi="Times New Roman" w:eastAsia="方正仿宋_GBK"/>
                <w:color w:val="auto"/>
              </w:rPr>
              <w:t>是</w:t>
            </w:r>
          </w:p>
        </w:tc>
      </w:tr>
      <w:tr>
        <w:tblPrEx>
          <w:tblCellMar>
            <w:top w:w="0" w:type="dxa"/>
            <w:left w:w="108" w:type="dxa"/>
            <w:bottom w:w="0" w:type="dxa"/>
            <w:right w:w="108" w:type="dxa"/>
          </w:tblCellMar>
        </w:tblPrEx>
        <w:trPr>
          <w:trHeight w:val="600" w:hRule="atLeast"/>
          <w:jc w:val="center"/>
        </w:trPr>
        <w:tc>
          <w:tcPr>
            <w:tcW w:w="8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p>
        </w:tc>
        <w:tc>
          <w:tcPr>
            <w:tcW w:w="2053" w:type="dxa"/>
            <w:gridSpan w:val="3"/>
            <w:tcBorders>
              <w:top w:val="nil"/>
              <w:left w:val="nil"/>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20"/>
                <w:szCs w:val="20"/>
              </w:rPr>
              <w:t>引导商业贷款额（万元）</w:t>
            </w:r>
          </w:p>
        </w:tc>
        <w:tc>
          <w:tcPr>
            <w:tcW w:w="583"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20"/>
                <w:szCs w:val="20"/>
              </w:rPr>
              <w:t>次</w:t>
            </w:r>
          </w:p>
        </w:tc>
        <w:tc>
          <w:tcPr>
            <w:tcW w:w="68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ascii="方正仿宋_GBK" w:hAnsi="方正仿宋_GBK" w:eastAsia="方正仿宋_GBK" w:cs="方正仿宋_GBK"/>
                <w:color w:val="auto"/>
                <w:lang w:eastAsia="zh-CN"/>
              </w:rPr>
              <w:t>=</w:t>
            </w:r>
          </w:p>
        </w:tc>
        <w:tc>
          <w:tcPr>
            <w:tcW w:w="73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10000</w:t>
            </w:r>
          </w:p>
        </w:tc>
        <w:tc>
          <w:tcPr>
            <w:tcW w:w="847"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10000</w:t>
            </w:r>
          </w:p>
        </w:tc>
        <w:tc>
          <w:tcPr>
            <w:tcW w:w="737"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14388.60</w:t>
            </w:r>
          </w:p>
        </w:tc>
        <w:tc>
          <w:tcPr>
            <w:tcW w:w="632"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color w:val="auto"/>
                <w:sz w:val="20"/>
                <w:szCs w:val="20"/>
              </w:rPr>
            </w:pPr>
            <w:r>
              <w:rPr>
                <w:rFonts w:hint="eastAsia"/>
                <w:color w:val="auto"/>
                <w:sz w:val="18"/>
                <w:szCs w:val="18"/>
              </w:rPr>
              <w:t>100</w:t>
            </w:r>
          </w:p>
        </w:tc>
        <w:tc>
          <w:tcPr>
            <w:tcW w:w="79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eastAsia="宋体"/>
                <w:color w:val="auto"/>
                <w:sz w:val="20"/>
                <w:szCs w:val="20"/>
                <w:lang w:val="en-US" w:eastAsia="zh-CN"/>
              </w:rPr>
            </w:pPr>
            <w:r>
              <w:rPr>
                <w:rFonts w:hint="eastAsia"/>
                <w:color w:val="auto"/>
                <w:sz w:val="18"/>
                <w:szCs w:val="18"/>
                <w:lang w:val="en-US" w:eastAsia="zh-CN"/>
              </w:rPr>
              <w:t>10</w:t>
            </w:r>
          </w:p>
        </w:tc>
        <w:tc>
          <w:tcPr>
            <w:tcW w:w="79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10</w:t>
            </w:r>
          </w:p>
        </w:tc>
        <w:tc>
          <w:tcPr>
            <w:tcW w:w="536"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ascii="Times New Roman" w:hAnsi="Times New Roman" w:eastAsia="方正仿宋_GBK"/>
                <w:color w:val="auto"/>
              </w:rPr>
              <w:t>否</w:t>
            </w:r>
          </w:p>
        </w:tc>
      </w:tr>
      <w:tr>
        <w:tblPrEx>
          <w:tblCellMar>
            <w:top w:w="0" w:type="dxa"/>
            <w:left w:w="108" w:type="dxa"/>
            <w:bottom w:w="0" w:type="dxa"/>
            <w:right w:w="108" w:type="dxa"/>
          </w:tblCellMar>
        </w:tblPrEx>
        <w:trPr>
          <w:trHeight w:val="525" w:hRule="atLeast"/>
          <w:jc w:val="center"/>
        </w:trPr>
        <w:tc>
          <w:tcPr>
            <w:tcW w:w="8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p>
        </w:tc>
        <w:tc>
          <w:tcPr>
            <w:tcW w:w="2053" w:type="dxa"/>
            <w:gridSpan w:val="3"/>
            <w:tcBorders>
              <w:top w:val="nil"/>
              <w:left w:val="nil"/>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18"/>
                <w:szCs w:val="18"/>
              </w:rPr>
              <w:t>满意度</w:t>
            </w:r>
          </w:p>
        </w:tc>
        <w:tc>
          <w:tcPr>
            <w:tcW w:w="583"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20"/>
                <w:szCs w:val="20"/>
              </w:rPr>
              <w:t>%</w:t>
            </w:r>
          </w:p>
        </w:tc>
        <w:tc>
          <w:tcPr>
            <w:tcW w:w="686"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ascii="Times New Roman" w:hAnsi="Times New Roman" w:eastAsia="方正仿宋_GBK"/>
                <w:color w:val="auto"/>
              </w:rPr>
            </w:pPr>
            <w:r>
              <w:rPr>
                <w:rFonts w:hint="eastAsia"/>
                <w:color w:val="auto"/>
                <w:sz w:val="20"/>
                <w:szCs w:val="20"/>
              </w:rPr>
              <w:t>≥</w:t>
            </w:r>
          </w:p>
        </w:tc>
        <w:tc>
          <w:tcPr>
            <w:tcW w:w="73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100</w:t>
            </w:r>
          </w:p>
        </w:tc>
        <w:tc>
          <w:tcPr>
            <w:tcW w:w="847"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100</w:t>
            </w:r>
          </w:p>
        </w:tc>
        <w:tc>
          <w:tcPr>
            <w:tcW w:w="737"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92</w:t>
            </w:r>
          </w:p>
        </w:tc>
        <w:tc>
          <w:tcPr>
            <w:tcW w:w="632"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eastAsia="宋体"/>
                <w:color w:val="auto"/>
                <w:sz w:val="20"/>
                <w:szCs w:val="20"/>
                <w:lang w:val="en-US" w:eastAsia="zh-CN"/>
              </w:rPr>
            </w:pPr>
            <w:r>
              <w:rPr>
                <w:rFonts w:hint="eastAsia"/>
                <w:color w:val="auto"/>
                <w:sz w:val="18"/>
                <w:szCs w:val="18"/>
                <w:lang w:val="en-US" w:eastAsia="zh-CN"/>
              </w:rPr>
              <w:t>92</w:t>
            </w:r>
          </w:p>
        </w:tc>
        <w:tc>
          <w:tcPr>
            <w:tcW w:w="79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eastAsia="宋体"/>
                <w:color w:val="auto"/>
                <w:sz w:val="20"/>
                <w:szCs w:val="20"/>
                <w:lang w:val="en-US" w:eastAsia="zh-CN"/>
              </w:rPr>
            </w:pPr>
            <w:r>
              <w:rPr>
                <w:rFonts w:hint="eastAsia"/>
                <w:color w:val="auto"/>
                <w:sz w:val="18"/>
                <w:szCs w:val="18"/>
                <w:lang w:val="en-US" w:eastAsia="zh-CN"/>
              </w:rPr>
              <w:t>10</w:t>
            </w:r>
          </w:p>
        </w:tc>
        <w:tc>
          <w:tcPr>
            <w:tcW w:w="793"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jc w:val="center"/>
              <w:textAlignment w:val="center"/>
              <w:outlineLvl w:val="9"/>
              <w:rPr>
                <w:rFonts w:hint="default" w:ascii="Times New Roman" w:hAnsi="Times New Roman" w:eastAsia="方正仿宋_GBK"/>
                <w:color w:val="auto"/>
                <w:lang w:val="en-US" w:eastAsia="zh-CN"/>
              </w:rPr>
            </w:pPr>
            <w:r>
              <w:rPr>
                <w:rFonts w:hint="eastAsia" w:eastAsia="方正仿宋_GBK"/>
                <w:color w:val="auto"/>
                <w:sz w:val="18"/>
                <w:szCs w:val="18"/>
                <w:lang w:val="en-US" w:eastAsia="zh-CN"/>
              </w:rPr>
              <w:t>9.2</w:t>
            </w:r>
          </w:p>
        </w:tc>
        <w:tc>
          <w:tcPr>
            <w:tcW w:w="5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r>
              <w:rPr>
                <w:rFonts w:hint="eastAsia" w:ascii="Times New Roman" w:hAnsi="Times New Roman" w:eastAsia="方正仿宋_GBK"/>
                <w:color w:val="auto"/>
              </w:rPr>
              <w:t>否</w:t>
            </w:r>
          </w:p>
        </w:tc>
      </w:tr>
      <w:tr>
        <w:tblPrEx>
          <w:tblCellMar>
            <w:top w:w="0" w:type="dxa"/>
            <w:left w:w="108" w:type="dxa"/>
            <w:bottom w:w="0" w:type="dxa"/>
            <w:right w:w="108" w:type="dxa"/>
          </w:tblCellMar>
        </w:tblPrEx>
        <w:trPr>
          <w:trHeight w:val="47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r>
              <w:rPr>
                <w:rFonts w:hint="eastAsia" w:ascii="Times New Roman" w:hAnsi="Times New Roman" w:eastAsia="方正仿宋_GBK"/>
                <w:color w:val="auto"/>
              </w:rPr>
              <w:t>说明</w:t>
            </w:r>
          </w:p>
        </w:tc>
        <w:tc>
          <w:tcPr>
            <w:tcW w:w="8390" w:type="dxa"/>
            <w:gridSpan w:val="17"/>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240" w:lineRule="exact"/>
              <w:ind w:left="0" w:leftChars="0" w:right="0" w:rightChars="0" w:firstLine="0" w:firstLineChars="0"/>
              <w:outlineLvl w:val="9"/>
              <w:rPr>
                <w:rFonts w:ascii="Times New Roman" w:hAnsi="Times New Roman" w:eastAsia="方正仿宋_GBK"/>
                <w:color w:val="auto"/>
              </w:rPr>
            </w:pPr>
          </w:p>
        </w:tc>
      </w:tr>
    </w:tbl>
    <w:p>
      <w:pPr>
        <w:widowControl w:val="0"/>
        <w:autoSpaceDE w:val="0"/>
        <w:ind w:firstLine="0" w:firstLineChars="0"/>
        <w:jc w:val="both"/>
        <w:rPr>
          <w:rFonts w:hint="eastAsia" w:ascii="方正仿宋_GBK" w:eastAsia="方正仿宋_GBK"/>
          <w:color w:val="000000"/>
          <w:sz w:val="32"/>
          <w:szCs w:val="32"/>
        </w:rPr>
      </w:pPr>
    </w:p>
    <w:p>
      <w:pPr>
        <w:pStyle w:val="2"/>
        <w:autoSpaceDE w:val="0"/>
        <w:spacing w:before="93" w:beforeLines="30" w:beforeAutospacing="0" w:after="93" w:afterLines="30" w:afterAutospacing="0"/>
        <w:rPr>
          <w:rStyle w:val="5"/>
          <w:rFonts w:hint="eastAsia" w:ascii="方正楷体_GBK" w:eastAsia="方正楷体_GBK"/>
          <w:b w:val="0"/>
          <w:bCs w:val="0"/>
          <w:shd w:val="clear" w:color="auto" w:fill="FFFFFF"/>
        </w:rPr>
      </w:pPr>
      <w:r>
        <w:rPr>
          <w:rStyle w:val="5"/>
          <w:rFonts w:hint="eastAsia" w:ascii="方正楷体_GBK" w:eastAsia="方正楷体_GBK"/>
          <w:b w:val="0"/>
          <w:bCs w:val="0"/>
          <w:sz w:val="32"/>
          <w:szCs w:val="32"/>
          <w:shd w:val="clear" w:color="auto" w:fill="FFFFFF"/>
        </w:rPr>
        <w:t>（三）重点绩效评价结果</w:t>
      </w:r>
    </w:p>
    <w:p>
      <w:pPr>
        <w:pStyle w:val="2"/>
        <w:spacing w:before="0" w:beforeAutospacing="0"/>
        <w:ind w:firstLine="640" w:firstLineChars="200"/>
        <w:rPr>
          <w:rFonts w:hint="eastAsia" w:ascii="方正仿宋_GBK" w:eastAsia="方正仿宋_GBK"/>
          <w:color w:val="000000"/>
        </w:rPr>
      </w:pPr>
      <w:r>
        <w:rPr>
          <w:rFonts w:hint="eastAsia" w:ascii="方正仿宋_GBK" w:eastAsia="方正仿宋_GBK"/>
          <w:color w:val="000000"/>
          <w:sz w:val="32"/>
          <w:szCs w:val="32"/>
        </w:rPr>
        <w:t>我局未进行重点绩效评价。</w:t>
      </w:r>
    </w:p>
    <w:p>
      <w:pPr>
        <w:pStyle w:val="2"/>
        <w:spacing w:before="0" w:beforeAutospacing="0"/>
        <w:rPr>
          <w:rFonts w:hint="eastAsia" w:ascii="方正黑体_GBK" w:eastAsia="方正黑体_GBK"/>
          <w:sz w:val="32"/>
          <w:szCs w:val="32"/>
        </w:rPr>
      </w:pPr>
      <w:r>
        <w:rPr>
          <w:rStyle w:val="5"/>
          <w:rFonts w:hint="eastAsia" w:ascii="方正黑体_GBK" w:eastAsia="方正黑体_GBK"/>
          <w:b w:val="0"/>
          <w:bCs w:val="0"/>
          <w:sz w:val="32"/>
          <w:szCs w:val="32"/>
          <w:shd w:val="clear" w:color="auto" w:fill="FFFFFF"/>
        </w:rPr>
        <w:t>六、专业名词解释</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（一）财政拨款收入：</w:t>
      </w:r>
      <w:r>
        <w:rPr>
          <w:rFonts w:hint="eastAsia" w:ascii="方正仿宋_GBK" w:eastAsia="方正仿宋_GBK"/>
          <w:color w:val="000000"/>
          <w:sz w:val="32"/>
          <w:szCs w:val="32"/>
        </w:rPr>
        <w:t>指本年度从本级财政部门取得的财政拨款，包括一般公共预算财政拨款和政府性基金预算财政拨款。</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（二）事业收入：</w:t>
      </w:r>
      <w:r>
        <w:rPr>
          <w:rFonts w:hint="eastAsia" w:ascii="方正仿宋_GBK" w:eastAsia="方正仿宋_GBK"/>
          <w:color w:val="000000"/>
          <w:sz w:val="32"/>
          <w:szCs w:val="32"/>
        </w:rPr>
        <w:t>指事业单位开展专业业务活动及其辅助活动取得的现金流入；事业单位收到的财政专户实际核拨的教育收费等资金在此反映。</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（三）经营收入：</w:t>
      </w:r>
      <w:r>
        <w:rPr>
          <w:rFonts w:hint="eastAsia" w:ascii="方正仿宋_GBK" w:eastAsia="方正仿宋_GBK"/>
          <w:color w:val="000000"/>
          <w:sz w:val="32"/>
          <w:szCs w:val="32"/>
        </w:rPr>
        <w:t>指事业单位在专业业务活动及其辅助活动之外开展非独立核算经营活动取得的现金流入。</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（四）其他收入：</w:t>
      </w:r>
      <w:r>
        <w:rPr>
          <w:rFonts w:hint="eastAsia" w:ascii="方正仿宋_GBK" w:eastAsia="方正仿宋_GBK"/>
          <w:color w:val="00000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（五）使用非财政拨款结余：</w:t>
      </w:r>
      <w:r>
        <w:rPr>
          <w:rFonts w:hint="eastAsia" w:ascii="方正仿宋_GBK" w:eastAsia="方正仿宋_GBK"/>
          <w:color w:val="000000"/>
          <w:sz w:val="32"/>
          <w:szCs w:val="32"/>
        </w:rPr>
        <w:t>指单位在当年的“财政拨款收入”、“事业收入”、“经营收入”、“其他收入”等不足以安排当年支出的情况下，使用以前年度积累的非财政拨款结余弥补本年度收支缺口的资金。</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（六）年初结转和结余：</w:t>
      </w:r>
      <w:r>
        <w:rPr>
          <w:rFonts w:hint="eastAsia" w:ascii="方正仿宋_GBK" w:eastAsia="方正仿宋_GBK"/>
          <w:color w:val="000000"/>
          <w:sz w:val="32"/>
          <w:szCs w:val="32"/>
        </w:rPr>
        <w:t>指单位上年结转本年使用的基本支出结转、项目支出结转和结余、经营结余。</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（七）结余分配：</w:t>
      </w:r>
      <w:r>
        <w:rPr>
          <w:rFonts w:hint="eastAsia" w:ascii="方正仿宋_GBK" w:eastAsia="方正仿宋_GBK"/>
          <w:color w:val="000000"/>
          <w:sz w:val="32"/>
          <w:szCs w:val="32"/>
        </w:rPr>
        <w:t>指单位按照国家有关规定，缴纳所得税、提取专用基金、转入非财政拨款结余等当年结余的分配情况。</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（八）年末结转和结余：</w:t>
      </w:r>
      <w:r>
        <w:rPr>
          <w:rFonts w:hint="eastAsia" w:ascii="方正仿宋_GBK" w:eastAsia="方正仿宋_GBK"/>
          <w:color w:val="000000"/>
          <w:sz w:val="32"/>
          <w:szCs w:val="32"/>
        </w:rPr>
        <w:t>指单位结转下年的基本支出结转、项目支出结转和结余、经营结余。</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（九）基本支出：</w:t>
      </w:r>
      <w:r>
        <w:rPr>
          <w:rFonts w:hint="eastAsia" w:ascii="方正仿宋_GBK" w:eastAsia="方正仿宋_GBK"/>
          <w:color w:val="00000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（十）项目支出：</w:t>
      </w:r>
      <w:r>
        <w:rPr>
          <w:rFonts w:hint="eastAsia" w:ascii="方正仿宋_GBK" w:eastAsia="方正仿宋_GBK"/>
          <w:color w:val="000000"/>
          <w:sz w:val="32"/>
          <w:szCs w:val="32"/>
        </w:rPr>
        <w:t>指在基本支出之外为完成特定行政任务和事业发展目标所发生的支出。</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（十一）经营支出：</w:t>
      </w:r>
      <w:r>
        <w:rPr>
          <w:rFonts w:hint="eastAsia" w:ascii="方正仿宋_GBK" w:eastAsia="方正仿宋_GBK"/>
          <w:color w:val="000000"/>
          <w:sz w:val="32"/>
          <w:szCs w:val="32"/>
        </w:rPr>
        <w:t>指事业单位在专业业务活动及其辅助活动之外开展非独立核算经营活动发生的支出。</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（十二）“三公”经费：</w:t>
      </w:r>
      <w:r>
        <w:rPr>
          <w:rFonts w:hint="eastAsia" w:ascii="方正仿宋_GBK" w:eastAsia="方正仿宋_GBK"/>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（十三）机关运行经费：</w:t>
      </w:r>
      <w:r>
        <w:rPr>
          <w:rFonts w:hint="eastAsia" w:ascii="方正仿宋_GBK" w:eastAsia="方正仿宋_GBK"/>
          <w:color w:val="000000"/>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（十四）工资福利支出（支出经济分类科目类级）：</w:t>
      </w:r>
      <w:r>
        <w:rPr>
          <w:rFonts w:hint="eastAsia" w:ascii="方正仿宋_GBK" w:eastAsia="方正仿宋_GBK"/>
          <w:color w:val="000000"/>
          <w:sz w:val="32"/>
          <w:szCs w:val="32"/>
        </w:rPr>
        <w:t>反映单位开支的在职职工和编制外长期聘用人员的各类劳动报酬，以及为上述人员缴纳的各项社会保险费等。</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（十五）商品和服务支出（支出经济分类科目类级）：</w:t>
      </w:r>
      <w:r>
        <w:rPr>
          <w:rFonts w:hint="eastAsia" w:ascii="方正仿宋_GBK" w:eastAsia="方正仿宋_GBK"/>
          <w:color w:val="000000"/>
          <w:sz w:val="32"/>
          <w:szCs w:val="32"/>
        </w:rPr>
        <w:t>反映单位购买商品和服务的支出（不包括用于购置固定资产的支出、战略性和应急储备支出）。</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（十六）对个人和家庭的补助（支出经济分类科目类级）：</w:t>
      </w:r>
      <w:r>
        <w:rPr>
          <w:rFonts w:hint="eastAsia" w:ascii="方正仿宋_GBK" w:eastAsia="方正仿宋_GBK"/>
          <w:color w:val="000000"/>
          <w:sz w:val="32"/>
          <w:szCs w:val="32"/>
        </w:rPr>
        <w:t>反映用于对个人和家庭的补助支出。</w:t>
      </w:r>
    </w:p>
    <w:p>
      <w:pPr>
        <w:pStyle w:val="2"/>
        <w:spacing w:before="0" w:beforeAutospacing="0"/>
        <w:ind w:firstLine="642"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（十七）其他资本性支出（支出经济分类科目类级）：</w:t>
      </w:r>
      <w:r>
        <w:rPr>
          <w:rFonts w:hint="eastAsia" w:ascii="方正仿宋_GBK" w:eastAsia="方正仿宋_GBK"/>
          <w:color w:val="000000"/>
          <w:sz w:val="32"/>
          <w:szCs w:val="32"/>
        </w:rPr>
        <w:t>反映非各级发展与改革部门集中安排的用于购置固定资产、战略性和应急性储备、土地和无形资产，以及构建基础设施、大型修缮和财政支持企业更新改造所发生的支出。</w:t>
      </w:r>
    </w:p>
    <w:p>
      <w:pPr>
        <w:pStyle w:val="2"/>
        <w:spacing w:before="0" w:beforeAutospacing="0"/>
        <w:rPr>
          <w:rFonts w:hint="eastAsia" w:ascii="方正黑体_GBK" w:eastAsia="方正黑体_GBK"/>
          <w:color w:val="000000"/>
          <w:sz w:val="32"/>
          <w:szCs w:val="32"/>
        </w:rPr>
      </w:pPr>
      <w:r>
        <w:rPr>
          <w:rFonts w:hint="eastAsia" w:ascii="方正黑体_GBK" w:eastAsia="方正黑体_GBK"/>
          <w:color w:val="000000"/>
          <w:sz w:val="32"/>
          <w:szCs w:val="32"/>
        </w:rPr>
        <w:t>七、决算公开联系方式及信息反馈渠道</w:t>
      </w:r>
    </w:p>
    <w:p>
      <w:pPr>
        <w:pStyle w:val="2"/>
        <w:spacing w:before="0" w:beforeAutospacing="0"/>
        <w:ind w:firstLine="640" w:firstLineChars="200"/>
        <w:rPr>
          <w:rFonts w:hint="default" w:ascii="方正仿宋_GBK" w:eastAsia="方正仿宋_GBK"/>
          <w:color w:val="000000"/>
          <w:sz w:val="32"/>
          <w:szCs w:val="32"/>
          <w:lang w:val="en-US" w:eastAsia="zh-CN"/>
        </w:rPr>
        <w:sectPr>
          <w:pgSz w:w="11915" w:h="16851"/>
          <w:pgMar w:top="1440" w:right="1800" w:bottom="1440" w:left="1800" w:header="851" w:footer="992" w:gutter="0"/>
          <w:cols w:space="720" w:num="1"/>
          <w:docGrid w:type="lines" w:linePitch="312" w:charSpace="0"/>
        </w:sectPr>
      </w:pPr>
      <w:r>
        <w:rPr>
          <w:rFonts w:hint="eastAsia" w:ascii="方正仿宋_GBK" w:eastAsia="方正仿宋_GBK"/>
          <w:color w:val="000000"/>
          <w:sz w:val="32"/>
          <w:szCs w:val="32"/>
        </w:rPr>
        <w:t>本单位决算公开信息反馈和联系方式：区科技局办公室谭颖：023-427568</w:t>
      </w:r>
      <w:r>
        <w:rPr>
          <w:rFonts w:hint="eastAsia" w:ascii="方正仿宋_GBK" w:eastAsia="方正仿宋_GBK"/>
          <w:color w:val="000000"/>
          <w:sz w:val="32"/>
          <w:szCs w:val="32"/>
          <w:lang w:val="en-US" w:eastAsia="zh-CN"/>
        </w:rPr>
        <w:t>55</w:t>
      </w:r>
    </w:p>
    <w:tbl>
      <w:tblPr>
        <w:tblStyle w:val="3"/>
        <w:tblW w:w="11467" w:type="dxa"/>
        <w:jc w:val="center"/>
        <w:shd w:val="clear" w:color="auto" w:fill="auto"/>
        <w:tblLayout w:type="fixed"/>
        <w:tblCellMar>
          <w:top w:w="0" w:type="dxa"/>
          <w:left w:w="108" w:type="dxa"/>
          <w:bottom w:w="0" w:type="dxa"/>
          <w:right w:w="108" w:type="dxa"/>
        </w:tblCellMar>
      </w:tblPr>
      <w:tblGrid>
        <w:gridCol w:w="4687"/>
        <w:gridCol w:w="1428"/>
        <w:gridCol w:w="3716"/>
        <w:gridCol w:w="1636"/>
      </w:tblGrid>
      <w:tr>
        <w:tblPrEx>
          <w:tblCellMar>
            <w:top w:w="0" w:type="dxa"/>
            <w:left w:w="108" w:type="dxa"/>
            <w:bottom w:w="0" w:type="dxa"/>
            <w:right w:w="108" w:type="dxa"/>
          </w:tblCellMar>
        </w:tblPrEx>
        <w:trPr>
          <w:trHeight w:val="555" w:hRule="atLeast"/>
          <w:jc w:val="center"/>
        </w:trPr>
        <w:tc>
          <w:tcPr>
            <w:tcW w:w="11467"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收入支出决算总表</w:t>
            </w:r>
          </w:p>
        </w:tc>
      </w:tr>
      <w:tr>
        <w:tblPrEx>
          <w:tblCellMar>
            <w:top w:w="0" w:type="dxa"/>
            <w:left w:w="108" w:type="dxa"/>
            <w:bottom w:w="0" w:type="dxa"/>
            <w:right w:w="108" w:type="dxa"/>
          </w:tblCellMar>
        </w:tblPrEx>
        <w:trPr>
          <w:trHeight w:val="300" w:hRule="atLeast"/>
          <w:jc w:val="center"/>
        </w:trPr>
        <w:tc>
          <w:tcPr>
            <w:tcW w:w="468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2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7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3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tblPrEx>
          <w:tblCellMar>
            <w:top w:w="0" w:type="dxa"/>
            <w:left w:w="108" w:type="dxa"/>
            <w:bottom w:w="0" w:type="dxa"/>
            <w:right w:w="108" w:type="dxa"/>
          </w:tblCellMar>
        </w:tblPrEx>
        <w:trPr>
          <w:trHeight w:val="300" w:hRule="atLeast"/>
          <w:jc w:val="center"/>
        </w:trPr>
        <w:tc>
          <w:tcPr>
            <w:tcW w:w="4687"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1428"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37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3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jc w:val="center"/>
        </w:trPr>
        <w:tc>
          <w:tcPr>
            <w:tcW w:w="611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w:t>
            </w:r>
          </w:p>
        </w:tc>
        <w:tc>
          <w:tcPr>
            <w:tcW w:w="5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428"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1428"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1,104.03</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1428"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936.04</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23.68</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十四、资源勘探信息等支出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1,733.03</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1,700.73</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r>
      <w:tr>
        <w:tblPrEx>
          <w:tblCellMar>
            <w:top w:w="0" w:type="dxa"/>
            <w:left w:w="108" w:type="dxa"/>
            <w:bottom w:w="0" w:type="dxa"/>
            <w:right w:w="108" w:type="dxa"/>
          </w:tblCellMar>
        </w:tblPrEx>
        <w:trPr>
          <w:trHeight w:val="300" w:hRule="atLeast"/>
          <w:jc w:val="center"/>
        </w:trPr>
        <w:tc>
          <w:tcPr>
            <w:tcW w:w="4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1,733.03</w:t>
            </w:r>
          </w:p>
        </w:tc>
        <w:tc>
          <w:tcPr>
            <w:tcW w:w="3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6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1,733.03</w:t>
            </w:r>
          </w:p>
        </w:tc>
      </w:tr>
      <w:tr>
        <w:tblPrEx>
          <w:tblCellMar>
            <w:top w:w="0" w:type="dxa"/>
            <w:left w:w="108" w:type="dxa"/>
            <w:bottom w:w="0" w:type="dxa"/>
            <w:right w:w="108" w:type="dxa"/>
          </w:tblCellMar>
        </w:tblPrEx>
        <w:trPr>
          <w:trHeight w:val="300" w:hRule="atLeast"/>
          <w:jc w:val="center"/>
        </w:trPr>
        <w:tc>
          <w:tcPr>
            <w:tcW w:w="11467"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备注：本表反映部门本年度的总收支和年末结转结余等情况。 </w:t>
            </w:r>
          </w:p>
        </w:tc>
      </w:tr>
    </w:tbl>
    <w:p>
      <w:r>
        <w:br w:type="page"/>
      </w:r>
    </w:p>
    <w:tbl>
      <w:tblPr>
        <w:tblStyle w:val="3"/>
        <w:tblW w:w="14081" w:type="dxa"/>
        <w:tblInd w:w="93" w:type="dxa"/>
        <w:shd w:val="clear" w:color="auto" w:fill="auto"/>
        <w:tblLayout w:type="fixed"/>
        <w:tblCellMar>
          <w:top w:w="0" w:type="dxa"/>
          <w:left w:w="108" w:type="dxa"/>
          <w:bottom w:w="0" w:type="dxa"/>
          <w:right w:w="108" w:type="dxa"/>
        </w:tblCellMar>
      </w:tblPr>
      <w:tblGrid>
        <w:gridCol w:w="3342"/>
        <w:gridCol w:w="404"/>
        <w:gridCol w:w="240"/>
        <w:gridCol w:w="2610"/>
        <w:gridCol w:w="1373"/>
        <w:gridCol w:w="1258"/>
        <w:gridCol w:w="784"/>
        <w:gridCol w:w="704"/>
        <w:gridCol w:w="750"/>
        <w:gridCol w:w="673"/>
        <w:gridCol w:w="873"/>
        <w:gridCol w:w="1070"/>
      </w:tblGrid>
      <w:tr>
        <w:tblPrEx>
          <w:tblCellMar>
            <w:top w:w="0" w:type="dxa"/>
            <w:left w:w="108" w:type="dxa"/>
            <w:bottom w:w="0" w:type="dxa"/>
            <w:right w:w="108" w:type="dxa"/>
          </w:tblCellMar>
        </w:tblPrEx>
        <w:trPr>
          <w:trHeight w:val="555" w:hRule="atLeast"/>
        </w:trPr>
        <w:tc>
          <w:tcPr>
            <w:tcW w:w="14081"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收入决算表</w:t>
            </w:r>
          </w:p>
        </w:tc>
      </w:tr>
      <w:tr>
        <w:tblPrEx>
          <w:tblCellMar>
            <w:top w:w="0" w:type="dxa"/>
            <w:left w:w="108" w:type="dxa"/>
            <w:bottom w:w="0" w:type="dxa"/>
            <w:right w:w="108" w:type="dxa"/>
          </w:tblCellMar>
        </w:tblPrEx>
        <w:trPr>
          <w:trHeight w:val="300" w:hRule="atLeast"/>
        </w:trPr>
        <w:tc>
          <w:tcPr>
            <w:tcW w:w="334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04"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1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7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5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84"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04"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CellMar>
            <w:top w:w="0" w:type="dxa"/>
            <w:left w:w="108" w:type="dxa"/>
            <w:bottom w:w="0" w:type="dxa"/>
            <w:right w:w="108" w:type="dxa"/>
          </w:tblCellMar>
        </w:tblPrEx>
        <w:trPr>
          <w:trHeight w:val="445" w:hRule="atLeast"/>
        </w:trPr>
        <w:tc>
          <w:tcPr>
            <w:tcW w:w="3342"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404"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10"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73"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58"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784"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04"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3"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3"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trPr>
        <w:tc>
          <w:tcPr>
            <w:tcW w:w="659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3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2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财政拨款收入</w:t>
            </w:r>
          </w:p>
        </w:tc>
        <w:tc>
          <w:tcPr>
            <w:tcW w:w="7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1454"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事业收入</w:t>
            </w:r>
          </w:p>
        </w:tc>
        <w:tc>
          <w:tcPr>
            <w:tcW w:w="6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经营收入</w:t>
            </w:r>
          </w:p>
        </w:tc>
        <w:tc>
          <w:tcPr>
            <w:tcW w:w="873" w:type="dxa"/>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其他收入</w:t>
            </w:r>
          </w:p>
        </w:tc>
      </w:tr>
      <w:tr>
        <w:tblPrEx>
          <w:tblCellMar>
            <w:top w:w="0" w:type="dxa"/>
            <w:left w:w="108" w:type="dxa"/>
            <w:bottom w:w="0" w:type="dxa"/>
            <w:right w:w="108" w:type="dxa"/>
          </w:tblCellMar>
        </w:tblPrEx>
        <w:trPr>
          <w:trHeight w:val="300" w:hRule="atLeast"/>
        </w:trPr>
        <w:tc>
          <w:tcPr>
            <w:tcW w:w="3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26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项目（按“项”级功能分类科目）</w:t>
            </w:r>
          </w:p>
        </w:tc>
        <w:tc>
          <w:tcPr>
            <w:tcW w:w="13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3"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其中：教育收费</w:t>
            </w:r>
          </w:p>
        </w:tc>
        <w:tc>
          <w:tcPr>
            <w:tcW w:w="6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3"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00" w:hRule="atLeast"/>
        </w:trPr>
        <w:tc>
          <w:tcPr>
            <w:tcW w:w="3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3"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59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1,733.03</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1,733.03</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936.04</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936.04</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20601</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科学技术管理事务</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2060103</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109.88</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109.88</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20604</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技术研究与开发</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93.51</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93.51</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90.76</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90.76</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2.75</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2.75</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22406</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自然灾害防治</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2240699</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其他自然灾害防治支出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抗疫特别国债安排的支出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23402</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抗疫相关支出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3986"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2340299</w:t>
            </w:r>
          </w:p>
        </w:tc>
        <w:tc>
          <w:tcPr>
            <w:tcW w:w="26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其他抗疫相关支出</w:t>
            </w:r>
          </w:p>
        </w:tc>
        <w:tc>
          <w:tcPr>
            <w:tcW w:w="13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4081"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备注：本表反映部门本年度取得的各项收入情况。</w:t>
            </w:r>
          </w:p>
        </w:tc>
      </w:tr>
    </w:tbl>
    <w:p>
      <w:r>
        <w:br w:type="page"/>
      </w:r>
    </w:p>
    <w:tbl>
      <w:tblPr>
        <w:tblStyle w:val="3"/>
        <w:tblW w:w="13845" w:type="dxa"/>
        <w:tblInd w:w="93" w:type="dxa"/>
        <w:shd w:val="clear" w:color="auto" w:fill="auto"/>
        <w:tblLayout w:type="fixed"/>
        <w:tblCellMar>
          <w:top w:w="0" w:type="dxa"/>
          <w:left w:w="108" w:type="dxa"/>
          <w:bottom w:w="0" w:type="dxa"/>
          <w:right w:w="108" w:type="dxa"/>
        </w:tblCellMar>
      </w:tblPr>
      <w:tblGrid>
        <w:gridCol w:w="4056"/>
        <w:gridCol w:w="222"/>
        <w:gridCol w:w="240"/>
        <w:gridCol w:w="3598"/>
        <w:gridCol w:w="1236"/>
        <w:gridCol w:w="821"/>
        <w:gridCol w:w="1016"/>
        <w:gridCol w:w="620"/>
        <w:gridCol w:w="620"/>
        <w:gridCol w:w="1416"/>
      </w:tblGrid>
      <w:tr>
        <w:tblPrEx>
          <w:tblCellMar>
            <w:top w:w="0" w:type="dxa"/>
            <w:left w:w="108" w:type="dxa"/>
            <w:bottom w:w="0" w:type="dxa"/>
            <w:right w:w="108" w:type="dxa"/>
          </w:tblCellMar>
        </w:tblPrEx>
        <w:trPr>
          <w:trHeight w:val="555" w:hRule="atLeast"/>
        </w:trPr>
        <w:tc>
          <w:tcPr>
            <w:tcW w:w="13845"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支出决算表</w:t>
            </w:r>
          </w:p>
        </w:tc>
      </w:tr>
      <w:tr>
        <w:tblPrEx>
          <w:tblCellMar>
            <w:top w:w="0" w:type="dxa"/>
            <w:left w:w="108" w:type="dxa"/>
            <w:bottom w:w="0" w:type="dxa"/>
            <w:right w:w="108" w:type="dxa"/>
          </w:tblCellMar>
        </w:tblPrEx>
        <w:trPr>
          <w:trHeight w:val="300" w:hRule="atLeast"/>
        </w:trPr>
        <w:tc>
          <w:tcPr>
            <w:tcW w:w="405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9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CellMar>
            <w:top w:w="0" w:type="dxa"/>
            <w:left w:w="108" w:type="dxa"/>
            <w:bottom w:w="0" w:type="dxa"/>
            <w:right w:w="108" w:type="dxa"/>
          </w:tblCellMar>
        </w:tblPrEx>
        <w:trPr>
          <w:trHeight w:val="300" w:hRule="atLeast"/>
        </w:trPr>
        <w:tc>
          <w:tcPr>
            <w:tcW w:w="405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9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82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trPr>
        <w:tc>
          <w:tcPr>
            <w:tcW w:w="8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上缴上级支出</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经营支出</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对附属单位补助支出</w:t>
            </w:r>
          </w:p>
        </w:tc>
      </w:tr>
      <w:tr>
        <w:tblPrEx>
          <w:tblCellMar>
            <w:top w:w="0" w:type="dxa"/>
            <w:left w:w="108" w:type="dxa"/>
            <w:bottom w:w="0" w:type="dxa"/>
            <w:right w:w="108" w:type="dxa"/>
          </w:tblCellMar>
        </w:tblPrEx>
        <w:trPr>
          <w:trHeight w:val="300" w:hRule="atLeast"/>
        </w:trPr>
        <w:tc>
          <w:tcPr>
            <w:tcW w:w="45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3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项目（按“项”级功能分类科目）</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811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1,700.73</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447.73</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1,253.00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936.04</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20601</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科学技术管理事务</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2060103</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109.88</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109.88</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20604</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技术研究与开发</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93.51</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93.51</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90.76</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90.76</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2.75</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2.75</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抗疫特别国债安排的支出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23402</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抗疫相关支出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2340299</w:t>
            </w:r>
          </w:p>
        </w:tc>
        <w:tc>
          <w:tcPr>
            <w:tcW w:w="3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其他抗疫相关支出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3845" w:type="dxa"/>
            <w:gridSpan w:val="10"/>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备注：本表反映部门本年度各项支出情况。</w:t>
            </w:r>
          </w:p>
        </w:tc>
      </w:tr>
    </w:tbl>
    <w:p>
      <w:r>
        <w:br w:type="page"/>
      </w:r>
    </w:p>
    <w:tbl>
      <w:tblPr>
        <w:tblStyle w:val="3"/>
        <w:tblW w:w="12772" w:type="dxa"/>
        <w:jc w:val="center"/>
        <w:shd w:val="clear" w:color="auto" w:fill="auto"/>
        <w:tblLayout w:type="fixed"/>
        <w:tblCellMar>
          <w:top w:w="0" w:type="dxa"/>
          <w:left w:w="108" w:type="dxa"/>
          <w:bottom w:w="0" w:type="dxa"/>
          <w:right w:w="108" w:type="dxa"/>
        </w:tblCellMar>
      </w:tblPr>
      <w:tblGrid>
        <w:gridCol w:w="4056"/>
        <w:gridCol w:w="1016"/>
        <w:gridCol w:w="3216"/>
        <w:gridCol w:w="1236"/>
        <w:gridCol w:w="1016"/>
        <w:gridCol w:w="816"/>
        <w:gridCol w:w="1416"/>
      </w:tblGrid>
      <w:tr>
        <w:tblPrEx>
          <w:tblCellMar>
            <w:top w:w="0" w:type="dxa"/>
            <w:left w:w="108" w:type="dxa"/>
            <w:bottom w:w="0" w:type="dxa"/>
            <w:right w:w="108" w:type="dxa"/>
          </w:tblCellMar>
        </w:tblPrEx>
        <w:trPr>
          <w:trHeight w:val="555" w:hRule="atLeast"/>
          <w:jc w:val="center"/>
        </w:trPr>
        <w:tc>
          <w:tcPr>
            <w:tcW w:w="12772"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财政拨款收入支出决算总表</w:t>
            </w:r>
          </w:p>
        </w:tc>
      </w:tr>
      <w:tr>
        <w:tblPrEx>
          <w:tblCellMar>
            <w:top w:w="0" w:type="dxa"/>
            <w:left w:w="108" w:type="dxa"/>
            <w:bottom w:w="0" w:type="dxa"/>
            <w:right w:w="108" w:type="dxa"/>
          </w:tblCellMar>
        </w:tblPrEx>
        <w:trPr>
          <w:trHeight w:val="300" w:hRule="atLeast"/>
          <w:jc w:val="center"/>
        </w:trPr>
        <w:tc>
          <w:tcPr>
            <w:tcW w:w="405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2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tblPrEx>
          <w:tblCellMar>
            <w:top w:w="0" w:type="dxa"/>
            <w:left w:w="108" w:type="dxa"/>
            <w:bottom w:w="0" w:type="dxa"/>
            <w:right w:w="108" w:type="dxa"/>
          </w:tblCellMar>
        </w:tblPrEx>
        <w:trPr>
          <w:trHeight w:val="300" w:hRule="atLeast"/>
          <w:jc w:val="center"/>
        </w:trPr>
        <w:tc>
          <w:tcPr>
            <w:tcW w:w="4056"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101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2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10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jc w:val="center"/>
        </w:trPr>
        <w:tc>
          <w:tcPr>
            <w:tcW w:w="507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7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CellMar>
            <w:top w:w="0" w:type="dxa"/>
            <w:left w:w="108" w:type="dxa"/>
            <w:bottom w:w="0" w:type="dxa"/>
            <w:right w:w="108" w:type="dxa"/>
          </w:tblCellMar>
        </w:tblPrEx>
        <w:trPr>
          <w:trHeight w:val="285" w:hRule="atLeast"/>
          <w:jc w:val="center"/>
        </w:trPr>
        <w:tc>
          <w:tcPr>
            <w:tcW w:w="405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016" w:type="dxa"/>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3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4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600" w:hRule="atLeast"/>
          <w:jc w:val="center"/>
        </w:trPr>
        <w:tc>
          <w:tcPr>
            <w:tcW w:w="405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一般公共预算财政拨款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政府性基金预算财政拨款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国有资本经营预算财政拨款</w:t>
            </w:r>
          </w:p>
        </w:tc>
      </w:tr>
      <w:tr>
        <w:tblPrEx>
          <w:tblCellMar>
            <w:top w:w="0" w:type="dxa"/>
            <w:left w:w="108" w:type="dxa"/>
            <w:bottom w:w="0" w:type="dxa"/>
            <w:right w:w="108" w:type="dxa"/>
          </w:tblCellMar>
        </w:tblPrEx>
        <w:trPr>
          <w:trHeight w:val="5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01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1,104.03</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01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101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936.04</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936.04</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23.68</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23.68</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1,733.03</w:t>
            </w: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1,700.73</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1,071.73</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1,733.03</w:t>
            </w: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1,733.03</w:t>
            </w:r>
          </w:p>
        </w:tc>
        <w:tc>
          <w:tcPr>
            <w:tcW w:w="10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1,104.03</w:t>
            </w:r>
          </w:p>
        </w:tc>
        <w:tc>
          <w:tcPr>
            <w:tcW w:w="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11356"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备注：本表反映部门本年度一般公共预算财政拨款和政府性基金预算财政拨款的总收支和年末结转结余情况。</w:t>
            </w:r>
          </w:p>
        </w:tc>
        <w:tc>
          <w:tcPr>
            <w:tcW w:w="14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r>
    </w:tbl>
    <w:p>
      <w:r>
        <w:br w:type="page"/>
      </w:r>
    </w:p>
    <w:tbl>
      <w:tblPr>
        <w:tblStyle w:val="3"/>
        <w:tblW w:w="14081" w:type="dxa"/>
        <w:tblInd w:w="93" w:type="dxa"/>
        <w:shd w:val="clear" w:color="auto" w:fill="auto"/>
        <w:tblLayout w:type="fixed"/>
        <w:tblCellMar>
          <w:top w:w="0" w:type="dxa"/>
          <w:left w:w="108" w:type="dxa"/>
          <w:bottom w:w="0" w:type="dxa"/>
          <w:right w:w="108" w:type="dxa"/>
        </w:tblCellMar>
      </w:tblPr>
      <w:tblGrid>
        <w:gridCol w:w="3943"/>
        <w:gridCol w:w="222"/>
        <w:gridCol w:w="222"/>
        <w:gridCol w:w="3516"/>
        <w:gridCol w:w="1206"/>
        <w:gridCol w:w="992"/>
        <w:gridCol w:w="992"/>
        <w:gridCol w:w="803"/>
        <w:gridCol w:w="803"/>
        <w:gridCol w:w="1382"/>
      </w:tblGrid>
      <w:tr>
        <w:tblPrEx>
          <w:tblCellMar>
            <w:top w:w="0" w:type="dxa"/>
            <w:left w:w="108" w:type="dxa"/>
            <w:bottom w:w="0" w:type="dxa"/>
            <w:right w:w="108" w:type="dxa"/>
          </w:tblCellMar>
        </w:tblPrEx>
        <w:trPr>
          <w:trHeight w:val="555" w:hRule="atLeast"/>
        </w:trPr>
        <w:tc>
          <w:tcPr>
            <w:tcW w:w="14081"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一般公共预算财政拨款收入支出决算表</w:t>
            </w:r>
          </w:p>
        </w:tc>
      </w:tr>
      <w:tr>
        <w:tblPrEx>
          <w:shd w:val="clear" w:color="auto" w:fill="auto"/>
          <w:tblCellMar>
            <w:top w:w="0" w:type="dxa"/>
            <w:left w:w="108" w:type="dxa"/>
            <w:bottom w:w="0" w:type="dxa"/>
            <w:right w:w="108" w:type="dxa"/>
          </w:tblCellMar>
        </w:tblPrEx>
        <w:trPr>
          <w:trHeight w:val="300" w:hRule="atLeast"/>
        </w:trPr>
        <w:tc>
          <w:tcPr>
            <w:tcW w:w="394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0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0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2"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tblPrEx>
          <w:tblCellMar>
            <w:top w:w="0" w:type="dxa"/>
            <w:left w:w="108" w:type="dxa"/>
            <w:bottom w:w="0" w:type="dxa"/>
            <w:right w:w="108" w:type="dxa"/>
          </w:tblCellMar>
        </w:tblPrEx>
        <w:trPr>
          <w:trHeight w:val="300" w:hRule="atLeast"/>
        </w:trPr>
        <w:tc>
          <w:tcPr>
            <w:tcW w:w="3943"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99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0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0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2"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trPr>
        <w:tc>
          <w:tcPr>
            <w:tcW w:w="79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年初结转结余</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年末结转和结余</w:t>
            </w:r>
          </w:p>
        </w:tc>
      </w:tr>
      <w:tr>
        <w:tblPrEx>
          <w:tblCellMar>
            <w:top w:w="0" w:type="dxa"/>
            <w:left w:w="108" w:type="dxa"/>
            <w:bottom w:w="0" w:type="dxa"/>
            <w:right w:w="108" w:type="dxa"/>
          </w:tblCellMar>
        </w:tblPrEx>
        <w:trPr>
          <w:trHeight w:val="300" w:hRule="atLeast"/>
        </w:trPr>
        <w:tc>
          <w:tcPr>
            <w:tcW w:w="43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项目（按“项”级功能分类科目）</w:t>
            </w: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615" w:hRule="atLeast"/>
        </w:trPr>
        <w:tc>
          <w:tcPr>
            <w:tcW w:w="43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3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79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1,104.03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1,071.73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447.73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r>
      <w:tr>
        <w:tblPrEx>
          <w:tblCellMar>
            <w:top w:w="0" w:type="dxa"/>
            <w:left w:w="108" w:type="dxa"/>
            <w:bottom w:w="0" w:type="dxa"/>
            <w:right w:w="108" w:type="dxa"/>
          </w:tblCellMar>
        </w:tblPrEx>
        <w:trPr>
          <w:trHeight w:val="300" w:hRule="atLeast"/>
        </w:trPr>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936.04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936.04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20601</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科学技术管理事务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2060103</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109.88</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109.88</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109.88</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20604</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技术研究与开发</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624.00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93.51</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93.51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93.51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90.76</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90.76</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90.76</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2.75</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2.75</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2.75</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23.69</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22406</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自然灾害防治</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32.30</w:t>
            </w:r>
          </w:p>
        </w:tc>
      </w:tr>
      <w:tr>
        <w:tblPrEx>
          <w:tblCellMar>
            <w:top w:w="0" w:type="dxa"/>
            <w:left w:w="108" w:type="dxa"/>
            <w:bottom w:w="0" w:type="dxa"/>
            <w:right w:w="108" w:type="dxa"/>
          </w:tblCellMar>
        </w:tblPrEx>
        <w:trPr>
          <w:trHeight w:val="300" w:hRule="atLeast"/>
        </w:trPr>
        <w:tc>
          <w:tcPr>
            <w:tcW w:w="438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2240699</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其他自然灾害防治支出</w:t>
            </w:r>
          </w:p>
        </w:tc>
        <w:tc>
          <w:tcPr>
            <w:tcW w:w="12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r>
      <w:tr>
        <w:tblPrEx>
          <w:tblCellMar>
            <w:top w:w="0" w:type="dxa"/>
            <w:left w:w="108" w:type="dxa"/>
            <w:bottom w:w="0" w:type="dxa"/>
            <w:right w:w="108" w:type="dxa"/>
          </w:tblCellMar>
        </w:tblPrEx>
        <w:trPr>
          <w:trHeight w:val="300" w:hRule="atLeast"/>
        </w:trPr>
        <w:tc>
          <w:tcPr>
            <w:tcW w:w="12699"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备注：本表反映部门本年度一般公共预算财政拨款收支余情况。</w:t>
            </w:r>
          </w:p>
        </w:tc>
        <w:tc>
          <w:tcPr>
            <w:tcW w:w="138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r>
    </w:tbl>
    <w:p>
      <w:r>
        <w:br w:type="page"/>
      </w:r>
    </w:p>
    <w:tbl>
      <w:tblPr>
        <w:tblStyle w:val="3"/>
        <w:tblW w:w="14081" w:type="dxa"/>
        <w:tblInd w:w="93" w:type="dxa"/>
        <w:shd w:val="clear" w:color="auto" w:fill="auto"/>
        <w:tblLayout w:type="fixed"/>
        <w:tblCellMar>
          <w:top w:w="0" w:type="dxa"/>
          <w:left w:w="108" w:type="dxa"/>
          <w:bottom w:w="0" w:type="dxa"/>
          <w:right w:w="108" w:type="dxa"/>
        </w:tblCellMar>
      </w:tblPr>
      <w:tblGrid>
        <w:gridCol w:w="2095"/>
        <w:gridCol w:w="2366"/>
        <w:gridCol w:w="993"/>
        <w:gridCol w:w="1338"/>
        <w:gridCol w:w="1685"/>
        <w:gridCol w:w="842"/>
        <w:gridCol w:w="1477"/>
        <w:gridCol w:w="2158"/>
        <w:gridCol w:w="1127"/>
      </w:tblGrid>
      <w:tr>
        <w:tblPrEx>
          <w:tblCellMar>
            <w:top w:w="0" w:type="dxa"/>
            <w:left w:w="108" w:type="dxa"/>
            <w:bottom w:w="0" w:type="dxa"/>
            <w:right w:w="108" w:type="dxa"/>
          </w:tblCellMar>
        </w:tblPrEx>
        <w:trPr>
          <w:trHeight w:val="555" w:hRule="atLeast"/>
        </w:trPr>
        <w:tc>
          <w:tcPr>
            <w:tcW w:w="14081"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300" w:hRule="atLeast"/>
        </w:trPr>
        <w:tc>
          <w:tcPr>
            <w:tcW w:w="209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3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8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7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5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7"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tblPrEx>
          <w:tblCellMar>
            <w:top w:w="0" w:type="dxa"/>
            <w:left w:w="108" w:type="dxa"/>
            <w:bottom w:w="0" w:type="dxa"/>
            <w:right w:w="108" w:type="dxa"/>
          </w:tblCellMar>
        </w:tblPrEx>
        <w:trPr>
          <w:trHeight w:val="300" w:hRule="atLeast"/>
        </w:trPr>
        <w:tc>
          <w:tcPr>
            <w:tcW w:w="2095"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236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3"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3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8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4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7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5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7"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5454"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86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r>
      <w:tr>
        <w:tblPrEx>
          <w:tblCellMar>
            <w:top w:w="0" w:type="dxa"/>
            <w:left w:w="108" w:type="dxa"/>
            <w:bottom w:w="0" w:type="dxa"/>
            <w:right w:w="108" w:type="dxa"/>
          </w:tblCellMar>
        </w:tblPrEx>
        <w:trPr>
          <w:trHeight w:val="300" w:hRule="atLeast"/>
        </w:trPr>
        <w:tc>
          <w:tcPr>
            <w:tcW w:w="2095" w:type="dxa"/>
            <w:vMerge w:val="restart"/>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经济分类科目编码</w:t>
            </w:r>
          </w:p>
        </w:tc>
        <w:tc>
          <w:tcPr>
            <w:tcW w:w="23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经济分类科目（按“款”级功能分类科目）</w:t>
            </w:r>
          </w:p>
        </w:tc>
        <w:tc>
          <w:tcPr>
            <w:tcW w:w="993" w:type="dxa"/>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经济分类科目编码</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经济分类科目（按“款”级功能分类科目）</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经济分类科目编码</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经济分类科目（按“款”级功能分类科目）</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CellMar>
            <w:top w:w="0" w:type="dxa"/>
            <w:left w:w="108" w:type="dxa"/>
            <w:bottom w:w="0" w:type="dxa"/>
            <w:right w:w="108" w:type="dxa"/>
          </w:tblCellMar>
        </w:tblPrEx>
        <w:trPr>
          <w:trHeight w:val="600" w:hRule="atLeast"/>
        </w:trPr>
        <w:tc>
          <w:tcPr>
            <w:tcW w:w="2095" w:type="dxa"/>
            <w:vMerge w:val="continue"/>
            <w:tcBorders>
              <w:top w:val="nil"/>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3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3"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93"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322.45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91"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94.97</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34.22</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44.94</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62.08</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21.83</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3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对企业补助</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21.66</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31201</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27.45</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31203</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政府投资基金股权投资</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31204</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31205</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31299</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3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其他个人和家庭的补助支出</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16.87</w:t>
            </w:r>
          </w:p>
        </w:tc>
        <w:tc>
          <w:tcPr>
            <w:tcW w:w="14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1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30703</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30704</w:t>
            </w:r>
          </w:p>
        </w:tc>
        <w:tc>
          <w:tcPr>
            <w:tcW w:w="1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461"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人员经费合计</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374.26</w:t>
            </w:r>
          </w:p>
        </w:tc>
        <w:tc>
          <w:tcPr>
            <w:tcW w:w="75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公用经费合计</w:t>
            </w:r>
          </w:p>
        </w:tc>
        <w:tc>
          <w:tcPr>
            <w:tcW w:w="11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73.47</w:t>
            </w:r>
          </w:p>
        </w:tc>
      </w:tr>
      <w:tr>
        <w:tblPrEx>
          <w:tblCellMar>
            <w:top w:w="0" w:type="dxa"/>
            <w:left w:w="108" w:type="dxa"/>
            <w:bottom w:w="0" w:type="dxa"/>
            <w:right w:w="108" w:type="dxa"/>
          </w:tblCellMar>
        </w:tblPrEx>
        <w:trPr>
          <w:trHeight w:val="300" w:hRule="atLeast"/>
        </w:trPr>
        <w:tc>
          <w:tcPr>
            <w:tcW w:w="14081"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r>
        <w:br w:type="page"/>
      </w:r>
    </w:p>
    <w:tbl>
      <w:tblPr>
        <w:tblStyle w:val="3"/>
        <w:tblW w:w="12660" w:type="dxa"/>
        <w:jc w:val="center"/>
        <w:shd w:val="clear" w:color="auto" w:fill="auto"/>
        <w:tblLayout w:type="fixed"/>
        <w:tblCellMar>
          <w:top w:w="0" w:type="dxa"/>
          <w:left w:w="108" w:type="dxa"/>
          <w:bottom w:w="0" w:type="dxa"/>
          <w:right w:w="108" w:type="dxa"/>
        </w:tblCellMar>
      </w:tblPr>
      <w:tblGrid>
        <w:gridCol w:w="4056"/>
        <w:gridCol w:w="222"/>
        <w:gridCol w:w="222"/>
        <w:gridCol w:w="2425"/>
        <w:gridCol w:w="1236"/>
        <w:gridCol w:w="821"/>
        <w:gridCol w:w="821"/>
        <w:gridCol w:w="620"/>
        <w:gridCol w:w="821"/>
        <w:gridCol w:w="1416"/>
      </w:tblGrid>
      <w:tr>
        <w:tblPrEx>
          <w:tblCellMar>
            <w:top w:w="0" w:type="dxa"/>
            <w:left w:w="108" w:type="dxa"/>
            <w:bottom w:w="0" w:type="dxa"/>
            <w:right w:w="108" w:type="dxa"/>
          </w:tblCellMar>
        </w:tblPrEx>
        <w:trPr>
          <w:trHeight w:val="555" w:hRule="atLeast"/>
          <w:jc w:val="center"/>
        </w:trPr>
        <w:tc>
          <w:tcPr>
            <w:tcW w:w="12660"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政府性基金预算财政拨款收入支出决算表</w:t>
            </w:r>
          </w:p>
        </w:tc>
      </w:tr>
      <w:tr>
        <w:tblPrEx>
          <w:shd w:val="clear" w:color="auto" w:fill="auto"/>
          <w:tblCellMar>
            <w:top w:w="0" w:type="dxa"/>
            <w:left w:w="108" w:type="dxa"/>
            <w:bottom w:w="0" w:type="dxa"/>
            <w:right w:w="108" w:type="dxa"/>
          </w:tblCellMar>
        </w:tblPrEx>
        <w:trPr>
          <w:trHeight w:val="300" w:hRule="atLeast"/>
          <w:jc w:val="center"/>
        </w:trPr>
        <w:tc>
          <w:tcPr>
            <w:tcW w:w="405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42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tblPrEx>
          <w:tblCellMar>
            <w:top w:w="0" w:type="dxa"/>
            <w:left w:w="108" w:type="dxa"/>
            <w:bottom w:w="0" w:type="dxa"/>
            <w:right w:w="108" w:type="dxa"/>
          </w:tblCellMar>
        </w:tblPrEx>
        <w:trPr>
          <w:trHeight w:val="300" w:hRule="atLeast"/>
          <w:jc w:val="center"/>
        </w:trPr>
        <w:tc>
          <w:tcPr>
            <w:tcW w:w="4056"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425"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82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jc w:val="center"/>
        </w:trPr>
        <w:tc>
          <w:tcPr>
            <w:tcW w:w="692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3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年初结转和结余</w:t>
            </w:r>
          </w:p>
        </w:tc>
        <w:tc>
          <w:tcPr>
            <w:tcW w:w="821" w:type="dxa"/>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年末结转和结余</w:t>
            </w:r>
          </w:p>
        </w:tc>
      </w:tr>
      <w:tr>
        <w:tblPrEx>
          <w:tblCellMar>
            <w:top w:w="0" w:type="dxa"/>
            <w:left w:w="108" w:type="dxa"/>
            <w:bottom w:w="0" w:type="dxa"/>
            <w:right w:w="108" w:type="dxa"/>
          </w:tblCellMar>
        </w:tblPrEx>
        <w:trPr>
          <w:trHeight w:val="300" w:hRule="atLeast"/>
          <w:jc w:val="center"/>
        </w:trPr>
        <w:tc>
          <w:tcPr>
            <w:tcW w:w="45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2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项目（按“项”级功能分类科目）</w:t>
            </w:r>
          </w:p>
        </w:tc>
        <w:tc>
          <w:tcPr>
            <w:tcW w:w="12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4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600" w:hRule="atLeast"/>
          <w:jc w:val="center"/>
        </w:trPr>
        <w:tc>
          <w:tcPr>
            <w:tcW w:w="4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692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w:t>
            </w:r>
          </w:p>
        </w:tc>
        <w:tc>
          <w:tcPr>
            <w:tcW w:w="2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抗疫特别国债安排的支出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23402</w:t>
            </w:r>
          </w:p>
        </w:tc>
        <w:tc>
          <w:tcPr>
            <w:tcW w:w="2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抗疫相关支出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2340299</w:t>
            </w:r>
          </w:p>
        </w:tc>
        <w:tc>
          <w:tcPr>
            <w:tcW w:w="2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其他抗疫相关支出</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629.00</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12660" w:type="dxa"/>
            <w:gridSpan w:val="10"/>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备注：本表反映部门本年度政府性基金预算财政拨款收入支出及结转和结余情况。</w:t>
            </w:r>
          </w:p>
        </w:tc>
      </w:tr>
    </w:tbl>
    <w:p>
      <w:r>
        <w:br w:type="page"/>
      </w:r>
    </w:p>
    <w:tbl>
      <w:tblPr>
        <w:tblStyle w:val="3"/>
        <w:tblW w:w="12343" w:type="dxa"/>
        <w:jc w:val="center"/>
        <w:shd w:val="clear" w:color="auto" w:fill="auto"/>
        <w:tblLayout w:type="fixed"/>
        <w:tblCellMar>
          <w:top w:w="0" w:type="dxa"/>
          <w:left w:w="108" w:type="dxa"/>
          <w:bottom w:w="0" w:type="dxa"/>
          <w:right w:w="108" w:type="dxa"/>
        </w:tblCellMar>
      </w:tblPr>
      <w:tblGrid>
        <w:gridCol w:w="4056"/>
        <w:gridCol w:w="819"/>
        <w:gridCol w:w="1236"/>
        <w:gridCol w:w="4816"/>
        <w:gridCol w:w="1416"/>
      </w:tblGrid>
      <w:tr>
        <w:tblPrEx>
          <w:tblCellMar>
            <w:top w:w="0" w:type="dxa"/>
            <w:left w:w="108" w:type="dxa"/>
            <w:bottom w:w="0" w:type="dxa"/>
            <w:right w:w="108" w:type="dxa"/>
          </w:tblCellMar>
        </w:tblPrEx>
        <w:trPr>
          <w:trHeight w:val="555" w:hRule="atLeast"/>
          <w:jc w:val="center"/>
        </w:trPr>
        <w:tc>
          <w:tcPr>
            <w:tcW w:w="1234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机构运行信息表</w:t>
            </w:r>
          </w:p>
        </w:tc>
      </w:tr>
      <w:tr>
        <w:tblPrEx>
          <w:tblCellMar>
            <w:top w:w="0" w:type="dxa"/>
            <w:left w:w="108" w:type="dxa"/>
            <w:bottom w:w="0" w:type="dxa"/>
            <w:right w:w="108" w:type="dxa"/>
          </w:tblCellMar>
        </w:tblPrEx>
        <w:trPr>
          <w:trHeight w:val="300" w:hRule="atLeast"/>
          <w:jc w:val="center"/>
        </w:trPr>
        <w:tc>
          <w:tcPr>
            <w:tcW w:w="405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1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8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tblPrEx>
          <w:tblCellMar>
            <w:top w:w="0" w:type="dxa"/>
            <w:left w:w="108" w:type="dxa"/>
            <w:bottom w:w="0" w:type="dxa"/>
            <w:right w:w="108" w:type="dxa"/>
          </w:tblCellMar>
        </w:tblPrEx>
        <w:trPr>
          <w:trHeight w:val="300" w:hRule="atLeast"/>
          <w:jc w:val="center"/>
        </w:trPr>
        <w:tc>
          <w:tcPr>
            <w:tcW w:w="4056"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819"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48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45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一、“三公”经费支出</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四、机关运行经费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73.47</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（一）支出合计</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（一）行政单位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73.47</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1．因公出国（境）费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（二）参照公务员法管理事业单位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2．公务用车购置及运行维护费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五、国有资产占用情况</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（1）公务用车购置费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（一）车辆数合计（辆）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（2）公务用车运行维护费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1.副部（省）级及以上领导用车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3．公务接待费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2.主要领导干部用车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（1）国内接待费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3.机要通信用车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其中：外事接待费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4.应急保障用车</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（2）国（境）外接待费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5.执法执勤用车</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（二）相关统计数</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6.特种专业技术用车</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1．因公出国（境）团组数（个）</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7.离退休干部用车</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2．因公出国（境）人次数（人）</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8.其他用车</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3．公务用车购置数（辆）</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（二）单价50万元（含）以上通用设备（台，套）</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4．公务用车保有量（辆）</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（三）单价100万（含）元以上专用设备（台，套）</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5．国内公务接待批次（个）</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六、政府采购支出信息</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其中：外事接待批次（个）</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（一）政府采购支出合计</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6．国内公务接待人次（人）</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1．政府采购货物支出</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其中：外事接待人次（人）</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2．政府采购工程支出</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7．国（境）外公务接待批次（个）</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3．政府采购服务支出</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8．国（境）外公务接待人次（人）</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（二）政府采购授予中小企业合同金额</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二、会议费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48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其中：授予小微企业合同金额</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40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三、培训费</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w:t>
            </w:r>
          </w:p>
        </w:tc>
        <w:tc>
          <w:tcPr>
            <w:tcW w:w="48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12343"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备注：预算数年初部门预算批复数，决算数包括当年财政拨款预算和以前年度结转结余资金安排的实际支出。</w:t>
            </w:r>
          </w:p>
        </w:tc>
      </w:tr>
    </w:tbl>
    <w:p>
      <w:r>
        <w:br w:type="page"/>
      </w:r>
    </w:p>
    <w:tbl>
      <w:tblPr>
        <w:tblStyle w:val="3"/>
        <w:tblW w:w="10792" w:type="dxa"/>
        <w:jc w:val="center"/>
        <w:shd w:val="clear" w:color="auto" w:fill="auto"/>
        <w:tblLayout w:type="fixed"/>
        <w:tblCellMar>
          <w:top w:w="0" w:type="dxa"/>
          <w:left w:w="108" w:type="dxa"/>
          <w:bottom w:w="0" w:type="dxa"/>
          <w:right w:w="108" w:type="dxa"/>
        </w:tblCellMar>
      </w:tblPr>
      <w:tblGrid>
        <w:gridCol w:w="4056"/>
        <w:gridCol w:w="222"/>
        <w:gridCol w:w="222"/>
        <w:gridCol w:w="2413"/>
        <w:gridCol w:w="959"/>
        <w:gridCol w:w="959"/>
        <w:gridCol w:w="1961"/>
      </w:tblGrid>
      <w:tr>
        <w:tblPrEx>
          <w:tblCellMar>
            <w:top w:w="0" w:type="dxa"/>
            <w:left w:w="108" w:type="dxa"/>
            <w:bottom w:w="0" w:type="dxa"/>
            <w:right w:w="108" w:type="dxa"/>
          </w:tblCellMar>
        </w:tblPrEx>
        <w:trPr>
          <w:trHeight w:val="555" w:hRule="atLeast"/>
          <w:jc w:val="center"/>
        </w:trPr>
        <w:tc>
          <w:tcPr>
            <w:tcW w:w="10792"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国有资本经营预算财政拨款支出决算表</w:t>
            </w:r>
          </w:p>
        </w:tc>
      </w:tr>
      <w:tr>
        <w:tblPrEx>
          <w:shd w:val="clear" w:color="auto" w:fill="auto"/>
          <w:tblCellMar>
            <w:top w:w="0" w:type="dxa"/>
            <w:left w:w="108" w:type="dxa"/>
            <w:bottom w:w="0" w:type="dxa"/>
            <w:right w:w="108" w:type="dxa"/>
          </w:tblCellMar>
        </w:tblPrEx>
        <w:trPr>
          <w:trHeight w:val="300" w:hRule="atLeast"/>
          <w:jc w:val="center"/>
        </w:trPr>
        <w:tc>
          <w:tcPr>
            <w:tcW w:w="405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41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6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tblPrEx>
          <w:tblCellMar>
            <w:top w:w="0" w:type="dxa"/>
            <w:left w:w="108" w:type="dxa"/>
            <w:bottom w:w="0" w:type="dxa"/>
            <w:right w:w="108" w:type="dxa"/>
          </w:tblCellMar>
        </w:tblPrEx>
        <w:trPr>
          <w:trHeight w:val="300" w:hRule="atLeast"/>
          <w:jc w:val="center"/>
        </w:trPr>
        <w:tc>
          <w:tcPr>
            <w:tcW w:w="4056"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公开部门：重庆市合川区科学技术局</w:t>
            </w: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413"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95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6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jc w:val="center"/>
        </w:trPr>
        <w:tc>
          <w:tcPr>
            <w:tcW w:w="691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jc w:val="center"/>
        </w:trPr>
        <w:tc>
          <w:tcPr>
            <w:tcW w:w="45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2413" w:type="dxa"/>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300" w:hRule="atLeast"/>
          <w:jc w:val="center"/>
        </w:trPr>
        <w:tc>
          <w:tcPr>
            <w:tcW w:w="4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3"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600" w:hRule="atLeast"/>
          <w:jc w:val="center"/>
        </w:trPr>
        <w:tc>
          <w:tcPr>
            <w:tcW w:w="4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3" w:type="dxa"/>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691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413"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10792" w:type="dxa"/>
            <w:gridSpan w:val="7"/>
            <w:tcBorders>
              <w:top w:val="nil"/>
              <w:left w:val="single" w:color="808080" w:sz="4" w:space="0"/>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备注：本单无国有资本经营预算安排的支出，故本表无数据。</w:t>
            </w:r>
          </w:p>
        </w:tc>
      </w:tr>
    </w:tbl>
    <w:p/>
    <w:sectPr>
      <w:pgSz w:w="16838" w:h="11906" w:orient="landscape"/>
      <w:pgMar w:top="1803" w:right="1440" w:bottom="1803" w:left="144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17C24"/>
    <w:multiLevelType w:val="multilevel"/>
    <w:tmpl w:val="10217C2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6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039BF"/>
    <w:rsid w:val="1B1039BF"/>
    <w:rsid w:val="1B1874C8"/>
    <w:rsid w:val="26B347F6"/>
    <w:rsid w:val="2BF07CD4"/>
    <w:rsid w:val="6F7EC532"/>
    <w:rsid w:val="7A6D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style>
  <w:style w:type="character" w:customStyle="1" w:styleId="5">
    <w:name w:val="15"/>
    <w:basedOn w:val="4"/>
    <w:qFormat/>
    <w:uiPriority w:val="0"/>
    <w:rPr>
      <w:rFonts w:hint="default" w:ascii="Times New Roman" w:hAnsi="Times New Roman" w:cs="Times New Roman"/>
      <w:b/>
      <w:bCs/>
    </w:rPr>
  </w:style>
  <w:style w:type="paragraph" w:customStyle="1" w:styleId="6">
    <w:name w:val="普通(网站)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2021-09-26T18:30:00Z</dcterms:created>
  <dc:creator>暖心冬影</dc:creator>
  <cp:lastModifiedBy>user</cp:lastModifiedBy>
  <dcterms:modified xsi:type="dcterms:W3CDTF">2024-08-21T17:37:25Z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CCDCACC7CF6A44288B888A110FE24ACF</vt:lpwstr>
  </property>
</Properties>
</file>