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center"/>
        <w:rPr>
          <w:rFonts w:hint="eastAsia" w:eastAsia="方正小标宋_GBK"/>
          <w:color w:val="000000"/>
          <w:sz w:val="44"/>
          <w:szCs w:val="44"/>
        </w:rPr>
      </w:pPr>
    </w:p>
    <w:p>
      <w:pPr>
        <w:snapToGrid w:val="0"/>
        <w:spacing w:line="620" w:lineRule="exact"/>
        <w:jc w:val="center"/>
        <w:rPr>
          <w:rFonts w:hint="eastAsia" w:eastAsia="方正小标宋_GBK"/>
          <w:color w:val="000000"/>
          <w:sz w:val="44"/>
          <w:szCs w:val="44"/>
        </w:rPr>
      </w:pPr>
      <w:bookmarkStart w:id="2" w:name="_GoBack"/>
      <w:bookmarkEnd w:id="2"/>
    </w:p>
    <w:p>
      <w:pPr>
        <w:snapToGrid w:val="0"/>
        <w:spacing w:line="620" w:lineRule="exact"/>
        <w:jc w:val="center"/>
        <w:rPr>
          <w:rFonts w:ascii="方正小标宋_GBK" w:hAnsi="方正小标宋_GBK" w:eastAsia="方正小标宋_GBK" w:cs="方正小标宋_GBK"/>
          <w:color w:val="000000"/>
          <w:sz w:val="44"/>
          <w:szCs w:val="44"/>
        </w:rPr>
      </w:pPr>
      <w:r>
        <w:rPr>
          <w:rFonts w:hint="eastAsia" w:eastAsia="方正小标宋_GBK"/>
          <w:color w:val="000000"/>
          <w:sz w:val="44"/>
          <w:szCs w:val="44"/>
        </w:rPr>
        <w:t>重庆市交通局</w:t>
      </w:r>
      <w:r>
        <w:rPr>
          <w:rFonts w:hint="eastAsia" w:ascii="方正小标宋_GBK" w:hAnsi="方正小标宋_GBK" w:eastAsia="方正小标宋_GBK" w:cs="方正小标宋_GBK"/>
          <w:color w:val="000000"/>
          <w:sz w:val="44"/>
          <w:szCs w:val="44"/>
        </w:rPr>
        <w:t>关于印发</w:t>
      </w:r>
    </w:p>
    <w:p>
      <w:pPr>
        <w:snapToGrid w:val="0"/>
        <w:spacing w:line="62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bCs/>
          <w:color w:val="000000"/>
          <w:sz w:val="44"/>
          <w:szCs w:val="44"/>
        </w:rPr>
        <w:t>重庆市</w:t>
      </w:r>
      <w:bookmarkStart w:id="0" w:name="_Hlk109674830"/>
      <w:r>
        <w:rPr>
          <w:rFonts w:hint="eastAsia" w:ascii="方正小标宋_GBK" w:hAnsi="方正小标宋_GBK" w:eastAsia="方正小标宋_GBK" w:cs="方正小标宋_GBK"/>
          <w:bCs/>
          <w:color w:val="000000"/>
          <w:sz w:val="44"/>
          <w:szCs w:val="44"/>
        </w:rPr>
        <w:t>公路</w:t>
      </w:r>
      <w:bookmarkStart w:id="1" w:name="_Hlk109675321"/>
      <w:r>
        <w:rPr>
          <w:rFonts w:hint="eastAsia" w:ascii="方正小标宋_GBK" w:hAnsi="方正小标宋_GBK" w:eastAsia="方正小标宋_GBK" w:cs="方正小标宋_GBK"/>
          <w:bCs/>
          <w:color w:val="000000"/>
          <w:sz w:val="44"/>
          <w:szCs w:val="44"/>
        </w:rPr>
        <w:t>超限运输信用管理</w:t>
      </w:r>
      <w:bookmarkEnd w:id="0"/>
      <w:bookmarkEnd w:id="1"/>
      <w:r>
        <w:rPr>
          <w:rFonts w:hint="eastAsia" w:ascii="方正小标宋_GBK" w:hAnsi="方正小标宋_GBK" w:eastAsia="方正小标宋_GBK" w:cs="方正小标宋_GBK"/>
          <w:bCs/>
          <w:color w:val="000000"/>
          <w:sz w:val="44"/>
          <w:szCs w:val="44"/>
        </w:rPr>
        <w:t>实施细则</w:t>
      </w:r>
      <w:r>
        <w:rPr>
          <w:rFonts w:hint="eastAsia" w:ascii="方正小标宋_GBK" w:hAnsi="方正小标宋_GBK" w:eastAsia="方正小标宋_GBK" w:cs="方正小标宋_GBK"/>
          <w:color w:val="000000"/>
          <w:sz w:val="44"/>
          <w:szCs w:val="44"/>
        </w:rPr>
        <w:t>的通知</w:t>
      </w:r>
    </w:p>
    <w:p>
      <w:pPr>
        <w:snapToGrid w:val="0"/>
        <w:spacing w:line="620" w:lineRule="exact"/>
        <w:jc w:val="center"/>
        <w:rPr>
          <w:rFonts w:hint="eastAsia" w:ascii="方正小标宋_GBK" w:hAnsi="方正小标宋_GBK" w:eastAsia="方正小标宋_GBK" w:cs="方正小标宋_GBK"/>
          <w:color w:val="000000"/>
          <w:sz w:val="44"/>
          <w:szCs w:val="44"/>
        </w:rPr>
      </w:pPr>
      <w:r>
        <w:rPr>
          <w:rFonts w:hint="eastAsia" w:ascii="方正仿宋_GBK" w:eastAsia="方正仿宋_GBK"/>
          <w:color w:val="000000"/>
          <w:sz w:val="32"/>
        </w:rPr>
        <w:t>渝交规〔2023〕14号</w:t>
      </w:r>
    </w:p>
    <w:p>
      <w:pPr>
        <w:adjustRightInd w:val="0"/>
        <w:snapToGrid w:val="0"/>
        <w:spacing w:line="620" w:lineRule="exact"/>
        <w:jc w:val="left"/>
        <w:rPr>
          <w:bCs/>
          <w:color w:val="000000"/>
          <w:kern w:val="0"/>
          <w:szCs w:val="32"/>
          <w:shd w:val="clear" w:color="auto" w:fill="FFFFFF"/>
        </w:rPr>
      </w:pPr>
    </w:p>
    <w:p>
      <w:pPr>
        <w:spacing w:line="620" w:lineRule="exact"/>
        <w:jc w:val="left"/>
        <w:rPr>
          <w:rFonts w:ascii="方正仿宋_GBK" w:eastAsia="方正仿宋_GBK"/>
          <w:color w:val="000000"/>
          <w:kern w:val="0"/>
          <w:sz w:val="32"/>
          <w:szCs w:val="32"/>
        </w:rPr>
      </w:pPr>
      <w:r>
        <w:rPr>
          <w:rStyle w:val="12"/>
          <w:rFonts w:hint="eastAsia" w:eastAsia="方正仿宋_GBK"/>
          <w:color w:val="000000"/>
          <w:spacing w:val="-6"/>
          <w:sz w:val="32"/>
          <w:szCs w:val="32"/>
        </w:rPr>
        <w:t>各区县（自治县）交通局，两江新区城市管理局、高新区城市管理事务中心、万盛经开区交通局，市公路中心、市道运中心、市交通执法总队，高速集团、各高速公路经营管理单位，相关单位</w:t>
      </w:r>
      <w:r>
        <w:rPr>
          <w:rFonts w:hint="eastAsia" w:ascii="方正仿宋_GBK" w:eastAsia="方正仿宋_GBK"/>
          <w:color w:val="000000"/>
          <w:kern w:val="0"/>
          <w:sz w:val="32"/>
          <w:szCs w:val="32"/>
        </w:rPr>
        <w:t>：</w:t>
      </w:r>
    </w:p>
    <w:p>
      <w:pPr>
        <w:adjustRightInd w:val="0"/>
        <w:snapToGrid w:val="0"/>
        <w:spacing w:line="620" w:lineRule="exact"/>
        <w:ind w:firstLine="640" w:firstLineChars="200"/>
        <w:rPr>
          <w:rFonts w:ascii="方正仿宋_GBK" w:eastAsia="方正仿宋_GBK"/>
          <w:color w:val="000000"/>
          <w:kern w:val="0"/>
          <w:sz w:val="32"/>
          <w:szCs w:val="32"/>
        </w:rPr>
      </w:pPr>
      <w:r>
        <w:rPr>
          <w:rFonts w:hint="eastAsia" w:ascii="方正仿宋_GBK" w:eastAsia="方正仿宋_GBK"/>
          <w:color w:val="000000"/>
          <w:kern w:val="0"/>
          <w:sz w:val="32"/>
          <w:szCs w:val="32"/>
        </w:rPr>
        <w:t>为进一步加强公路超限运输信用管理，完善交通运输信用体系建设，我局制定了《重庆市公路超限运输信用管理实施细则》并经局长办公会审议通过，现印发你们，请认真贯彻执行。</w:t>
      </w:r>
    </w:p>
    <w:p>
      <w:pPr>
        <w:adjustRightInd w:val="0"/>
        <w:snapToGrid w:val="0"/>
        <w:spacing w:line="620" w:lineRule="exact"/>
        <w:ind w:firstLine="640" w:firstLineChars="200"/>
        <w:rPr>
          <w:rFonts w:ascii="方正仿宋_GBK" w:eastAsia="方正仿宋_GBK"/>
          <w:color w:val="000000"/>
          <w:kern w:val="0"/>
          <w:sz w:val="32"/>
          <w:szCs w:val="32"/>
        </w:rPr>
      </w:pPr>
      <w:r>
        <w:rPr>
          <w:rFonts w:hint="eastAsia" w:ascii="方正仿宋_GBK" w:eastAsia="方正仿宋_GBK"/>
          <w:color w:val="000000"/>
          <w:kern w:val="0"/>
          <w:sz w:val="32"/>
          <w:szCs w:val="32"/>
        </w:rPr>
        <w:t>各单位在执行中发现的问题和建议，请及时反馈至市交通局公路管理养护处，以便修正完善。</w:t>
      </w:r>
    </w:p>
    <w:p>
      <w:pPr>
        <w:pStyle w:val="13"/>
        <w:snapToGrid w:val="0"/>
        <w:spacing w:line="620" w:lineRule="exact"/>
        <w:rPr>
          <w:rFonts w:hint="eastAsia" w:ascii="方正仿宋_GBK" w:hAnsi="Times New Roman" w:eastAsia="方正仿宋_GBK"/>
          <w:sz w:val="32"/>
          <w:szCs w:val="32"/>
        </w:rPr>
      </w:pPr>
    </w:p>
    <w:p>
      <w:pPr>
        <w:wordWrap w:val="0"/>
        <w:spacing w:line="560" w:lineRule="exact"/>
        <w:jc w:val="right"/>
        <w:rPr>
          <w:rFonts w:hint="default" w:ascii="方正仿宋_GBK" w:eastAsia="方正仿宋_GBK"/>
          <w:color w:val="000000"/>
          <w:sz w:val="32"/>
          <w:szCs w:val="32"/>
          <w:lang w:val="en-US" w:eastAsia="zh-CN"/>
        </w:rPr>
      </w:pPr>
      <w:r>
        <w:rPr>
          <w:rFonts w:hint="eastAsia" w:ascii="方正仿宋_GBK" w:eastAsia="方正仿宋_GBK"/>
          <w:color w:val="000000"/>
          <w:sz w:val="32"/>
          <w:szCs w:val="32"/>
        </w:rPr>
        <w:t>重庆市交通局</w:t>
      </w:r>
      <w:r>
        <w:rPr>
          <w:rFonts w:hint="eastAsia" w:ascii="方正仿宋_GBK" w:eastAsia="方正仿宋_GBK"/>
          <w:color w:val="000000"/>
          <w:sz w:val="32"/>
          <w:szCs w:val="32"/>
          <w:lang w:val="en-US" w:eastAsia="zh-CN"/>
        </w:rPr>
        <w:t xml:space="preserve">    </w:t>
      </w:r>
    </w:p>
    <w:p>
      <w:pPr>
        <w:wordWrap w:val="0"/>
        <w:jc w:val="right"/>
        <w:rPr>
          <w:rFonts w:hint="eastAsia" w:ascii="方正仿宋_GBK" w:eastAsia="方正仿宋_GBK"/>
          <w:color w:val="000000"/>
          <w:sz w:val="32"/>
          <w:szCs w:val="32"/>
          <w:lang w:val="en-US" w:eastAsia="zh-CN"/>
        </w:rPr>
      </w:pPr>
      <w:r>
        <w:rPr>
          <w:rFonts w:ascii="方正仿宋_GBK" w:eastAsia="方正仿宋_GBK"/>
          <w:color w:val="000000"/>
          <w:sz w:val="32"/>
          <w:szCs w:val="32"/>
        </w:rPr>
        <w:t>2023</w:t>
      </w:r>
      <w:r>
        <w:rPr>
          <w:rFonts w:hint="eastAsia" w:ascii="方正仿宋_GBK" w:eastAsia="方正仿宋_GBK"/>
          <w:color w:val="000000"/>
          <w:sz w:val="32"/>
          <w:szCs w:val="32"/>
        </w:rPr>
        <w:t>年</w:t>
      </w:r>
      <w:r>
        <w:rPr>
          <w:rFonts w:ascii="方正仿宋_GBK" w:eastAsia="方正仿宋_GBK"/>
          <w:color w:val="000000"/>
          <w:sz w:val="32"/>
          <w:szCs w:val="32"/>
        </w:rPr>
        <w:t>12</w:t>
      </w:r>
      <w:r>
        <w:rPr>
          <w:rFonts w:hint="eastAsia" w:ascii="方正仿宋_GBK" w:eastAsia="方正仿宋_GBK"/>
          <w:color w:val="000000"/>
          <w:sz w:val="32"/>
          <w:szCs w:val="32"/>
        </w:rPr>
        <w:t>月</w:t>
      </w:r>
      <w:r>
        <w:rPr>
          <w:rFonts w:ascii="方正仿宋_GBK" w:eastAsia="方正仿宋_GBK"/>
          <w:color w:val="000000"/>
          <w:sz w:val="32"/>
          <w:szCs w:val="32"/>
        </w:rPr>
        <w:t>2</w:t>
      </w:r>
      <w:r>
        <w:rPr>
          <w:rFonts w:hint="eastAsia" w:ascii="方正仿宋_GBK" w:eastAsia="方正仿宋_GBK"/>
          <w:color w:val="000000"/>
          <w:sz w:val="32"/>
          <w:szCs w:val="32"/>
        </w:rPr>
        <w:t>5日</w:t>
      </w:r>
      <w:r>
        <w:rPr>
          <w:rFonts w:hint="eastAsia" w:ascii="方正仿宋_GBK" w:eastAsia="方正仿宋_GBK"/>
          <w:color w:val="000000"/>
          <w:sz w:val="32"/>
          <w:szCs w:val="32"/>
          <w:lang w:val="en-US" w:eastAsia="zh-CN"/>
        </w:rPr>
        <w:t xml:space="preserve">  </w:t>
      </w:r>
    </w:p>
    <w:p>
      <w:pPr>
        <w:rPr>
          <w:rFonts w:hint="eastAsia" w:ascii="方正仿宋_GBK" w:eastAsia="方正仿宋_GBK"/>
          <w:color w:val="000000"/>
          <w:sz w:val="32"/>
          <w:szCs w:val="32"/>
          <w:lang w:val="en-US" w:eastAsia="zh-CN"/>
        </w:rPr>
      </w:pPr>
      <w:r>
        <w:rPr>
          <w:rFonts w:hint="eastAsia" w:ascii="方正仿宋_GBK" w:eastAsia="方正仿宋_GBK"/>
          <w:color w:val="000000"/>
          <w:sz w:val="32"/>
          <w:szCs w:val="32"/>
          <w:lang w:val="en-US" w:eastAsia="zh-CN"/>
        </w:rPr>
        <w:br w:type="page"/>
      </w:r>
    </w:p>
    <w:p>
      <w:pPr>
        <w:adjustRightInd w:val="0"/>
        <w:snapToGrid w:val="0"/>
        <w:jc w:val="center"/>
        <w:rPr>
          <w:rFonts w:hint="eastAsia" w:ascii="方正小标宋_GBK" w:hAnsi="方正小标宋_GBK" w:eastAsia="方正小标宋_GBK" w:cs="方正小标宋_GBK"/>
          <w:bCs/>
          <w:color w:val="000000"/>
          <w:sz w:val="44"/>
          <w:szCs w:val="44"/>
        </w:rPr>
      </w:pPr>
    </w:p>
    <w:p>
      <w:pPr>
        <w:adjustRightInd w:val="0"/>
        <w:snapToGrid w:val="0"/>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重庆市公路超限运输信用管理实施细则</w:t>
      </w:r>
    </w:p>
    <w:p>
      <w:pPr>
        <w:spacing w:line="360" w:lineRule="auto"/>
        <w:jc w:val="center"/>
        <w:rPr>
          <w:rFonts w:ascii="??" w:hAnsi="??"/>
          <w:color w:val="000000"/>
          <w:sz w:val="32"/>
          <w:szCs w:val="32"/>
        </w:rPr>
      </w:pPr>
    </w:p>
    <w:p>
      <w:pPr>
        <w:spacing w:line="560" w:lineRule="exact"/>
        <w:jc w:val="center"/>
        <w:rPr>
          <w:rFonts w:ascii="方正黑体_GBK" w:hAnsi="??" w:eastAsia="方正黑体_GBK"/>
          <w:color w:val="000000"/>
          <w:sz w:val="32"/>
          <w:szCs w:val="32"/>
        </w:rPr>
      </w:pPr>
      <w:r>
        <w:rPr>
          <w:rFonts w:hint="eastAsia" w:ascii="方正黑体_GBK" w:hAnsi="??" w:eastAsia="方正黑体_GBK"/>
          <w:color w:val="000000"/>
          <w:sz w:val="32"/>
          <w:szCs w:val="32"/>
        </w:rPr>
        <w:t>第一章</w:t>
      </w:r>
      <w:r>
        <w:rPr>
          <w:rFonts w:ascii="方正黑体_GBK" w:hAnsi="??" w:eastAsia="方正黑体_GBK"/>
          <w:color w:val="000000"/>
          <w:sz w:val="32"/>
          <w:szCs w:val="32"/>
        </w:rPr>
        <w:t xml:space="preserve">  </w:t>
      </w:r>
      <w:r>
        <w:rPr>
          <w:rFonts w:hint="eastAsia" w:ascii="方正黑体_GBK" w:hAnsi="??" w:eastAsia="方正黑体_GBK"/>
          <w:color w:val="000000"/>
          <w:sz w:val="32"/>
          <w:szCs w:val="32"/>
        </w:rPr>
        <w:t>总则</w:t>
      </w:r>
    </w:p>
    <w:p>
      <w:pPr>
        <w:spacing w:line="560" w:lineRule="exact"/>
        <w:ind w:firstLine="640" w:firstLineChars="200"/>
        <w:rPr>
          <w:rFonts w:ascii="方正楷体_GBK" w:hAnsi="方正楷体_GBK" w:eastAsia="方正黑体_GBK" w:cs="方正楷体_GBK"/>
          <w:bCs/>
          <w:color w:val="000000"/>
          <w:sz w:val="32"/>
          <w:szCs w:val="32"/>
        </w:rPr>
      </w:pP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第一条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bCs/>
          <w:color w:val="000000"/>
          <w:sz w:val="32"/>
          <w:szCs w:val="32"/>
        </w:rPr>
        <w:t>为进一步加强全市公路超限运输信用治理，</w:t>
      </w:r>
      <w:r>
        <w:rPr>
          <w:rFonts w:hint="eastAsia" w:ascii="方正仿宋_GBK" w:hAnsi="方正仿宋_GBK" w:eastAsia="方正仿宋_GBK" w:cs="方正仿宋_GBK"/>
          <w:color w:val="000000"/>
          <w:sz w:val="32"/>
          <w:szCs w:val="32"/>
        </w:rPr>
        <w:t>根据《重庆市社会信用条例》《超限运输车辆行驶公路管理规定》《国务院办公厅关于进一步完善失信约束制度构建诚信建设长效机制的指导意见》等有关规定，结合重庆市公路超限运输管理实际，制定本实施细则。</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第二条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对超限运输信用主体的信用管理应遵循法治轨道，坚持公开公正、过惩相当和切实保护信用主体合法权益原则，强化行业监管效能。</w:t>
      </w:r>
    </w:p>
    <w:p>
      <w:pPr>
        <w:spacing w:line="560" w:lineRule="exact"/>
        <w:ind w:firstLine="640" w:firstLineChars="200"/>
        <w:rPr>
          <w:rFonts w:ascii="方正楷体_GBK" w:hAnsi="方正楷体_GBK" w:eastAsia="方正黑体_GBK" w:cs="方正楷体_GBK"/>
          <w:bCs/>
          <w:color w:val="000000"/>
          <w:sz w:val="32"/>
          <w:szCs w:val="32"/>
        </w:rPr>
      </w:pPr>
      <w:r>
        <w:rPr>
          <w:rFonts w:hint="eastAsia" w:ascii="方正楷体_GBK" w:hAnsi="方正楷体_GBK" w:eastAsia="方正黑体_GBK" w:cs="方正楷体_GBK"/>
          <w:bCs/>
          <w:color w:val="000000"/>
          <w:sz w:val="32"/>
          <w:szCs w:val="32"/>
        </w:rPr>
        <w:t>第三条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本实施细则适用于本市行政区域内公路超限运输公共信用信息采集认定、归集共享、公开和评价应用等管理工作。</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本细则所称信用主体范围是指在本市行政区域内开展货物运输经营活动的货物运输经营者、货运车辆驾驶人及货运车辆。</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第四条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公路超限运输公共信用信息是开展公路超限运输信用管理的基础与依据，具体包括以下内容：</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（一）信用主体基本信息；</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（二）信用主体信用评价等级信息；</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（三）信用主体守信行为、失信行为、信用承诺及履约情况等信用信息；</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（四）本市地方性法规规定的，公路超限运输管理过程中产生和获取的其他信用信息。</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第五条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市交通主管部门负责全市超限运输信用管理工作，制定、发布失信行为评分标准，与市级相关部门共同推动建立信用信息共享和联合惩戒工作机制。</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市交通综合执法机构具体开展违法超限运输失信行为认定与信息采集、信用承诺履约情况监督检查、重点监管对象告知与监督、守信激励与失信惩戒等工作，承担超限运输失信信息汇总、信用评价等级评定、严重失信主体名单认定和修复等工作。</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市公路事务机构具体开展大件运输许可过程中失信行为认定与信息采集、信用承诺履约情况监督检查、重点监管对象告知与监督、守信激励与失信惩戒等工作。</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市道路运输事务机构具体开展道路运输从业人员、车辆和企业的信用评价考核工作。</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各区县（自治县）交通主管部门负责管辖区内超限运输信用管理工作，同级交通综合执法机构、公路事务机构、道路运输事务机构根据职责分工，具体实施本区县（自治县）超限运输信用管理工作。</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高速公路经营管理单位协助对未按许可时间、路线行驶失信行为的认定工作。</w:t>
      </w:r>
    </w:p>
    <w:p>
      <w:pPr>
        <w:spacing w:line="560" w:lineRule="exact"/>
        <w:jc w:val="center"/>
        <w:rPr>
          <w:rFonts w:ascii="??" w:hAnsi="??"/>
          <w:color w:val="000000"/>
          <w:sz w:val="32"/>
          <w:szCs w:val="32"/>
        </w:rPr>
      </w:pPr>
    </w:p>
    <w:p>
      <w:pPr>
        <w:spacing w:line="560" w:lineRule="exact"/>
        <w:jc w:val="center"/>
        <w:rPr>
          <w:rFonts w:ascii="方正黑体_GBK" w:hAnsi="??" w:eastAsia="方正黑体_GBK"/>
          <w:color w:val="000000"/>
          <w:sz w:val="32"/>
          <w:szCs w:val="32"/>
        </w:rPr>
      </w:pPr>
      <w:r>
        <w:rPr>
          <w:rFonts w:hint="eastAsia" w:ascii="方正黑体_GBK" w:hAnsi="??" w:eastAsia="方正黑体_GBK"/>
          <w:color w:val="000000"/>
          <w:sz w:val="32"/>
          <w:szCs w:val="32"/>
        </w:rPr>
        <w:t>第二章</w:t>
      </w:r>
      <w:r>
        <w:rPr>
          <w:rFonts w:ascii="方正黑体_GBK" w:hAnsi="??" w:eastAsia="方正黑体_GBK"/>
          <w:color w:val="000000"/>
          <w:sz w:val="32"/>
          <w:szCs w:val="32"/>
        </w:rPr>
        <w:t xml:space="preserve">  </w:t>
      </w:r>
      <w:r>
        <w:rPr>
          <w:rFonts w:hint="eastAsia" w:ascii="方正黑体_GBK" w:hAnsi="??" w:eastAsia="方正黑体_GBK"/>
          <w:color w:val="000000"/>
          <w:sz w:val="32"/>
          <w:szCs w:val="32"/>
        </w:rPr>
        <w:t>失信行为认定</w:t>
      </w:r>
    </w:p>
    <w:p>
      <w:pPr>
        <w:spacing w:line="560" w:lineRule="exact"/>
        <w:ind w:firstLine="640" w:firstLineChars="200"/>
        <w:rPr>
          <w:rFonts w:ascii="方正楷体_GBK" w:hAnsi="方正楷体_GBK" w:eastAsia="方正黑体_GBK" w:cs="方正楷体_GBK"/>
          <w:bCs/>
          <w:color w:val="000000"/>
          <w:sz w:val="32"/>
          <w:szCs w:val="32"/>
        </w:rPr>
      </w:pP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第六条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在重庆市注册办理的大件运输许可纳入超限运输信用管理体系，信用主体基本信息从行政许可整合管理服务平台数据中采集。</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第七条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超限运输失信行为认定应当以交通、公安或者市治理车辆超限超载工作领导小组其他成员单位实施的行政处罚、行政裁决等相关行政行为决定文书，以及法律、法规或者国务院政策文件规定可作为失信行为认定依据的其他文书为依据。</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第八条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各级交通主管部门或其委托机构对行业信用主体发生的失信行为信息进行采集，并按照超限运输失信行为评分标准规定规则累计实时扣分。行政处罚失信行为的认定日期即为处罚</w:t>
      </w:r>
      <w:r>
        <w:rPr>
          <w:rFonts w:hint="eastAsia" w:ascii="方正仿宋_GBK" w:hAnsi="方正仿宋_GBK" w:eastAsia="方正仿宋_GBK" w:cs="方正仿宋_GBK"/>
          <w:color w:val="000000"/>
          <w:spacing w:val="-8"/>
          <w:sz w:val="32"/>
          <w:szCs w:val="32"/>
        </w:rPr>
        <w:t>决定日期，其他失信行为认定日期与相关文书决定日期相一致。</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失信主体对行政处罚决定不服，申请行政复议或提起行政诉讼的，相关程序终结前，除行政复议机关或人民法院认定需要停止执行的，相关失信行为认定结果不变。行政复议或行政诉讼程序终结后，行政处罚被依法撤销或变更的，相关失信行为认定结果取消或变更，取消的要撤销相应扣分。</w:t>
      </w:r>
    </w:p>
    <w:p>
      <w:pPr>
        <w:spacing w:line="560" w:lineRule="exact"/>
        <w:jc w:val="center"/>
        <w:rPr>
          <w:rFonts w:ascii="??" w:hAnsi="??"/>
          <w:color w:val="000000"/>
          <w:sz w:val="32"/>
          <w:szCs w:val="32"/>
        </w:rPr>
      </w:pPr>
    </w:p>
    <w:p>
      <w:pPr>
        <w:spacing w:line="560" w:lineRule="exact"/>
        <w:jc w:val="center"/>
        <w:rPr>
          <w:rFonts w:ascii="方正黑体_GBK" w:hAnsi="??" w:eastAsia="方正黑体_GBK"/>
          <w:color w:val="000000"/>
          <w:sz w:val="32"/>
          <w:szCs w:val="32"/>
        </w:rPr>
      </w:pPr>
      <w:r>
        <w:rPr>
          <w:rFonts w:hint="eastAsia" w:ascii="方正黑体_GBK" w:hAnsi="??" w:eastAsia="方正黑体_GBK"/>
          <w:color w:val="000000"/>
          <w:sz w:val="32"/>
          <w:szCs w:val="32"/>
        </w:rPr>
        <w:t>第三章</w:t>
      </w:r>
      <w:r>
        <w:rPr>
          <w:rFonts w:ascii="方正黑体_GBK" w:hAnsi="??" w:eastAsia="方正黑体_GBK"/>
          <w:color w:val="000000"/>
          <w:sz w:val="32"/>
          <w:szCs w:val="32"/>
        </w:rPr>
        <w:t xml:space="preserve">  </w:t>
      </w:r>
      <w:r>
        <w:rPr>
          <w:rFonts w:hint="eastAsia" w:ascii="方正黑体_GBK" w:hAnsi="??" w:eastAsia="方正黑体_GBK"/>
          <w:color w:val="000000"/>
          <w:sz w:val="32"/>
          <w:szCs w:val="32"/>
        </w:rPr>
        <w:t>信用评价</w:t>
      </w:r>
    </w:p>
    <w:p>
      <w:pPr>
        <w:spacing w:line="560" w:lineRule="exact"/>
        <w:ind w:firstLine="640" w:firstLineChars="200"/>
        <w:rPr>
          <w:rFonts w:ascii="方正楷体_GBK" w:hAnsi="方正楷体_GBK" w:eastAsia="方正黑体_GBK" w:cs="方正楷体_GBK"/>
          <w:bCs/>
          <w:color w:val="000000"/>
          <w:sz w:val="32"/>
          <w:szCs w:val="32"/>
        </w:rPr>
      </w:pP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第九条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信用主体信用评价采取按周期动态评价的方式，以自然年（</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月</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日至</w:t>
      </w:r>
      <w:r>
        <w:rPr>
          <w:rFonts w:ascii="方正仿宋_GBK" w:hAnsi="方正仿宋_GBK" w:eastAsia="方正仿宋_GBK" w:cs="方正仿宋_GBK"/>
          <w:color w:val="000000"/>
          <w:sz w:val="32"/>
          <w:szCs w:val="32"/>
        </w:rPr>
        <w:t>12</w:t>
      </w:r>
      <w:r>
        <w:rPr>
          <w:rFonts w:hint="eastAsia" w:ascii="方正仿宋_GBK" w:hAnsi="方正仿宋_GBK" w:eastAsia="方正仿宋_GBK" w:cs="方正仿宋_GBK"/>
          <w:color w:val="000000"/>
          <w:sz w:val="32"/>
          <w:szCs w:val="32"/>
        </w:rPr>
        <w:t>月</w:t>
      </w:r>
      <w:r>
        <w:rPr>
          <w:rFonts w:ascii="方正仿宋_GBK" w:hAnsi="方正仿宋_GBK" w:eastAsia="方正仿宋_GBK" w:cs="方正仿宋_GBK"/>
          <w:color w:val="000000"/>
          <w:sz w:val="32"/>
          <w:szCs w:val="32"/>
        </w:rPr>
        <w:t>31</w:t>
      </w:r>
      <w:r>
        <w:rPr>
          <w:rFonts w:hint="eastAsia" w:ascii="方正仿宋_GBK" w:hAnsi="方正仿宋_GBK" w:eastAsia="方正仿宋_GBK" w:cs="方正仿宋_GBK"/>
          <w:color w:val="000000"/>
          <w:sz w:val="32"/>
          <w:szCs w:val="32"/>
        </w:rPr>
        <w:t>日）为一个周期。</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信用主体一个周期内发生失信行为时，实行累计扣分制，初始分值为</w:t>
      </w:r>
      <w:r>
        <w:rPr>
          <w:rFonts w:ascii="方正仿宋_GBK" w:hAnsi="方正仿宋_GBK" w:eastAsia="方正仿宋_GBK" w:cs="方正仿宋_GBK"/>
          <w:color w:val="000000"/>
          <w:sz w:val="32"/>
          <w:szCs w:val="32"/>
        </w:rPr>
        <w:t>100</w:t>
      </w:r>
      <w:r>
        <w:rPr>
          <w:rFonts w:hint="eastAsia" w:ascii="方正仿宋_GBK" w:hAnsi="方正仿宋_GBK" w:eastAsia="方正仿宋_GBK" w:cs="方正仿宋_GBK"/>
          <w:color w:val="000000"/>
          <w:sz w:val="32"/>
          <w:szCs w:val="32"/>
        </w:rPr>
        <w:t>分，相关失信行为的扣分规则及扣分标准依据经营者分梯度扣分公式和超限运输失信行为评分标准执行。同一失信行为符合多种失信行为扣分标准的，按照最高扣分值予以扣分，不重复扣分。</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当累计扣分达到新的信用评价评分区间时，及时调整信用主体的当期信用评价等级。由市交通主管部门作为信用等级评定单位，对调整后的信用评价等级进行认定。</w:t>
      </w:r>
    </w:p>
    <w:p>
      <w:pPr>
        <w:spacing w:line="560" w:lineRule="exact"/>
        <w:ind w:firstLine="640" w:firstLineChars="200"/>
        <w:rPr>
          <w:rFonts w:ascii="仿宋" w:hAnsi="仿宋" w:eastAsia="仿宋"/>
          <w:color w:val="000000"/>
          <w:sz w:val="32"/>
          <w:szCs w:val="32"/>
        </w:rPr>
      </w:pPr>
      <w:r>
        <w:rPr>
          <w:rFonts w:hint="eastAsia" w:ascii="方正楷体_GBK" w:hAnsi="方正楷体_GBK" w:eastAsia="方正黑体_GBK" w:cs="方正楷体_GBK"/>
          <w:bCs/>
          <w:color w:val="000000"/>
          <w:sz w:val="32"/>
          <w:szCs w:val="32"/>
        </w:rPr>
        <w:t>第十条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信用主体的信用评价等级按信用考核得分高低分为好、较好、一般、较差和差五个级别，分别用</w:t>
      </w:r>
      <w:r>
        <w:rPr>
          <w:rFonts w:ascii="方正仿宋_GBK" w:hAnsi="方正仿宋_GBK" w:eastAsia="方正仿宋_GBK" w:cs="方正仿宋_GBK"/>
          <w:color w:val="000000"/>
          <w:sz w:val="32"/>
          <w:szCs w:val="32"/>
        </w:rPr>
        <w:t>AA</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A</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B</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C</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D</w:t>
      </w:r>
      <w:r>
        <w:rPr>
          <w:rFonts w:hint="eastAsia" w:ascii="方正仿宋_GBK" w:hAnsi="方正仿宋_GBK" w:eastAsia="方正仿宋_GBK" w:cs="方正仿宋_GBK"/>
          <w:color w:val="000000"/>
          <w:sz w:val="32"/>
          <w:szCs w:val="32"/>
        </w:rPr>
        <w:t>表示，按照下列标准进行评定：</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AA</w:t>
      </w:r>
      <w:r>
        <w:rPr>
          <w:rFonts w:hint="eastAsia" w:ascii="方正仿宋_GBK" w:hAnsi="方正仿宋_GBK" w:eastAsia="方正仿宋_GBK" w:cs="方正仿宋_GBK"/>
          <w:color w:val="000000"/>
          <w:sz w:val="32"/>
          <w:szCs w:val="32"/>
        </w:rPr>
        <w:t>级：满足以下全部条件，上一评价周期办理过公路超限运输许可（含许可车辆所属货物运输经营者），上一评价周期的最终信用评价等级为</w:t>
      </w:r>
      <w:r>
        <w:rPr>
          <w:rFonts w:ascii="方正仿宋_GBK" w:hAnsi="方正仿宋_GBK" w:eastAsia="方正仿宋_GBK" w:cs="方正仿宋_GBK"/>
          <w:color w:val="000000"/>
          <w:sz w:val="32"/>
          <w:szCs w:val="32"/>
        </w:rPr>
        <w:t>A</w:t>
      </w:r>
      <w:r>
        <w:rPr>
          <w:rFonts w:hint="eastAsia" w:ascii="方正仿宋_GBK" w:hAnsi="方正仿宋_GBK" w:eastAsia="方正仿宋_GBK" w:cs="方正仿宋_GBK"/>
          <w:color w:val="000000"/>
          <w:sz w:val="32"/>
          <w:szCs w:val="32"/>
        </w:rPr>
        <w:t>级以上，当前评价周期内累计扣分</w:t>
      </w:r>
      <w:r>
        <w:rPr>
          <w:rFonts w:ascii="方正仿宋_GBK" w:hAnsi="方正仿宋_GBK" w:eastAsia="方正仿宋_GBK" w:cs="方正仿宋_GBK"/>
          <w:color w:val="000000"/>
          <w:sz w:val="32"/>
          <w:szCs w:val="32"/>
        </w:rPr>
        <w:t>X</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rPr>
        <w:t>分；</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A</w:t>
      </w:r>
      <w:r>
        <w:rPr>
          <w:rFonts w:hint="eastAsia" w:ascii="方正仿宋_GBK" w:hAnsi="方正仿宋_GBK" w:eastAsia="方正仿宋_GBK" w:cs="方正仿宋_GBK"/>
          <w:color w:val="000000"/>
          <w:sz w:val="32"/>
          <w:szCs w:val="32"/>
        </w:rPr>
        <w:t>级：满足以下全部条件，上一评价周期办理过公路超限运输许可（含许可车辆所属货物运输经营者），上一评价周期的最终信用评价等级为</w:t>
      </w:r>
      <w:r>
        <w:rPr>
          <w:rFonts w:ascii="方正仿宋_GBK" w:hAnsi="方正仿宋_GBK" w:eastAsia="方正仿宋_GBK" w:cs="方正仿宋_GBK"/>
          <w:color w:val="000000"/>
          <w:sz w:val="32"/>
          <w:szCs w:val="32"/>
        </w:rPr>
        <w:t>B</w:t>
      </w:r>
      <w:r>
        <w:rPr>
          <w:rFonts w:hint="eastAsia" w:ascii="方正仿宋_GBK" w:hAnsi="方正仿宋_GBK" w:eastAsia="方正仿宋_GBK" w:cs="方正仿宋_GBK"/>
          <w:color w:val="000000"/>
          <w:sz w:val="32"/>
          <w:szCs w:val="32"/>
        </w:rPr>
        <w:t>级以上，当前评价周期内累计扣分</w:t>
      </w:r>
      <w:r>
        <w:rPr>
          <w:rFonts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rPr>
        <w:t>分≤</w:t>
      </w:r>
      <w:r>
        <w:rPr>
          <w:rFonts w:ascii="方正仿宋_GBK" w:hAnsi="方正仿宋_GBK" w:eastAsia="方正仿宋_GBK" w:cs="方正仿宋_GBK"/>
          <w:color w:val="000000"/>
          <w:sz w:val="32"/>
          <w:szCs w:val="32"/>
        </w:rPr>
        <w:t>X</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15</w:t>
      </w:r>
      <w:r>
        <w:rPr>
          <w:rFonts w:hint="eastAsia" w:ascii="方正仿宋_GBK" w:hAnsi="方正仿宋_GBK" w:eastAsia="方正仿宋_GBK" w:cs="方正仿宋_GBK"/>
          <w:color w:val="000000"/>
          <w:sz w:val="32"/>
          <w:szCs w:val="32"/>
        </w:rPr>
        <w:t>分；</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B</w:t>
      </w:r>
      <w:r>
        <w:rPr>
          <w:rFonts w:hint="eastAsia" w:ascii="方正仿宋_GBK" w:hAnsi="方正仿宋_GBK" w:eastAsia="方正仿宋_GBK" w:cs="方正仿宋_GBK"/>
          <w:color w:val="000000"/>
          <w:sz w:val="32"/>
          <w:szCs w:val="32"/>
        </w:rPr>
        <w:t>级：满足以下任一条件，初次进入重庆市交通运输市场，上一评价周期未办理过公路超限运输许可，上一评价周期的最终信用评价等级为</w:t>
      </w:r>
      <w:r>
        <w:rPr>
          <w:rFonts w:ascii="方正仿宋_GBK" w:hAnsi="方正仿宋_GBK" w:eastAsia="方正仿宋_GBK" w:cs="方正仿宋_GBK"/>
          <w:color w:val="000000"/>
          <w:sz w:val="32"/>
          <w:szCs w:val="32"/>
        </w:rPr>
        <w:t>C</w:t>
      </w:r>
      <w:r>
        <w:rPr>
          <w:rFonts w:hint="eastAsia" w:ascii="方正仿宋_GBK" w:hAnsi="方正仿宋_GBK" w:eastAsia="方正仿宋_GBK" w:cs="方正仿宋_GBK"/>
          <w:color w:val="000000"/>
          <w:sz w:val="32"/>
          <w:szCs w:val="32"/>
        </w:rPr>
        <w:t>级以下或无评价结果，当前评价周期内累计扣分</w:t>
      </w:r>
      <w:r>
        <w:rPr>
          <w:rFonts w:ascii="方正仿宋_GBK" w:hAnsi="方正仿宋_GBK" w:eastAsia="方正仿宋_GBK" w:cs="方正仿宋_GBK"/>
          <w:color w:val="000000"/>
          <w:sz w:val="32"/>
          <w:szCs w:val="32"/>
        </w:rPr>
        <w:t>15</w:t>
      </w:r>
      <w:r>
        <w:rPr>
          <w:rFonts w:hint="eastAsia" w:ascii="方正仿宋_GBK" w:hAnsi="方正仿宋_GBK" w:eastAsia="方正仿宋_GBK" w:cs="方正仿宋_GBK"/>
          <w:color w:val="000000"/>
          <w:sz w:val="32"/>
          <w:szCs w:val="32"/>
        </w:rPr>
        <w:t>分≤</w:t>
      </w:r>
      <w:r>
        <w:rPr>
          <w:rFonts w:ascii="方正仿宋_GBK" w:hAnsi="方正仿宋_GBK" w:eastAsia="方正仿宋_GBK" w:cs="方正仿宋_GBK"/>
          <w:color w:val="000000"/>
          <w:sz w:val="32"/>
          <w:szCs w:val="32"/>
        </w:rPr>
        <w:t>X</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25</w:t>
      </w:r>
      <w:r>
        <w:rPr>
          <w:rFonts w:hint="eastAsia" w:ascii="方正仿宋_GBK" w:hAnsi="方正仿宋_GBK" w:eastAsia="方正仿宋_GBK" w:cs="方正仿宋_GBK"/>
          <w:color w:val="000000"/>
          <w:sz w:val="32"/>
          <w:szCs w:val="32"/>
        </w:rPr>
        <w:t>分；</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C</w:t>
      </w:r>
      <w:r>
        <w:rPr>
          <w:rFonts w:hint="eastAsia" w:ascii="方正仿宋_GBK" w:hAnsi="方正仿宋_GBK" w:eastAsia="方正仿宋_GBK" w:cs="方正仿宋_GBK"/>
          <w:color w:val="000000"/>
          <w:sz w:val="32"/>
          <w:szCs w:val="32"/>
        </w:rPr>
        <w:t>级：评价周期内累计扣分为</w:t>
      </w:r>
      <w:r>
        <w:rPr>
          <w:rFonts w:ascii="方正仿宋_GBK" w:hAnsi="方正仿宋_GBK" w:eastAsia="方正仿宋_GBK" w:cs="方正仿宋_GBK"/>
          <w:color w:val="000000"/>
          <w:sz w:val="32"/>
          <w:szCs w:val="32"/>
        </w:rPr>
        <w:t>25</w:t>
      </w:r>
      <w:r>
        <w:rPr>
          <w:rFonts w:hint="eastAsia" w:ascii="方正仿宋_GBK" w:hAnsi="方正仿宋_GBK" w:eastAsia="方正仿宋_GBK" w:cs="方正仿宋_GBK"/>
          <w:color w:val="000000"/>
          <w:sz w:val="32"/>
          <w:szCs w:val="32"/>
        </w:rPr>
        <w:t>分≤</w:t>
      </w:r>
      <w:r>
        <w:rPr>
          <w:rFonts w:ascii="方正仿宋_GBK" w:hAnsi="方正仿宋_GBK" w:eastAsia="方正仿宋_GBK" w:cs="方正仿宋_GBK"/>
          <w:color w:val="000000"/>
          <w:sz w:val="32"/>
          <w:szCs w:val="32"/>
        </w:rPr>
        <w:t>X</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40</w:t>
      </w:r>
      <w:r>
        <w:rPr>
          <w:rFonts w:hint="eastAsia" w:ascii="方正仿宋_GBK" w:hAnsi="方正仿宋_GBK" w:eastAsia="方正仿宋_GBK" w:cs="方正仿宋_GBK"/>
          <w:color w:val="000000"/>
          <w:sz w:val="32"/>
          <w:szCs w:val="32"/>
        </w:rPr>
        <w:t>分，或者存在较严重失信行为；</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D</w:t>
      </w:r>
      <w:r>
        <w:rPr>
          <w:rFonts w:hint="eastAsia" w:ascii="方正仿宋_GBK" w:hAnsi="方正仿宋_GBK" w:eastAsia="方正仿宋_GBK" w:cs="方正仿宋_GBK"/>
          <w:color w:val="000000"/>
          <w:sz w:val="32"/>
          <w:szCs w:val="32"/>
        </w:rPr>
        <w:t>级：评价周期内累计扣分为</w:t>
      </w:r>
      <w:r>
        <w:rPr>
          <w:rFonts w:ascii="方正仿宋_GBK" w:hAnsi="方正仿宋_GBK" w:eastAsia="方正仿宋_GBK" w:cs="方正仿宋_GBK"/>
          <w:color w:val="000000"/>
          <w:sz w:val="32"/>
          <w:szCs w:val="32"/>
        </w:rPr>
        <w:t>40</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X</w:t>
      </w:r>
      <w:r>
        <w:rPr>
          <w:rFonts w:hint="eastAsia" w:ascii="方正仿宋_GBK" w:hAnsi="方正仿宋_GBK" w:eastAsia="方正仿宋_GBK" w:cs="方正仿宋_GBK"/>
          <w:color w:val="000000"/>
          <w:sz w:val="32"/>
          <w:szCs w:val="32"/>
        </w:rPr>
        <w:t>分，或者存在严重失信行为。</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第十一条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动态信用评级结果和累计扣分情况在“信用交通·重庆”“信用中国（重庆）”网站集中公示，公示期为</w:t>
      </w:r>
      <w:r>
        <w:rPr>
          <w:rFonts w:ascii="方正仿宋_GBK" w:hAnsi="方正仿宋_GBK" w:eastAsia="方正仿宋_GBK" w:cs="方正仿宋_GBK"/>
          <w:color w:val="000000"/>
          <w:sz w:val="32"/>
          <w:szCs w:val="32"/>
        </w:rPr>
        <w:t>7</w:t>
      </w:r>
      <w:r>
        <w:rPr>
          <w:rFonts w:hint="eastAsia" w:ascii="方正仿宋_GBK" w:hAnsi="方正仿宋_GBK" w:eastAsia="方正仿宋_GBK" w:cs="方正仿宋_GBK"/>
          <w:color w:val="000000"/>
          <w:sz w:val="32"/>
          <w:szCs w:val="32"/>
        </w:rPr>
        <w:t>个工作日，公示期结束后确认最终等级并自动进行公开发布，针对自然人的信息公示和发布须进行脱敏处理，信用评级结果即期应用。</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信用主体对失信行为扣分结果有异议的，可以向计分单位提出申诉，因客观原因确需修改的，计分单位决定后，调整失信行为扣分，累计扣分和信用等级及时调整。</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信用主体仅对信用评级结果有异议的，可以向信用等级评定单位提出申诉，因客观原因确需修改和调整的，信用等级评定单位应当及时研究，在</w:t>
      </w:r>
      <w:r>
        <w:rPr>
          <w:rFonts w:ascii="方正仿宋_GBK" w:hAnsi="方正仿宋_GBK" w:eastAsia="方正仿宋_GBK" w:cs="方正仿宋_GBK"/>
          <w:color w:val="000000"/>
          <w:sz w:val="32"/>
          <w:szCs w:val="32"/>
        </w:rPr>
        <w:t>7</w:t>
      </w:r>
      <w:r>
        <w:rPr>
          <w:rFonts w:hint="eastAsia" w:ascii="方正仿宋_GBK" w:hAnsi="方正仿宋_GBK" w:eastAsia="方正仿宋_GBK" w:cs="方正仿宋_GBK"/>
          <w:color w:val="000000"/>
          <w:sz w:val="32"/>
          <w:szCs w:val="32"/>
        </w:rPr>
        <w:t>个工作日内修改调整。</w:t>
      </w:r>
    </w:p>
    <w:p>
      <w:pPr>
        <w:spacing w:line="560" w:lineRule="exact"/>
        <w:jc w:val="center"/>
        <w:rPr>
          <w:rFonts w:ascii="??" w:hAnsi="??"/>
          <w:color w:val="000000"/>
          <w:sz w:val="32"/>
          <w:szCs w:val="32"/>
        </w:rPr>
      </w:pPr>
    </w:p>
    <w:p>
      <w:pPr>
        <w:spacing w:line="560" w:lineRule="exact"/>
        <w:jc w:val="center"/>
        <w:rPr>
          <w:rFonts w:ascii="方正黑体_GBK" w:hAnsi="??" w:eastAsia="方正黑体_GBK"/>
          <w:color w:val="000000"/>
          <w:sz w:val="32"/>
          <w:szCs w:val="32"/>
        </w:rPr>
      </w:pPr>
      <w:r>
        <w:rPr>
          <w:rFonts w:hint="eastAsia" w:ascii="方正黑体_GBK" w:hAnsi="??" w:eastAsia="方正黑体_GBK"/>
          <w:color w:val="000000"/>
          <w:sz w:val="32"/>
          <w:szCs w:val="32"/>
        </w:rPr>
        <w:t>第四章</w:t>
      </w:r>
      <w:r>
        <w:rPr>
          <w:rFonts w:ascii="方正黑体_GBK" w:hAnsi="??" w:eastAsia="方正黑体_GBK"/>
          <w:color w:val="000000"/>
          <w:sz w:val="32"/>
          <w:szCs w:val="32"/>
        </w:rPr>
        <w:t xml:space="preserve">  </w:t>
      </w:r>
      <w:r>
        <w:rPr>
          <w:rFonts w:hint="eastAsia" w:ascii="方正黑体_GBK" w:hAnsi="??" w:eastAsia="方正黑体_GBK"/>
          <w:color w:val="000000"/>
          <w:sz w:val="32"/>
          <w:szCs w:val="32"/>
        </w:rPr>
        <w:t>分级监管</w:t>
      </w:r>
    </w:p>
    <w:p>
      <w:pPr>
        <w:spacing w:line="560" w:lineRule="exact"/>
        <w:ind w:firstLine="640" w:firstLineChars="200"/>
        <w:rPr>
          <w:rFonts w:ascii="方正楷体_GBK" w:hAnsi="方正楷体_GBK" w:eastAsia="方正黑体_GBK" w:cs="方正楷体_GBK"/>
          <w:bCs/>
          <w:color w:val="000000"/>
          <w:sz w:val="32"/>
          <w:szCs w:val="32"/>
        </w:rPr>
      </w:pP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第十二条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信用评价等级为</w:t>
      </w:r>
      <w:r>
        <w:rPr>
          <w:rFonts w:ascii="方正仿宋_GBK" w:hAnsi="方正仿宋_GBK" w:eastAsia="方正仿宋_GBK" w:cs="方正仿宋_GBK"/>
          <w:color w:val="000000"/>
          <w:sz w:val="32"/>
          <w:szCs w:val="32"/>
        </w:rPr>
        <w:t>AA</w:t>
      </w:r>
      <w:r>
        <w:rPr>
          <w:rFonts w:hint="eastAsia" w:ascii="方正仿宋_GBK" w:hAnsi="方正仿宋_GBK" w:eastAsia="方正仿宋_GBK" w:cs="方正仿宋_GBK"/>
          <w:color w:val="000000"/>
          <w:sz w:val="32"/>
          <w:szCs w:val="32"/>
        </w:rPr>
        <w:t>级的，在大件运输各类行政事项办理中享受优先办理和容缺办理，在荣誉表彰及评优评先中同等条件下优先考虑，降低日常监督检查频次。</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信用评价等级为</w:t>
      </w:r>
      <w:r>
        <w:rPr>
          <w:rFonts w:ascii="方正仿宋_GBK" w:hAnsi="方正仿宋_GBK" w:eastAsia="方正仿宋_GBK" w:cs="方正仿宋_GBK"/>
          <w:color w:val="000000"/>
          <w:sz w:val="32"/>
          <w:szCs w:val="32"/>
        </w:rPr>
        <w:t>A</w:t>
      </w:r>
      <w:r>
        <w:rPr>
          <w:rFonts w:hint="eastAsia" w:ascii="方正仿宋_GBK" w:hAnsi="方正仿宋_GBK" w:eastAsia="方正仿宋_GBK" w:cs="方正仿宋_GBK"/>
          <w:color w:val="000000"/>
          <w:sz w:val="32"/>
          <w:szCs w:val="32"/>
        </w:rPr>
        <w:t>级以上的，在大件运输行政许可中，适用于容缺受理等信用承诺制，适当降低日常监督检查频次。</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信用评价等级为</w:t>
      </w:r>
      <w:r>
        <w:rPr>
          <w:rFonts w:ascii="方正仿宋_GBK" w:hAnsi="方正仿宋_GBK" w:eastAsia="方正仿宋_GBK" w:cs="方正仿宋_GBK"/>
          <w:color w:val="000000"/>
          <w:sz w:val="32"/>
          <w:szCs w:val="32"/>
        </w:rPr>
        <w:t>B</w:t>
      </w:r>
      <w:r>
        <w:rPr>
          <w:rFonts w:hint="eastAsia" w:ascii="方正仿宋_GBK" w:hAnsi="方正仿宋_GBK" w:eastAsia="方正仿宋_GBK" w:cs="方正仿宋_GBK"/>
          <w:color w:val="000000"/>
          <w:sz w:val="32"/>
          <w:szCs w:val="32"/>
        </w:rPr>
        <w:t>级的，在大件运输行政许可中，可视情况适用容缺受理等信用承诺制。</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信用评价等级为</w:t>
      </w:r>
      <w:r>
        <w:rPr>
          <w:rFonts w:ascii="方正仿宋_GBK" w:hAnsi="方正仿宋_GBK" w:eastAsia="方正仿宋_GBK" w:cs="方正仿宋_GBK"/>
          <w:color w:val="000000"/>
          <w:sz w:val="32"/>
          <w:szCs w:val="32"/>
        </w:rPr>
        <w:t>C</w:t>
      </w:r>
      <w:r>
        <w:rPr>
          <w:rFonts w:hint="eastAsia" w:ascii="方正仿宋_GBK" w:hAnsi="方正仿宋_GBK" w:eastAsia="方正仿宋_GBK" w:cs="方正仿宋_GBK"/>
          <w:color w:val="000000"/>
          <w:sz w:val="32"/>
          <w:szCs w:val="32"/>
        </w:rPr>
        <w:t>级的，列为重点监管和审查对象，不适用容缺受理等信用承诺制，视情况对其法定代表人、主要负责人和负有直接责任的有关人员进行信用约谈，在财政性资金支持中作相应限制。</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信用评价等级为</w:t>
      </w:r>
      <w:r>
        <w:rPr>
          <w:rFonts w:ascii="方正仿宋_GBK" w:hAnsi="方正仿宋_GBK" w:eastAsia="方正仿宋_GBK" w:cs="方正仿宋_GBK"/>
          <w:color w:val="000000"/>
          <w:sz w:val="32"/>
          <w:szCs w:val="32"/>
        </w:rPr>
        <w:t>D</w:t>
      </w:r>
      <w:r>
        <w:rPr>
          <w:rFonts w:hint="eastAsia" w:ascii="方正仿宋_GBK" w:hAnsi="方正仿宋_GBK" w:eastAsia="方正仿宋_GBK" w:cs="方正仿宋_GBK"/>
          <w:color w:val="000000"/>
          <w:sz w:val="32"/>
          <w:szCs w:val="32"/>
        </w:rPr>
        <w:t>级的，不得享受财政性资金扶持，不得参与荣誉表彰及评优评先。同时属于《关于界定严重违法失信超限超载运输行为和相关责任主体有关事项的通知》规定情形的，依法列入严重失信主体名单。</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第十三条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严重失信主体名单有效期为</w:t>
      </w: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年，自信用主体被列入之日起计算。除推送“信用交通·重庆”外，严重失信主体名单对象采取下列惩戒措施或者实施联合惩戒：</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（一）在交通运输行业内新做出的各类信用承诺不予认可；</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（二）名单对象为货运经营者的，由交通主管部门依法依规责令限期整改，整改期间且完成信用修复前不得再次申请货运领域新增运力、新增经营范围、新增分支机构等许可；</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（三）限制参加政府采购，政府投资项目招标投标等公共资源交易活动；</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（四）实施差异化监管，在常规执法监督检查强度和频次基础上予以加强，在“双随机”监管中适当提高抽查比例和频次；</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（五）名单对象申请办理大件运输行政许可时，不得享受容缺受理；</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（六）限制享受其他政府优惠政策或者便利措施。</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推动信息共享和联合惩戒，将对象名单信息共享至地方政府、各类行业协会；推动各类网络货运经营者纳入平台服务评价体系建立健全交易规则；推动“交通信易贷”等各类金融平台限制金融服务与授信额度。</w:t>
      </w:r>
    </w:p>
    <w:p>
      <w:pPr>
        <w:spacing w:line="360" w:lineRule="auto"/>
        <w:jc w:val="center"/>
        <w:rPr>
          <w:rFonts w:ascii="??" w:hAnsi="??"/>
          <w:color w:val="000000"/>
          <w:sz w:val="32"/>
          <w:szCs w:val="32"/>
        </w:rPr>
      </w:pPr>
    </w:p>
    <w:p>
      <w:pPr>
        <w:spacing w:line="360" w:lineRule="auto"/>
        <w:jc w:val="center"/>
        <w:rPr>
          <w:rFonts w:ascii="方正黑体_GBK" w:hAnsi="??" w:eastAsia="方正黑体_GBK"/>
          <w:color w:val="000000"/>
          <w:sz w:val="32"/>
          <w:szCs w:val="32"/>
        </w:rPr>
      </w:pPr>
      <w:r>
        <w:rPr>
          <w:rFonts w:hint="eastAsia" w:ascii="方正黑体_GBK" w:hAnsi="??" w:eastAsia="方正黑体_GBK"/>
          <w:color w:val="000000"/>
          <w:sz w:val="32"/>
          <w:szCs w:val="32"/>
        </w:rPr>
        <w:t>第五章</w:t>
      </w:r>
      <w:r>
        <w:rPr>
          <w:rFonts w:ascii="方正黑体_GBK" w:hAnsi="??" w:eastAsia="方正黑体_GBK"/>
          <w:color w:val="000000"/>
          <w:sz w:val="32"/>
          <w:szCs w:val="32"/>
        </w:rPr>
        <w:t xml:space="preserve">  </w:t>
      </w:r>
      <w:r>
        <w:rPr>
          <w:rFonts w:hint="eastAsia" w:ascii="方正黑体_GBK" w:hAnsi="??" w:eastAsia="方正黑体_GBK"/>
          <w:color w:val="000000"/>
          <w:sz w:val="32"/>
          <w:szCs w:val="32"/>
        </w:rPr>
        <w:t>信用修复</w:t>
      </w:r>
    </w:p>
    <w:p>
      <w:pPr>
        <w:spacing w:line="560" w:lineRule="exact"/>
        <w:ind w:firstLine="640" w:firstLineChars="200"/>
        <w:rPr>
          <w:rFonts w:ascii="方正楷体_GBK" w:hAnsi="方正楷体_GBK" w:eastAsia="方正黑体_GBK" w:cs="方正楷体_GBK"/>
          <w:bCs/>
          <w:color w:val="000000"/>
          <w:sz w:val="32"/>
          <w:szCs w:val="32"/>
        </w:rPr>
      </w:pP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第十四条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被列入严重失信主体名单的信用主体在纠正失信行为、消除不良影响并作出信用承诺后，可以按以下程序申请信用修复：</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（一）培训。提出信用修复申请前，按照严重失信主体认定单位的要求，按照规定完成培训教育。</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（二）申请。向严重失信主体认定单位提出信用修复申请，说明事实和理由，并附信用修复申请书、信用承诺书等材料。</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（三）受理。严重失信主体认定单位收到修复申请后，应当于</w:t>
      </w:r>
      <w:r>
        <w:rPr>
          <w:rFonts w:ascii="方正仿宋_GBK" w:hAnsi="方正仿宋_GBK" w:eastAsia="方正仿宋_GBK" w:cs="方正仿宋_GBK"/>
          <w:color w:val="000000"/>
          <w:sz w:val="32"/>
          <w:szCs w:val="32"/>
        </w:rPr>
        <w:t>10</w:t>
      </w:r>
      <w:r>
        <w:rPr>
          <w:rFonts w:hint="eastAsia" w:ascii="方正仿宋_GBK" w:hAnsi="方正仿宋_GBK" w:eastAsia="方正仿宋_GBK" w:cs="方正仿宋_GBK"/>
          <w:color w:val="000000"/>
          <w:sz w:val="32"/>
          <w:szCs w:val="32"/>
        </w:rPr>
        <w:t>个工作日内受理，不予受理的应当说明理由。</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（四）核查。严重失信主体认定单位采取线上、书面、实地等方式检查核实，必要时可以组织约谈询问。</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（五）公示。严重失信主体认定单位应当自核查完成之日起</w:t>
      </w:r>
      <w:r>
        <w:rPr>
          <w:rFonts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rPr>
        <w:t>个工作日内确认准予修复或者不予修复，不予修复的应当说明理由，准予修复的应在“信用交通”网站进行公示，公示期限不少于</w:t>
      </w:r>
      <w:r>
        <w:rPr>
          <w:rFonts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rPr>
        <w:t>个工作日。</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（六）修复。严重失信主体认定单位应当及时将准予修复并公示通过的信用主体移出严重失信主体名单，解除失信惩戒措施并停止共享公示失信信息。</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第十五条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具有下列情形之一的，不得予以信用修复：</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（一）被列入严重失信主体名单不满</w:t>
      </w:r>
      <w:r>
        <w:rPr>
          <w:rFonts w:ascii="方正仿宋_GBK" w:hAnsi="方正仿宋_GBK" w:eastAsia="方正仿宋_GBK" w:cs="方正仿宋_GBK"/>
          <w:color w:val="000000"/>
          <w:sz w:val="32"/>
          <w:szCs w:val="32"/>
        </w:rPr>
        <w:t>6</w:t>
      </w:r>
      <w:r>
        <w:rPr>
          <w:rFonts w:hint="eastAsia" w:ascii="方正仿宋_GBK" w:hAnsi="方正仿宋_GBK" w:eastAsia="方正仿宋_GBK" w:cs="方正仿宋_GBK"/>
          <w:color w:val="000000"/>
          <w:sz w:val="32"/>
          <w:szCs w:val="32"/>
        </w:rPr>
        <w:t>个月的</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（二）距离上一次信用修复决定时间不满</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年的；</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（三）因违反相关法律法规规定，依法被限制或者禁止行业准入期限尚未届满的；</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（四）申请信用修复过程中存在弄虚作假、故意隐瞒事实、实施欺诈的；</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（五）法律法规明确规定不可以修复的；</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仿宋" w:eastAsia="方正仿宋_GBK"/>
          <w:color w:val="000000"/>
          <w:sz w:val="32"/>
          <w:szCs w:val="32"/>
        </w:rPr>
        <w:t>（六）其他相关规定明确不予</w:t>
      </w:r>
      <w:r>
        <w:rPr>
          <w:rFonts w:hint="eastAsia" w:ascii="方正仿宋_GBK" w:hAnsi="方正仿宋_GBK" w:eastAsia="方正仿宋_GBK" w:cs="方正仿宋_GBK"/>
          <w:color w:val="000000"/>
          <w:sz w:val="32"/>
          <w:szCs w:val="32"/>
        </w:rPr>
        <w:t>修复的。</w:t>
      </w:r>
    </w:p>
    <w:p>
      <w:pPr>
        <w:spacing w:line="360" w:lineRule="auto"/>
        <w:jc w:val="center"/>
        <w:rPr>
          <w:rFonts w:ascii="??" w:hAnsi="??"/>
          <w:color w:val="000000"/>
          <w:sz w:val="32"/>
          <w:szCs w:val="32"/>
        </w:rPr>
      </w:pPr>
    </w:p>
    <w:p>
      <w:pPr>
        <w:spacing w:line="360" w:lineRule="auto"/>
        <w:jc w:val="center"/>
        <w:rPr>
          <w:rFonts w:ascii="方正黑体_GBK" w:hAnsi="??" w:eastAsia="方正黑体_GBK"/>
          <w:color w:val="000000"/>
          <w:sz w:val="32"/>
          <w:szCs w:val="32"/>
        </w:rPr>
      </w:pPr>
      <w:r>
        <w:rPr>
          <w:rFonts w:hint="eastAsia" w:ascii="方正黑体_GBK" w:hAnsi="??" w:eastAsia="方正黑体_GBK"/>
          <w:color w:val="000000"/>
          <w:sz w:val="32"/>
          <w:szCs w:val="32"/>
        </w:rPr>
        <w:t>第六章</w:t>
      </w:r>
      <w:r>
        <w:rPr>
          <w:rFonts w:ascii="方正黑体_GBK" w:hAnsi="??" w:eastAsia="方正黑体_GBK"/>
          <w:color w:val="000000"/>
          <w:sz w:val="32"/>
          <w:szCs w:val="32"/>
        </w:rPr>
        <w:t xml:space="preserve">  </w:t>
      </w:r>
      <w:r>
        <w:rPr>
          <w:rFonts w:hint="eastAsia" w:ascii="方正黑体_GBK" w:hAnsi="??" w:eastAsia="方正黑体_GBK"/>
          <w:color w:val="000000"/>
          <w:sz w:val="32"/>
          <w:szCs w:val="32"/>
        </w:rPr>
        <w:t>工作保障</w:t>
      </w:r>
    </w:p>
    <w:p>
      <w:pPr>
        <w:spacing w:line="560" w:lineRule="exact"/>
        <w:ind w:firstLine="640" w:firstLineChars="200"/>
        <w:rPr>
          <w:rFonts w:ascii="方正楷体_GBK" w:hAnsi="方正楷体_GBK" w:eastAsia="方正黑体_GBK" w:cs="方正楷体_GBK"/>
          <w:bCs/>
          <w:color w:val="000000"/>
          <w:sz w:val="32"/>
          <w:szCs w:val="32"/>
        </w:rPr>
      </w:pP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第十六条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公路超限运输信用管理流程通过以下系统实施：</w:t>
      </w:r>
    </w:p>
    <w:p>
      <w:pPr>
        <w:spacing w:line="560" w:lineRule="exact"/>
        <w:ind w:firstLine="640" w:firstLineChars="200"/>
        <w:rPr>
          <w:rFonts w:ascii="仿宋" w:hAnsi="仿宋" w:eastAsia="仿宋"/>
          <w:color w:val="000000"/>
          <w:sz w:val="32"/>
          <w:szCs w:val="32"/>
        </w:rPr>
      </w:pPr>
      <w:r>
        <w:rPr>
          <w:rFonts w:hint="eastAsia" w:ascii="方正仿宋_GBK" w:hAnsi="方正仿宋_GBK" w:eastAsia="方正仿宋_GBK" w:cs="方正仿宋_GBK"/>
          <w:color w:val="000000"/>
          <w:sz w:val="32"/>
          <w:szCs w:val="32"/>
        </w:rPr>
        <w:t>（一）</w:t>
      </w:r>
      <w:r>
        <w:rPr>
          <w:rFonts w:hint="eastAsia" w:ascii="仿宋" w:hAnsi="仿宋" w:eastAsia="仿宋"/>
          <w:color w:val="000000"/>
          <w:sz w:val="32"/>
          <w:szCs w:val="32"/>
        </w:rPr>
        <w:t>在重庆市治超联网管理信息系统汇总交通综合执法机构违法超限运输失信行为认定与信息归集，市治超办各成员单位通过该系统协同办理超限运输信用监管业务。</w:t>
      </w:r>
    </w:p>
    <w:p>
      <w:pPr>
        <w:spacing w:line="560" w:lineRule="exact"/>
        <w:ind w:firstLine="640" w:firstLineChars="200"/>
        <w:rPr>
          <w:rFonts w:ascii="仿宋" w:hAnsi="仿宋" w:eastAsia="仿宋"/>
          <w:color w:val="000000"/>
          <w:sz w:val="32"/>
          <w:szCs w:val="32"/>
        </w:rPr>
      </w:pPr>
      <w:r>
        <w:rPr>
          <w:rFonts w:hint="eastAsia" w:ascii="方正仿宋_GBK" w:hAnsi="方正仿宋_GBK" w:eastAsia="方正仿宋_GBK" w:cs="方正仿宋_GBK"/>
          <w:color w:val="000000"/>
          <w:sz w:val="32"/>
          <w:szCs w:val="32"/>
        </w:rPr>
        <w:t>（二）</w:t>
      </w:r>
      <w:r>
        <w:rPr>
          <w:rFonts w:hint="eastAsia" w:ascii="仿宋" w:hAnsi="仿宋" w:eastAsia="仿宋"/>
          <w:color w:val="000000"/>
          <w:sz w:val="32"/>
          <w:szCs w:val="32"/>
        </w:rPr>
        <w:t>政务服务系统动态归集大件运输许可信息、动态匹配失信行为主体信息。</w:t>
      </w:r>
    </w:p>
    <w:p>
      <w:pPr>
        <w:spacing w:line="560" w:lineRule="exact"/>
        <w:ind w:firstLine="640" w:firstLineChars="200"/>
        <w:rPr>
          <w:rFonts w:ascii="仿宋" w:hAnsi="仿宋" w:eastAsia="仿宋"/>
          <w:color w:val="000000"/>
          <w:sz w:val="32"/>
          <w:szCs w:val="32"/>
        </w:rPr>
      </w:pPr>
      <w:r>
        <w:rPr>
          <w:rFonts w:hint="eastAsia" w:ascii="方正仿宋_GBK" w:hAnsi="方正仿宋_GBK" w:eastAsia="方正仿宋_GBK" w:cs="方正仿宋_GBK"/>
          <w:color w:val="000000"/>
          <w:sz w:val="32"/>
          <w:szCs w:val="32"/>
        </w:rPr>
        <w:t>（三）</w:t>
      </w:r>
      <w:r>
        <w:rPr>
          <w:rFonts w:hint="eastAsia" w:ascii="仿宋" w:hAnsi="仿宋" w:eastAsia="仿宋"/>
          <w:color w:val="000000"/>
          <w:sz w:val="32"/>
          <w:szCs w:val="32"/>
        </w:rPr>
        <w:t>通过重庆市交通运输信用信息共享平台，实现超限运输信用信息公示、发布，市属货运运输经营者、货运车辆驾驶人以及货运车辆相关信用信息归集，动态信用评价，信用信息查询服务，守信激励与失信惩戒。</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黑体_GBK" w:cs="方正楷体_GBK"/>
          <w:bCs/>
          <w:color w:val="000000"/>
          <w:sz w:val="32"/>
          <w:szCs w:val="32"/>
        </w:rPr>
        <w:t>第十七条</w:t>
      </w:r>
      <w:r>
        <w:rPr>
          <w:rFonts w:ascii="方正楷体_GBK" w:hAnsi="方正楷体_GBK" w:eastAsia="方正黑体_GBK" w:cs="方正楷体_GBK"/>
          <w:bCs/>
          <w:color w:val="000000"/>
          <w:sz w:val="32"/>
          <w:szCs w:val="32"/>
        </w:rPr>
        <w:t xml:space="preserve">  </w:t>
      </w:r>
      <w:r>
        <w:rPr>
          <w:rFonts w:hint="eastAsia" w:ascii="仿宋" w:hAnsi="仿宋" w:eastAsia="仿宋"/>
          <w:color w:val="000000"/>
          <w:sz w:val="32"/>
          <w:szCs w:val="32"/>
        </w:rPr>
        <w:t>市交通主管部门应建立与公安、经济信息、住房和城乡建设、城市管理、应急管理、市场监管等部门的信用信息对接和共享机制，遵</w:t>
      </w:r>
      <w:r>
        <w:rPr>
          <w:rFonts w:hint="eastAsia" w:ascii="方正仿宋_GBK" w:hAnsi="方正仿宋_GBK" w:eastAsia="方正仿宋_GBK" w:cs="方正仿宋_GBK"/>
          <w:color w:val="000000"/>
          <w:sz w:val="32"/>
          <w:szCs w:val="32"/>
        </w:rPr>
        <w:t>循必要性原则按需共享、按需交换，不得擅自扩大和延伸信息共享交换的信用信息范围及内容。</w:t>
      </w:r>
    </w:p>
    <w:p>
      <w:pPr>
        <w:spacing w:line="560" w:lineRule="exact"/>
        <w:ind w:firstLine="640" w:firstLineChars="200"/>
        <w:rPr>
          <w:rFonts w:ascii="仿宋" w:hAnsi="仿宋" w:eastAsia="仿宋"/>
          <w:color w:val="000000"/>
          <w:sz w:val="32"/>
          <w:szCs w:val="32"/>
        </w:rPr>
      </w:pPr>
      <w:r>
        <w:rPr>
          <w:rFonts w:hint="eastAsia" w:ascii="方正楷体_GBK" w:hAnsi="方正楷体_GBK" w:eastAsia="方正黑体_GBK" w:cs="方正楷体_GBK"/>
          <w:color w:val="000000"/>
          <w:sz w:val="32"/>
          <w:szCs w:val="32"/>
        </w:rPr>
        <w:t>第十八条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信用主体有权知晓其信用信息的采集来源、归集应用及变动情况。</w:t>
      </w:r>
    </w:p>
    <w:p>
      <w:pPr>
        <w:spacing w:line="560" w:lineRule="exact"/>
        <w:ind w:firstLine="640" w:firstLineChars="200"/>
        <w:rPr>
          <w:rFonts w:ascii="方正仿宋_GBK" w:hAnsi="方正仿宋_GBK" w:eastAsia="方正仿宋_GBK" w:cs="方正仿宋_GBK"/>
          <w:color w:val="000000"/>
          <w:spacing w:val="-8"/>
          <w:sz w:val="32"/>
          <w:szCs w:val="32"/>
        </w:rPr>
      </w:pPr>
      <w:r>
        <w:rPr>
          <w:rFonts w:hint="eastAsia" w:ascii="方正仿宋_GBK" w:hAnsi="方正仿宋_GBK" w:eastAsia="方正仿宋_GBK" w:cs="方正仿宋_GBK"/>
          <w:color w:val="000000"/>
          <w:sz w:val="32"/>
          <w:szCs w:val="32"/>
        </w:rPr>
        <w:t>市</w:t>
      </w:r>
      <w:r>
        <w:rPr>
          <w:rFonts w:hint="eastAsia" w:ascii="方正仿宋_GBK" w:hAnsi="方正仿宋_GBK" w:eastAsia="方正仿宋_GBK" w:cs="方正仿宋_GBK"/>
          <w:color w:val="000000"/>
          <w:spacing w:val="-8"/>
          <w:sz w:val="32"/>
          <w:szCs w:val="32"/>
        </w:rPr>
        <w:t>交通运输信用信息平台应当向信用主体提供免费查询服务。</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信用主体认为信用信息记录、公示存在错误、遗漏，或者失信惩戒措施不当的，有权向有关部门申诉。</w:t>
      </w:r>
    </w:p>
    <w:p>
      <w:pPr>
        <w:spacing w:line="360" w:lineRule="auto"/>
        <w:jc w:val="center"/>
        <w:rPr>
          <w:rFonts w:ascii="??" w:hAnsi="??"/>
          <w:color w:val="000000"/>
          <w:sz w:val="32"/>
          <w:szCs w:val="32"/>
        </w:rPr>
      </w:pPr>
    </w:p>
    <w:p>
      <w:pPr>
        <w:spacing w:line="360" w:lineRule="auto"/>
        <w:jc w:val="center"/>
        <w:rPr>
          <w:rFonts w:ascii="方正黑体_GBK" w:hAnsi="??" w:eastAsia="方正黑体_GBK"/>
          <w:color w:val="000000"/>
          <w:sz w:val="32"/>
          <w:szCs w:val="32"/>
        </w:rPr>
      </w:pPr>
      <w:r>
        <w:rPr>
          <w:rFonts w:hint="eastAsia" w:ascii="方正黑体_GBK" w:hAnsi="??" w:eastAsia="方正黑体_GBK"/>
          <w:color w:val="000000"/>
          <w:sz w:val="32"/>
          <w:szCs w:val="32"/>
        </w:rPr>
        <w:t>第七章</w:t>
      </w:r>
      <w:r>
        <w:rPr>
          <w:rFonts w:ascii="方正黑体_GBK" w:hAnsi="??" w:eastAsia="方正黑体_GBK"/>
          <w:color w:val="000000"/>
          <w:sz w:val="32"/>
          <w:szCs w:val="32"/>
        </w:rPr>
        <w:t xml:space="preserve">  </w:t>
      </w:r>
      <w:r>
        <w:rPr>
          <w:rFonts w:hint="eastAsia" w:ascii="方正黑体_GBK" w:hAnsi="??" w:eastAsia="方正黑体_GBK"/>
          <w:color w:val="000000"/>
          <w:sz w:val="32"/>
          <w:szCs w:val="32"/>
        </w:rPr>
        <w:t>附则</w:t>
      </w:r>
    </w:p>
    <w:p>
      <w:pPr>
        <w:spacing w:line="360" w:lineRule="auto"/>
        <w:ind w:firstLine="640" w:firstLineChars="200"/>
        <w:rPr>
          <w:rFonts w:ascii="方正楷体_GBK" w:hAnsi="方正楷体_GBK" w:eastAsia="方正黑体_GBK" w:cs="方正楷体_GBK"/>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黑体_GBK" w:cs="方正楷体_GBK"/>
          <w:color w:val="000000"/>
          <w:sz w:val="32"/>
          <w:szCs w:val="32"/>
        </w:rPr>
        <w:t>第十九条</w:t>
      </w:r>
      <w:r>
        <w:rPr>
          <w:rFonts w:ascii="方正楷体_GBK" w:hAnsi="方正楷体_GBK" w:eastAsia="方正黑体_GBK" w:cs="方正楷体_GBK"/>
          <w:bCs/>
          <w:color w:val="000000"/>
          <w:sz w:val="32"/>
          <w:szCs w:val="32"/>
        </w:rPr>
        <w:t xml:space="preserve">  </w:t>
      </w:r>
      <w:r>
        <w:rPr>
          <w:rFonts w:hint="eastAsia" w:ascii="方正仿宋_GBK" w:hAnsi="方正仿宋_GBK" w:eastAsia="方正仿宋_GBK" w:cs="方正仿宋_GBK"/>
          <w:color w:val="000000"/>
          <w:sz w:val="32"/>
          <w:szCs w:val="32"/>
        </w:rPr>
        <w:t>本细则由重庆市交通局负责解释，自</w:t>
      </w:r>
      <w:r>
        <w:rPr>
          <w:rFonts w:ascii="方正仿宋_GBK" w:hAnsi="方正仿宋_GBK" w:eastAsia="方正仿宋_GBK" w:cs="方正仿宋_GBK"/>
          <w:color w:val="000000"/>
          <w:sz w:val="32"/>
          <w:szCs w:val="32"/>
        </w:rPr>
        <w:t>2024</w:t>
      </w:r>
      <w:r>
        <w:rPr>
          <w:rFonts w:hint="eastAsia" w:ascii="方正仿宋_GBK" w:hAnsi="方正仿宋_GBK" w:eastAsia="方正仿宋_GBK" w:cs="方正仿宋_GBK"/>
          <w:color w:val="000000"/>
          <w:sz w:val="32"/>
          <w:szCs w:val="32"/>
        </w:rPr>
        <w:t>年</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月</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日起施行。</w:t>
      </w:r>
    </w:p>
    <w:p>
      <w:pP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br w:type="page"/>
      </w:r>
    </w:p>
    <w:p>
      <w:pPr>
        <w:spacing w:line="360" w:lineRule="auto"/>
        <w:rPr>
          <w:rFonts w:ascii="方正黑体_GBK" w:hAnsi="黑体" w:eastAsia="方正黑体_GBK" w:cs="方正小标宋_GBK"/>
          <w:bCs/>
          <w:color w:val="000000"/>
          <w:sz w:val="32"/>
          <w:szCs w:val="32"/>
        </w:rPr>
      </w:pPr>
      <w:r>
        <w:rPr>
          <w:rFonts w:hint="eastAsia" w:ascii="方正黑体_GBK" w:hAnsi="黑体" w:eastAsia="方正黑体_GBK" w:cs="方正小标宋_GBK"/>
          <w:bCs/>
          <w:color w:val="000000"/>
          <w:sz w:val="32"/>
          <w:szCs w:val="32"/>
        </w:rPr>
        <w:t>附件</w:t>
      </w:r>
      <w:r>
        <w:rPr>
          <w:rFonts w:ascii="方正黑体_GBK" w:hAnsi="黑体" w:eastAsia="方正黑体_GBK" w:cs="方正小标宋_GBK"/>
          <w:bCs/>
          <w:color w:val="000000"/>
          <w:sz w:val="32"/>
          <w:szCs w:val="32"/>
        </w:rPr>
        <w:t>1</w:t>
      </w:r>
    </w:p>
    <w:p>
      <w:pPr>
        <w:pStyle w:val="13"/>
        <w:spacing w:line="500" w:lineRule="exact"/>
      </w:pPr>
    </w:p>
    <w:p>
      <w:pPr>
        <w:adjustRightInd w:val="0"/>
        <w:snapToGrid w:val="0"/>
        <w:spacing w:line="500" w:lineRule="exact"/>
        <w:jc w:val="center"/>
        <w:rPr>
          <w:rFonts w:ascii="方正小标宋_GBK" w:hAnsi="黑体" w:eastAsia="方正小标宋_GBK" w:cs="方正小标宋_GBK"/>
          <w:bCs/>
          <w:color w:val="000000"/>
          <w:sz w:val="44"/>
          <w:szCs w:val="44"/>
        </w:rPr>
      </w:pPr>
      <w:r>
        <w:rPr>
          <w:rFonts w:hint="eastAsia" w:ascii="方正小标宋_GBK" w:hAnsi="黑体" w:eastAsia="方正小标宋_GBK" w:cs="方正小标宋_GBK"/>
          <w:bCs/>
          <w:color w:val="000000"/>
          <w:sz w:val="44"/>
          <w:szCs w:val="44"/>
        </w:rPr>
        <w:t>超限运输失信行为评分标准</w:t>
      </w:r>
    </w:p>
    <w:p>
      <w:pPr>
        <w:spacing w:line="500" w:lineRule="exact"/>
        <w:jc w:val="center"/>
        <w:rPr>
          <w:rFonts w:ascii="??" w:hAnsi="??"/>
          <w:color w:val="000000"/>
          <w:sz w:val="24"/>
          <w:szCs w:val="24"/>
        </w:rPr>
      </w:pPr>
    </w:p>
    <w:p>
      <w:pPr>
        <w:spacing w:line="360" w:lineRule="auto"/>
        <w:jc w:val="center"/>
        <w:rPr>
          <w:rFonts w:ascii="方正黑体_GBK" w:hAnsi="方正楷体_GBK" w:eastAsia="方正黑体_GBK" w:cs="方正楷体_GBK"/>
          <w:color w:val="000000"/>
          <w:sz w:val="32"/>
          <w:szCs w:val="32"/>
        </w:rPr>
      </w:pPr>
      <w:r>
        <w:rPr>
          <w:rFonts w:hint="eastAsia" w:ascii="方正黑体_GBK" w:hAnsi="方正楷体_GBK" w:eastAsia="方正黑体_GBK" w:cs="方正楷体_GBK"/>
          <w:color w:val="000000"/>
          <w:sz w:val="32"/>
          <w:szCs w:val="32"/>
        </w:rPr>
        <w:t>货运车辆超限运输失信行为评分标准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032"/>
        <w:gridCol w:w="241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blHeader/>
          <w:jc w:val="center"/>
        </w:trPr>
        <w:tc>
          <w:tcPr>
            <w:tcW w:w="384" w:type="pct"/>
            <w:noWrap/>
            <w:vAlign w:val="center"/>
          </w:tcPr>
          <w:p>
            <w:pPr>
              <w:spacing w:line="28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序号</w:t>
            </w:r>
          </w:p>
        </w:tc>
        <w:tc>
          <w:tcPr>
            <w:tcW w:w="2225" w:type="pct"/>
            <w:noWrap/>
            <w:vAlign w:val="center"/>
          </w:tcPr>
          <w:p>
            <w:pPr>
              <w:spacing w:line="28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行为指标</w:t>
            </w:r>
          </w:p>
        </w:tc>
        <w:tc>
          <w:tcPr>
            <w:tcW w:w="1333" w:type="pct"/>
            <w:noWrap/>
            <w:vAlign w:val="center"/>
          </w:tcPr>
          <w:p>
            <w:pPr>
              <w:spacing w:line="28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扣分规则</w:t>
            </w:r>
          </w:p>
        </w:tc>
        <w:tc>
          <w:tcPr>
            <w:tcW w:w="1058" w:type="pct"/>
            <w:noWrap w:val="0"/>
            <w:vAlign w:val="center"/>
          </w:tcPr>
          <w:p>
            <w:pPr>
              <w:spacing w:line="28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计分单位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84" w:type="pct"/>
            <w:noWrap/>
            <w:vAlign w:val="center"/>
          </w:tcPr>
          <w:p>
            <w:pPr>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w:t>
            </w:r>
          </w:p>
        </w:tc>
        <w:tc>
          <w:tcPr>
            <w:tcW w:w="2225"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办理大件运输行政许可后，许可通行时间内无该许可通行记录的</w:t>
            </w:r>
          </w:p>
        </w:tc>
        <w:tc>
          <w:tcPr>
            <w:tcW w:w="1333" w:type="pct"/>
            <w:noWrap/>
            <w:vAlign w:val="center"/>
          </w:tcPr>
          <w:p>
            <w:pPr>
              <w:spacing w:line="280" w:lineRule="exact"/>
              <w:rPr>
                <w:rFonts w:ascii="方正仿宋_GBK" w:hAnsi="??" w:eastAsia="方正仿宋_GBK" w:cs="??"/>
                <w:strike/>
                <w:color w:val="000000"/>
                <w:kern w:val="0"/>
                <w:sz w:val="24"/>
                <w:szCs w:val="24"/>
              </w:rPr>
            </w:pPr>
            <w:r>
              <w:rPr>
                <w:rFonts w:hint="eastAsia" w:ascii="方正仿宋_GBK" w:hAnsi="??" w:eastAsia="方正仿宋_GBK" w:cs="??"/>
                <w:color w:val="000000"/>
                <w:kern w:val="0"/>
                <w:sz w:val="24"/>
                <w:szCs w:val="24"/>
              </w:rPr>
              <w:t>每连续发生</w:t>
            </w:r>
            <w:r>
              <w:rPr>
                <w:rFonts w:ascii="方正仿宋_GBK" w:hAnsi="??" w:eastAsia="方正仿宋_GBK" w:cs="??"/>
                <w:color w:val="000000"/>
                <w:kern w:val="0"/>
                <w:sz w:val="24"/>
                <w:szCs w:val="24"/>
              </w:rPr>
              <w:t>3</w:t>
            </w:r>
            <w:r>
              <w:rPr>
                <w:rFonts w:hint="eastAsia" w:ascii="方正仿宋_GBK" w:hAnsi="??" w:eastAsia="方正仿宋_GBK" w:cs="??"/>
                <w:color w:val="000000"/>
                <w:kern w:val="0"/>
                <w:sz w:val="24"/>
                <w:szCs w:val="24"/>
              </w:rPr>
              <w:t>起扣</w:t>
            </w:r>
            <w:r>
              <w:rPr>
                <w:rFonts w:ascii="方正仿宋_GBK" w:hAnsi="??" w:eastAsia="方正仿宋_GBK" w:cs="??"/>
                <w:color w:val="000000"/>
                <w:kern w:val="0"/>
                <w:sz w:val="24"/>
                <w:szCs w:val="24"/>
              </w:rPr>
              <w:t>5</w:t>
            </w:r>
            <w:r>
              <w:rPr>
                <w:rFonts w:hint="eastAsia" w:ascii="方正仿宋_GBK" w:hAnsi="??" w:eastAsia="方正仿宋_GBK" w:cs="??"/>
                <w:color w:val="000000"/>
                <w:kern w:val="0"/>
                <w:sz w:val="24"/>
                <w:szCs w:val="24"/>
              </w:rPr>
              <w:t>分（扣分后次数按清零计）</w:t>
            </w:r>
          </w:p>
        </w:tc>
        <w:tc>
          <w:tcPr>
            <w:tcW w:w="1058"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公路事务机构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84" w:type="pct"/>
            <w:noWrap/>
            <w:vAlign w:val="center"/>
          </w:tcPr>
          <w:p>
            <w:pPr>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2</w:t>
            </w:r>
          </w:p>
        </w:tc>
        <w:tc>
          <w:tcPr>
            <w:tcW w:w="2225"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货运车辆违法超限运输的</w:t>
            </w:r>
          </w:p>
        </w:tc>
        <w:tc>
          <w:tcPr>
            <w:tcW w:w="1333" w:type="pct"/>
            <w:noWrap/>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10</w:t>
            </w:r>
            <w:r>
              <w:rPr>
                <w:rFonts w:hint="eastAsia" w:ascii="方正仿宋_GBK" w:hAnsi="??" w:eastAsia="方正仿宋_GBK" w:cs="??"/>
                <w:color w:val="000000"/>
                <w:kern w:val="0"/>
                <w:sz w:val="24"/>
                <w:szCs w:val="24"/>
              </w:rPr>
              <w:t>分</w:t>
            </w:r>
          </w:p>
        </w:tc>
        <w:tc>
          <w:tcPr>
            <w:tcW w:w="1058"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84" w:type="pct"/>
            <w:noWrap/>
            <w:vAlign w:val="center"/>
          </w:tcPr>
          <w:p>
            <w:pPr>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3</w:t>
            </w:r>
          </w:p>
        </w:tc>
        <w:tc>
          <w:tcPr>
            <w:tcW w:w="2225"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大件运输车辆未按许可的时间、路线、速度行驶公路被行政处罚的</w:t>
            </w:r>
          </w:p>
        </w:tc>
        <w:tc>
          <w:tcPr>
            <w:tcW w:w="1333" w:type="pct"/>
            <w:noWrap/>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10</w:t>
            </w:r>
            <w:r>
              <w:rPr>
                <w:rFonts w:hint="eastAsia" w:ascii="方正仿宋_GBK" w:hAnsi="??" w:eastAsia="方正仿宋_GBK" w:cs="??"/>
                <w:color w:val="000000"/>
                <w:kern w:val="0"/>
                <w:sz w:val="24"/>
                <w:szCs w:val="24"/>
              </w:rPr>
              <w:t>分</w:t>
            </w:r>
          </w:p>
        </w:tc>
        <w:tc>
          <w:tcPr>
            <w:tcW w:w="1058"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384" w:type="pct"/>
            <w:noWrap/>
            <w:vAlign w:val="center"/>
          </w:tcPr>
          <w:p>
            <w:pPr>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4</w:t>
            </w:r>
          </w:p>
        </w:tc>
        <w:tc>
          <w:tcPr>
            <w:tcW w:w="2225"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大件运输车辆未经许可擅自行驶公路的</w:t>
            </w:r>
          </w:p>
        </w:tc>
        <w:tc>
          <w:tcPr>
            <w:tcW w:w="1333" w:type="pct"/>
            <w:noWrap/>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10</w:t>
            </w:r>
            <w:r>
              <w:rPr>
                <w:rFonts w:hint="eastAsia" w:ascii="方正仿宋_GBK" w:hAnsi="??" w:eastAsia="方正仿宋_GBK" w:cs="??"/>
                <w:color w:val="000000"/>
                <w:kern w:val="0"/>
                <w:sz w:val="24"/>
                <w:szCs w:val="24"/>
              </w:rPr>
              <w:t>分</w:t>
            </w:r>
          </w:p>
        </w:tc>
        <w:tc>
          <w:tcPr>
            <w:tcW w:w="1058"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384" w:type="pct"/>
            <w:noWrap/>
            <w:vAlign w:val="center"/>
          </w:tcPr>
          <w:p>
            <w:pPr>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5</w:t>
            </w:r>
          </w:p>
        </w:tc>
        <w:tc>
          <w:tcPr>
            <w:tcW w:w="2225"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大件运输车辆及装载物品的有关情况与《超限运输车辆通行证》记载的内容不一致的</w:t>
            </w:r>
          </w:p>
        </w:tc>
        <w:tc>
          <w:tcPr>
            <w:tcW w:w="1333" w:type="pct"/>
            <w:noWrap/>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10</w:t>
            </w:r>
            <w:r>
              <w:rPr>
                <w:rFonts w:hint="eastAsia" w:ascii="方正仿宋_GBK" w:hAnsi="??" w:eastAsia="方正仿宋_GBK" w:cs="??"/>
                <w:color w:val="000000"/>
                <w:kern w:val="0"/>
                <w:sz w:val="24"/>
                <w:szCs w:val="24"/>
              </w:rPr>
              <w:t>分</w:t>
            </w:r>
          </w:p>
        </w:tc>
        <w:tc>
          <w:tcPr>
            <w:tcW w:w="1058"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384" w:type="pct"/>
            <w:noWrap/>
            <w:vAlign w:val="center"/>
          </w:tcPr>
          <w:p>
            <w:pPr>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6</w:t>
            </w:r>
          </w:p>
        </w:tc>
        <w:tc>
          <w:tcPr>
            <w:tcW w:w="2225"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使用伪造、变造的超限运输车辆通行证</w:t>
            </w:r>
          </w:p>
        </w:tc>
        <w:tc>
          <w:tcPr>
            <w:tcW w:w="1333" w:type="pct"/>
            <w:noWrap/>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058"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384" w:type="pct"/>
            <w:noWrap/>
            <w:vAlign w:val="center"/>
          </w:tcPr>
          <w:p>
            <w:pPr>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7</w:t>
            </w:r>
          </w:p>
        </w:tc>
        <w:tc>
          <w:tcPr>
            <w:tcW w:w="2225"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车货总重达</w:t>
            </w:r>
            <w:r>
              <w:rPr>
                <w:rFonts w:ascii="方正仿宋_GBK" w:hAnsi="??" w:eastAsia="方正仿宋_GBK" w:cs="??"/>
                <w:color w:val="000000"/>
                <w:kern w:val="0"/>
                <w:sz w:val="24"/>
                <w:szCs w:val="24"/>
              </w:rPr>
              <w:t>100</w:t>
            </w:r>
            <w:r>
              <w:rPr>
                <w:rFonts w:hint="eastAsia" w:ascii="方正仿宋_GBK" w:hAnsi="??" w:eastAsia="方正仿宋_GBK" w:cs="??"/>
                <w:color w:val="000000"/>
                <w:kern w:val="0"/>
                <w:sz w:val="24"/>
                <w:szCs w:val="24"/>
              </w:rPr>
              <w:t>吨以上的严重超限违法货运行为</w:t>
            </w:r>
          </w:p>
        </w:tc>
        <w:tc>
          <w:tcPr>
            <w:tcW w:w="1333" w:type="pct"/>
            <w:noWrap/>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058"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384" w:type="pct"/>
            <w:noWrap/>
            <w:vAlign w:val="center"/>
          </w:tcPr>
          <w:p>
            <w:pPr>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8</w:t>
            </w:r>
          </w:p>
        </w:tc>
        <w:tc>
          <w:tcPr>
            <w:tcW w:w="2225"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被列入交通运输部严重违法失信超限超载运输当事人名单的</w:t>
            </w:r>
          </w:p>
        </w:tc>
        <w:tc>
          <w:tcPr>
            <w:tcW w:w="1333" w:type="pct"/>
            <w:noWrap/>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058" w:type="pct"/>
            <w:noWrap w:val="0"/>
            <w:vAlign w:val="center"/>
          </w:tcPr>
          <w:p>
            <w:pPr>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市交通运输综合行政执法总队</w:t>
            </w:r>
          </w:p>
        </w:tc>
      </w:tr>
    </w:tbl>
    <w:p>
      <w:pPr>
        <w:widowControl/>
        <w:jc w:val="center"/>
        <w:rPr>
          <w:rFonts w:hint="eastAsia" w:ascii="方正黑体_GBK" w:hAnsi="方正楷体_GBK" w:eastAsia="方正黑体_GBK" w:cs="方正楷体_GBK"/>
          <w:color w:val="000000"/>
          <w:sz w:val="32"/>
          <w:szCs w:val="32"/>
        </w:rPr>
      </w:pPr>
    </w:p>
    <w:p>
      <w:pPr>
        <w:widowControl/>
        <w:jc w:val="center"/>
        <w:rPr>
          <w:rFonts w:hint="eastAsia" w:ascii="方正黑体_GBK" w:hAnsi="方正楷体_GBK" w:eastAsia="方正黑体_GBK" w:cs="方正楷体_GBK"/>
          <w:color w:val="000000"/>
          <w:sz w:val="32"/>
          <w:szCs w:val="32"/>
        </w:rPr>
      </w:pPr>
    </w:p>
    <w:p>
      <w:pPr>
        <w:widowControl/>
        <w:jc w:val="center"/>
        <w:rPr>
          <w:rFonts w:hint="eastAsia" w:ascii="方正黑体_GBK" w:hAnsi="方正楷体_GBK" w:eastAsia="方正黑体_GBK" w:cs="方正楷体_GBK"/>
          <w:color w:val="000000"/>
          <w:sz w:val="32"/>
          <w:szCs w:val="32"/>
        </w:rPr>
      </w:pPr>
    </w:p>
    <w:p>
      <w:pPr>
        <w:widowControl/>
        <w:jc w:val="center"/>
        <w:rPr>
          <w:rFonts w:ascii="方正黑体_GBK" w:hAnsi="方正楷体_GBK" w:eastAsia="方正黑体_GBK" w:cs="方正楷体_GBK"/>
          <w:color w:val="000000"/>
          <w:sz w:val="32"/>
          <w:szCs w:val="32"/>
        </w:rPr>
      </w:pPr>
      <w:r>
        <w:rPr>
          <w:rFonts w:hint="eastAsia" w:ascii="方正黑体_GBK" w:hAnsi="方正楷体_GBK" w:eastAsia="方正黑体_GBK" w:cs="方正楷体_GBK"/>
          <w:color w:val="000000"/>
          <w:sz w:val="32"/>
          <w:szCs w:val="32"/>
        </w:rPr>
        <w:t>货运车辆驾驶员超限运输失信行为评分标准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136"/>
        <w:gridCol w:w="2256"/>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4" w:type="pct"/>
            <w:noWrap/>
            <w:vAlign w:val="center"/>
          </w:tcPr>
          <w:p>
            <w:pPr>
              <w:widowControl/>
              <w:spacing w:line="28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序号</w:t>
            </w:r>
          </w:p>
        </w:tc>
        <w:tc>
          <w:tcPr>
            <w:tcW w:w="2283" w:type="pct"/>
            <w:noWrap/>
            <w:vAlign w:val="center"/>
          </w:tcPr>
          <w:p>
            <w:pPr>
              <w:widowControl/>
              <w:spacing w:line="28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行为指标</w:t>
            </w:r>
          </w:p>
        </w:tc>
        <w:tc>
          <w:tcPr>
            <w:tcW w:w="1244" w:type="pct"/>
            <w:noWrap/>
            <w:vAlign w:val="center"/>
          </w:tcPr>
          <w:p>
            <w:pPr>
              <w:widowControl/>
              <w:spacing w:line="28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扣分规则</w:t>
            </w:r>
          </w:p>
        </w:tc>
        <w:tc>
          <w:tcPr>
            <w:tcW w:w="1089" w:type="pct"/>
            <w:noWrap w:val="0"/>
            <w:vAlign w:val="center"/>
          </w:tcPr>
          <w:p>
            <w:pPr>
              <w:widowControl/>
              <w:spacing w:line="28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计分单位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在有关部门监督检查中发现故意</w:t>
            </w:r>
            <w:r>
              <w:rPr>
                <w:rFonts w:hint="eastAsia" w:ascii="方正仿宋_GBK" w:hAnsi="??" w:eastAsia="方正仿宋_GBK"/>
                <w:color w:val="000000"/>
                <w:sz w:val="24"/>
                <w:szCs w:val="24"/>
              </w:rPr>
              <w:t>作出虚假承诺或</w:t>
            </w:r>
            <w:r>
              <w:rPr>
                <w:rFonts w:hint="eastAsia" w:ascii="方正仿宋_GBK" w:hAnsi="??" w:eastAsia="方正仿宋_GBK" w:cs="??"/>
                <w:color w:val="000000"/>
                <w:kern w:val="0"/>
                <w:sz w:val="24"/>
                <w:szCs w:val="24"/>
              </w:rPr>
              <w:t>拒不履行信用承诺事项的</w:t>
            </w:r>
          </w:p>
        </w:tc>
        <w:tc>
          <w:tcPr>
            <w:tcW w:w="1244" w:type="pct"/>
            <w:noWrap/>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5</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2</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驾驶为超限非法改装、拼装后机动车行驶公路的</w:t>
            </w:r>
          </w:p>
        </w:tc>
        <w:tc>
          <w:tcPr>
            <w:tcW w:w="1244" w:type="pct"/>
            <w:noWrap/>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5</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3</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驾驶违法超限运输货运车辆的</w:t>
            </w:r>
          </w:p>
        </w:tc>
        <w:tc>
          <w:tcPr>
            <w:tcW w:w="1244" w:type="pct"/>
            <w:noWrap/>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10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4</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大件运输车辆未按许可的时间、路线、速度行驶公路被行政处罚的</w:t>
            </w:r>
          </w:p>
        </w:tc>
        <w:tc>
          <w:tcPr>
            <w:tcW w:w="1244" w:type="pct"/>
            <w:noWrap/>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10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5</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大件运输车辆未经许可擅自行驶公路的</w:t>
            </w:r>
          </w:p>
        </w:tc>
        <w:tc>
          <w:tcPr>
            <w:tcW w:w="1244" w:type="pct"/>
            <w:noWrap/>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10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6</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大件运输车辆及装载物品的有关情况与《超限运输车辆通行证》记载的内容不一致的</w:t>
            </w:r>
          </w:p>
        </w:tc>
        <w:tc>
          <w:tcPr>
            <w:tcW w:w="1244" w:type="pct"/>
            <w:noWrap/>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10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7</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使用伪造、变造的超限运输车辆通行证</w:t>
            </w:r>
          </w:p>
        </w:tc>
        <w:tc>
          <w:tcPr>
            <w:tcW w:w="1244" w:type="pct"/>
            <w:noWrap/>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8</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超限超载运输车辆驾驶人无正当理由拒绝有关部门监督检查或者提供虚假情况的</w:t>
            </w:r>
          </w:p>
        </w:tc>
        <w:tc>
          <w:tcPr>
            <w:tcW w:w="1244"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9</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因堵塞交通、强行冲卡被公安机关依法给予行政处罚的</w:t>
            </w:r>
          </w:p>
        </w:tc>
        <w:tc>
          <w:tcPr>
            <w:tcW w:w="1244"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10</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因违法超限超载造成重大责任事故且负同等责任以上的</w:t>
            </w:r>
          </w:p>
        </w:tc>
        <w:tc>
          <w:tcPr>
            <w:tcW w:w="1244" w:type="pct"/>
            <w:noWrap w:val="0"/>
            <w:vAlign w:val="center"/>
          </w:tcPr>
          <w:p>
            <w:pPr>
              <w:widowControl/>
              <w:spacing w:line="28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11</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因暴力抗法、破坏相关设施设备被公安机关依法给予行政处罚，或致人死亡、伤害的</w:t>
            </w:r>
          </w:p>
        </w:tc>
        <w:tc>
          <w:tcPr>
            <w:tcW w:w="1244" w:type="pct"/>
            <w:noWrap w:val="0"/>
            <w:vAlign w:val="center"/>
          </w:tcPr>
          <w:p>
            <w:pPr>
              <w:widowControl/>
              <w:spacing w:line="28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12</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车货总重达</w:t>
            </w:r>
            <w:r>
              <w:rPr>
                <w:rFonts w:ascii="方正仿宋_GBK" w:hAnsi="??" w:eastAsia="方正仿宋_GBK" w:cs="??"/>
                <w:color w:val="000000"/>
                <w:kern w:val="0"/>
                <w:sz w:val="24"/>
                <w:szCs w:val="24"/>
              </w:rPr>
              <w:t>100</w:t>
            </w:r>
            <w:r>
              <w:rPr>
                <w:rFonts w:hint="eastAsia" w:ascii="方正仿宋_GBK" w:hAnsi="??" w:eastAsia="方正仿宋_GBK" w:cs="??"/>
                <w:color w:val="000000"/>
                <w:kern w:val="0"/>
                <w:sz w:val="24"/>
                <w:szCs w:val="24"/>
              </w:rPr>
              <w:t>吨以上的严重超限违法货运行为</w:t>
            </w:r>
          </w:p>
        </w:tc>
        <w:tc>
          <w:tcPr>
            <w:tcW w:w="1244" w:type="pct"/>
            <w:noWrap w:val="0"/>
            <w:vAlign w:val="center"/>
          </w:tcPr>
          <w:p>
            <w:pPr>
              <w:widowControl/>
              <w:spacing w:line="28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84" w:type="pct"/>
            <w:noWrap/>
            <w:vAlign w:val="center"/>
          </w:tcPr>
          <w:p>
            <w:pPr>
              <w:widowControl/>
              <w:spacing w:line="28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13</w:t>
            </w:r>
          </w:p>
        </w:tc>
        <w:tc>
          <w:tcPr>
            <w:tcW w:w="2283" w:type="pct"/>
            <w:noWrap w:val="0"/>
            <w:vAlign w:val="center"/>
          </w:tcPr>
          <w:p>
            <w:pPr>
              <w:widowControl/>
              <w:spacing w:line="28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被列入交通运输部严重违法失信超限超载运输当事人名单的</w:t>
            </w:r>
          </w:p>
        </w:tc>
        <w:tc>
          <w:tcPr>
            <w:tcW w:w="1244" w:type="pct"/>
            <w:noWrap w:val="0"/>
            <w:vAlign w:val="center"/>
          </w:tcPr>
          <w:p>
            <w:pPr>
              <w:widowControl/>
              <w:spacing w:line="28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089" w:type="pct"/>
            <w:noWrap w:val="0"/>
            <w:vAlign w:val="center"/>
          </w:tcPr>
          <w:p>
            <w:pPr>
              <w:widowControl/>
              <w:spacing w:line="280" w:lineRule="exact"/>
              <w:ind w:right="-111" w:rightChars="-53"/>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市交通运输综合行政执法总队</w:t>
            </w:r>
          </w:p>
        </w:tc>
      </w:tr>
    </w:tbl>
    <w:p>
      <w:pPr>
        <w:widowControl/>
        <w:jc w:val="center"/>
        <w:rPr>
          <w:rFonts w:ascii="方正黑体_GBK" w:hAnsi="方正楷体_GBK" w:eastAsia="方正黑体_GBK" w:cs="方正楷体_GBK"/>
          <w:color w:val="000000"/>
          <w:sz w:val="32"/>
          <w:szCs w:val="32"/>
        </w:rPr>
      </w:pPr>
      <w:r>
        <w:rPr>
          <w:rFonts w:hint="eastAsia" w:ascii="方正黑体_GBK" w:hAnsi="方正楷体_GBK" w:eastAsia="方正黑体_GBK" w:cs="方正楷体_GBK"/>
          <w:color w:val="000000"/>
          <w:sz w:val="32"/>
          <w:szCs w:val="32"/>
        </w:rPr>
        <w:t>货物运输经营者超限运输失信行为评分标准</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4201"/>
        <w:gridCol w:w="2321"/>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blHeader/>
        </w:trPr>
        <w:tc>
          <w:tcPr>
            <w:tcW w:w="291" w:type="pct"/>
            <w:noWrap/>
            <w:vAlign w:val="center"/>
          </w:tcPr>
          <w:p>
            <w:pPr>
              <w:widowControl/>
              <w:spacing w:line="32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序号</w:t>
            </w:r>
          </w:p>
        </w:tc>
        <w:tc>
          <w:tcPr>
            <w:tcW w:w="2318" w:type="pct"/>
            <w:noWrap/>
            <w:vAlign w:val="center"/>
          </w:tcPr>
          <w:p>
            <w:pPr>
              <w:widowControl/>
              <w:spacing w:line="32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行为指标</w:t>
            </w:r>
          </w:p>
        </w:tc>
        <w:tc>
          <w:tcPr>
            <w:tcW w:w="1281" w:type="pct"/>
            <w:noWrap/>
            <w:vAlign w:val="center"/>
          </w:tcPr>
          <w:p>
            <w:pPr>
              <w:widowControl/>
              <w:spacing w:line="32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扣分规则</w:t>
            </w:r>
          </w:p>
        </w:tc>
        <w:tc>
          <w:tcPr>
            <w:tcW w:w="1110" w:type="pct"/>
            <w:noWrap w:val="0"/>
            <w:vAlign w:val="center"/>
          </w:tcPr>
          <w:p>
            <w:pPr>
              <w:widowControl/>
              <w:spacing w:line="320" w:lineRule="exact"/>
              <w:jc w:val="center"/>
              <w:rPr>
                <w:rFonts w:ascii="方正黑体_GBK" w:hAnsi="??" w:eastAsia="方正黑体_GBK" w:cs="??"/>
                <w:bCs/>
                <w:color w:val="000000"/>
                <w:kern w:val="0"/>
                <w:sz w:val="24"/>
                <w:szCs w:val="24"/>
              </w:rPr>
            </w:pPr>
            <w:r>
              <w:rPr>
                <w:rFonts w:hint="eastAsia" w:ascii="方正黑体_GBK" w:hAnsi="??" w:eastAsia="方正黑体_GBK" w:cs="??"/>
                <w:bCs/>
                <w:color w:val="000000"/>
                <w:kern w:val="0"/>
                <w:sz w:val="24"/>
                <w:szCs w:val="24"/>
              </w:rPr>
              <w:t>计分单位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未按照大件运输行政许可办理要求重复办件的</w:t>
            </w:r>
          </w:p>
        </w:tc>
        <w:tc>
          <w:tcPr>
            <w:tcW w:w="1281" w:type="pct"/>
            <w:noWrap/>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1</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公路事务机构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2</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办理大件运输行政许可后，许可通行时间内无该许可通行记录的</w:t>
            </w:r>
          </w:p>
        </w:tc>
        <w:tc>
          <w:tcPr>
            <w:tcW w:w="1281" w:type="pct"/>
            <w:noWrap/>
            <w:vAlign w:val="center"/>
          </w:tcPr>
          <w:p>
            <w:pPr>
              <w:widowControl/>
              <w:spacing w:line="320" w:lineRule="exact"/>
              <w:rPr>
                <w:rFonts w:ascii="方正仿宋_GBK" w:hAnsi="??" w:eastAsia="方正仿宋_GBK" w:cs="??"/>
                <w:strike/>
                <w:color w:val="000000"/>
                <w:kern w:val="0"/>
                <w:sz w:val="24"/>
                <w:szCs w:val="24"/>
              </w:rPr>
            </w:pPr>
            <w:r>
              <w:rPr>
                <w:rFonts w:hint="eastAsia" w:ascii="方正仿宋_GBK" w:hAnsi="??" w:eastAsia="方正仿宋_GBK" w:cs="??"/>
                <w:color w:val="000000"/>
                <w:kern w:val="0"/>
                <w:sz w:val="24"/>
                <w:szCs w:val="24"/>
              </w:rPr>
              <w:t>每连续发生</w:t>
            </w:r>
            <w:r>
              <w:rPr>
                <w:rFonts w:ascii="方正仿宋_GBK" w:hAnsi="??" w:eastAsia="方正仿宋_GBK" w:cs="??"/>
                <w:color w:val="000000"/>
                <w:kern w:val="0"/>
                <w:sz w:val="24"/>
                <w:szCs w:val="24"/>
              </w:rPr>
              <w:t>3</w:t>
            </w:r>
            <w:r>
              <w:rPr>
                <w:rFonts w:hint="eastAsia" w:ascii="方正仿宋_GBK" w:hAnsi="??" w:eastAsia="方正仿宋_GBK" w:cs="??"/>
                <w:color w:val="000000"/>
                <w:kern w:val="0"/>
                <w:sz w:val="24"/>
                <w:szCs w:val="24"/>
              </w:rPr>
              <w:t>起扣</w:t>
            </w:r>
            <w:r>
              <w:rPr>
                <w:rFonts w:ascii="方正仿宋_GBK" w:hAnsi="??" w:eastAsia="方正仿宋_GBK" w:cs="??"/>
                <w:color w:val="000000"/>
                <w:kern w:val="0"/>
                <w:sz w:val="24"/>
                <w:szCs w:val="24"/>
              </w:rPr>
              <w:t>5</w:t>
            </w:r>
            <w:r>
              <w:rPr>
                <w:rFonts w:hint="eastAsia" w:ascii="方正仿宋_GBK" w:hAnsi="??" w:eastAsia="方正仿宋_GBK" w:cs="??"/>
                <w:color w:val="000000"/>
                <w:kern w:val="0"/>
                <w:sz w:val="24"/>
                <w:szCs w:val="24"/>
              </w:rPr>
              <w:t>分（扣分后次数按清零计）</w:t>
            </w:r>
          </w:p>
        </w:tc>
        <w:tc>
          <w:tcPr>
            <w:tcW w:w="1110"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公路事务机构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3</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货物运输经营者违法超限运输的</w:t>
            </w:r>
          </w:p>
        </w:tc>
        <w:tc>
          <w:tcPr>
            <w:tcW w:w="1281" w:type="pct"/>
            <w:noWrap/>
            <w:vAlign w:val="center"/>
          </w:tcPr>
          <w:p>
            <w:pPr>
              <w:widowControl/>
              <w:spacing w:line="320" w:lineRule="exact"/>
              <w:rPr>
                <w:rFonts w:ascii="方正仿宋_GBK" w:hAnsi="??" w:eastAsia="方正仿宋_GBK"/>
                <w:color w:val="000000"/>
                <w:sz w:val="24"/>
                <w:szCs w:val="24"/>
              </w:rPr>
            </w:pPr>
            <w:r>
              <w:rPr>
                <w:rFonts w:hint="eastAsia" w:ascii="方正仿宋_GBK" w:hAnsi="??" w:eastAsia="方正仿宋_GBK"/>
                <w:color w:val="000000"/>
                <w:sz w:val="24"/>
                <w:szCs w:val="24"/>
              </w:rPr>
              <w:t>按照</w:t>
            </w:r>
            <w:r>
              <w:rPr>
                <w:rFonts w:hint="eastAsia" w:ascii="方正仿宋_GBK" w:hAnsi="??" w:eastAsia="方正仿宋_GBK" w:cs="??"/>
                <w:color w:val="000000"/>
                <w:kern w:val="0"/>
                <w:sz w:val="24"/>
                <w:szCs w:val="24"/>
              </w:rPr>
              <w:t>经营者</w:t>
            </w:r>
            <w:r>
              <w:rPr>
                <w:rFonts w:hint="eastAsia" w:ascii="方正仿宋_GBK" w:hAnsi="??" w:eastAsia="方正仿宋_GBK"/>
                <w:color w:val="000000"/>
                <w:sz w:val="24"/>
                <w:szCs w:val="24"/>
              </w:rPr>
              <w:t>分梯度扣分公式执行</w:t>
            </w:r>
          </w:p>
        </w:tc>
        <w:tc>
          <w:tcPr>
            <w:tcW w:w="1110" w:type="pct"/>
            <w:noWrap w:val="0"/>
            <w:vAlign w:val="center"/>
          </w:tcPr>
          <w:p>
            <w:pPr>
              <w:widowControl/>
              <w:spacing w:line="320" w:lineRule="exact"/>
              <w:rPr>
                <w:rFonts w:ascii="方正仿宋_GBK" w:hAnsi="??" w:eastAsia="方正仿宋_GBK"/>
                <w:color w:val="00000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4</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大件运输车辆未按许可的时间、路线、速度行驶公路被行政处罚的</w:t>
            </w:r>
          </w:p>
        </w:tc>
        <w:tc>
          <w:tcPr>
            <w:tcW w:w="1281" w:type="pct"/>
            <w:noWrap/>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olor w:val="000000"/>
                <w:sz w:val="24"/>
                <w:szCs w:val="24"/>
              </w:rPr>
              <w:t>按照</w:t>
            </w:r>
            <w:r>
              <w:rPr>
                <w:rFonts w:hint="eastAsia" w:ascii="方正仿宋_GBK" w:hAnsi="??" w:eastAsia="方正仿宋_GBK" w:cs="??"/>
                <w:color w:val="000000"/>
                <w:kern w:val="0"/>
                <w:sz w:val="24"/>
                <w:szCs w:val="24"/>
              </w:rPr>
              <w:t>经营者</w:t>
            </w:r>
            <w:r>
              <w:rPr>
                <w:rFonts w:hint="eastAsia" w:ascii="方正仿宋_GBK" w:hAnsi="??" w:eastAsia="方正仿宋_GBK"/>
                <w:color w:val="000000"/>
                <w:sz w:val="24"/>
                <w:szCs w:val="24"/>
              </w:rPr>
              <w:t>分梯度扣分公式执行</w:t>
            </w:r>
          </w:p>
        </w:tc>
        <w:tc>
          <w:tcPr>
            <w:tcW w:w="1110" w:type="pct"/>
            <w:noWrap w:val="0"/>
            <w:vAlign w:val="center"/>
          </w:tcPr>
          <w:p>
            <w:pPr>
              <w:widowControl/>
              <w:spacing w:line="320" w:lineRule="exact"/>
              <w:rPr>
                <w:rFonts w:ascii="方正仿宋_GBK" w:hAnsi="??" w:eastAsia="方正仿宋_GBK"/>
                <w:color w:val="00000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5</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大件运输车辆未按许可的护送方案采取护送措施的</w:t>
            </w:r>
          </w:p>
        </w:tc>
        <w:tc>
          <w:tcPr>
            <w:tcW w:w="1281" w:type="pct"/>
            <w:noWrap/>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olor w:val="000000"/>
                <w:sz w:val="24"/>
                <w:szCs w:val="24"/>
              </w:rPr>
              <w:t>按照</w:t>
            </w:r>
            <w:r>
              <w:rPr>
                <w:rFonts w:hint="eastAsia" w:ascii="方正仿宋_GBK" w:hAnsi="??" w:eastAsia="方正仿宋_GBK" w:cs="??"/>
                <w:color w:val="000000"/>
                <w:kern w:val="0"/>
                <w:sz w:val="24"/>
                <w:szCs w:val="24"/>
              </w:rPr>
              <w:t>经营者</w:t>
            </w:r>
            <w:r>
              <w:rPr>
                <w:rFonts w:hint="eastAsia" w:ascii="方正仿宋_GBK" w:hAnsi="??" w:eastAsia="方正仿宋_GBK"/>
                <w:color w:val="000000"/>
                <w:sz w:val="24"/>
                <w:szCs w:val="24"/>
              </w:rPr>
              <w:t>分梯度扣分公式执行</w:t>
            </w:r>
          </w:p>
        </w:tc>
        <w:tc>
          <w:tcPr>
            <w:tcW w:w="1110" w:type="pct"/>
            <w:noWrap w:val="0"/>
            <w:vAlign w:val="center"/>
          </w:tcPr>
          <w:p>
            <w:pPr>
              <w:widowControl/>
              <w:spacing w:line="320" w:lineRule="exact"/>
              <w:rPr>
                <w:rFonts w:ascii="方正仿宋_GBK" w:hAnsi="??" w:eastAsia="方正仿宋_GBK"/>
                <w:color w:val="00000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6</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大件运输车辆及装载物品的有关情况与《超限运输车辆通行证》记载的内容不一致的</w:t>
            </w:r>
          </w:p>
        </w:tc>
        <w:tc>
          <w:tcPr>
            <w:tcW w:w="1281" w:type="pct"/>
            <w:noWrap/>
            <w:vAlign w:val="center"/>
          </w:tcPr>
          <w:p>
            <w:pPr>
              <w:widowControl/>
              <w:spacing w:line="320" w:lineRule="exact"/>
              <w:rPr>
                <w:rFonts w:ascii="方正仿宋_GBK" w:hAnsi="??" w:eastAsia="方正仿宋_GBK"/>
                <w:color w:val="000000"/>
                <w:sz w:val="24"/>
                <w:szCs w:val="24"/>
              </w:rPr>
            </w:pPr>
            <w:r>
              <w:rPr>
                <w:rFonts w:hint="eastAsia" w:ascii="方正仿宋_GBK" w:hAnsi="??" w:eastAsia="方正仿宋_GBK"/>
                <w:color w:val="000000"/>
                <w:sz w:val="24"/>
                <w:szCs w:val="24"/>
              </w:rPr>
              <w:t>按照</w:t>
            </w:r>
            <w:r>
              <w:rPr>
                <w:rFonts w:hint="eastAsia" w:ascii="方正仿宋_GBK" w:hAnsi="??" w:eastAsia="方正仿宋_GBK" w:cs="??"/>
                <w:color w:val="000000"/>
                <w:kern w:val="0"/>
                <w:sz w:val="24"/>
                <w:szCs w:val="24"/>
              </w:rPr>
              <w:t>经营者</w:t>
            </w:r>
            <w:r>
              <w:rPr>
                <w:rFonts w:hint="eastAsia" w:ascii="方正仿宋_GBK" w:hAnsi="??" w:eastAsia="方正仿宋_GBK"/>
                <w:color w:val="000000"/>
                <w:sz w:val="24"/>
                <w:szCs w:val="24"/>
              </w:rPr>
              <w:t>分梯度扣分公式执行</w:t>
            </w:r>
          </w:p>
        </w:tc>
        <w:tc>
          <w:tcPr>
            <w:tcW w:w="1110" w:type="pct"/>
            <w:noWrap w:val="0"/>
            <w:vAlign w:val="center"/>
          </w:tcPr>
          <w:p>
            <w:pPr>
              <w:widowControl/>
              <w:spacing w:line="320" w:lineRule="exact"/>
              <w:rPr>
                <w:rFonts w:ascii="方正仿宋_GBK" w:hAnsi="??" w:eastAsia="方正仿宋_GBK"/>
                <w:color w:val="00000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7</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在有关部门监督检查中发现故意</w:t>
            </w:r>
            <w:r>
              <w:rPr>
                <w:rFonts w:hint="eastAsia" w:ascii="方正仿宋_GBK" w:hAnsi="??" w:eastAsia="方正仿宋_GBK"/>
                <w:color w:val="000000"/>
                <w:sz w:val="24"/>
                <w:szCs w:val="24"/>
              </w:rPr>
              <w:t>作出虚假承诺或</w:t>
            </w:r>
            <w:r>
              <w:rPr>
                <w:rFonts w:hint="eastAsia" w:ascii="方正仿宋_GBK" w:hAnsi="??" w:eastAsia="方正仿宋_GBK" w:cs="??"/>
                <w:color w:val="000000"/>
                <w:kern w:val="0"/>
                <w:sz w:val="24"/>
                <w:szCs w:val="24"/>
              </w:rPr>
              <w:t>拒不履行信用承诺事项的</w:t>
            </w:r>
          </w:p>
        </w:tc>
        <w:tc>
          <w:tcPr>
            <w:tcW w:w="1281" w:type="pct"/>
            <w:noWrap/>
            <w:vAlign w:val="center"/>
          </w:tcPr>
          <w:p>
            <w:pPr>
              <w:widowControl/>
              <w:spacing w:line="320" w:lineRule="exact"/>
              <w:rPr>
                <w:rFonts w:ascii="方正仿宋_GBK" w:hAnsi="??" w:eastAsia="方正仿宋_GBK"/>
                <w:color w:val="00000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5</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8</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擅自改装机动车实施超限运输的</w:t>
            </w:r>
          </w:p>
        </w:tc>
        <w:tc>
          <w:tcPr>
            <w:tcW w:w="1281" w:type="pct"/>
            <w:noWrap/>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25</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9</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使用伪造、变造的超限运输车辆通行证</w:t>
            </w:r>
          </w:p>
        </w:tc>
        <w:tc>
          <w:tcPr>
            <w:tcW w:w="1281" w:type="pct"/>
            <w:noWrap/>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10</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指使、强令车辆驾驶人超限运输货物，被交通执法机构行政处罚的</w:t>
            </w:r>
          </w:p>
        </w:tc>
        <w:tc>
          <w:tcPr>
            <w:tcW w:w="1281" w:type="pct"/>
            <w:noWrap/>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11</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隐瞒有关情况或者提供虚假材料申请超限运输行政许可，或者以欺骗、贿赂等不正当手段取得行政许可的</w:t>
            </w:r>
          </w:p>
        </w:tc>
        <w:tc>
          <w:tcPr>
            <w:tcW w:w="1281" w:type="pct"/>
            <w:noWrap/>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12</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因堵塞交通、强行冲卡被公安机关依法给予行政处罚的</w:t>
            </w:r>
          </w:p>
        </w:tc>
        <w:tc>
          <w:tcPr>
            <w:tcW w:w="1281" w:type="pct"/>
            <w:noWrap/>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13</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因违法超限超载造成重大责任事故且负同等责任以上的</w:t>
            </w:r>
          </w:p>
        </w:tc>
        <w:tc>
          <w:tcPr>
            <w:tcW w:w="1281"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14</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因暴力抗法、破坏相关设施设备被公安机关依法给予行政处罚，或致人死亡、伤害的</w:t>
            </w:r>
          </w:p>
        </w:tc>
        <w:tc>
          <w:tcPr>
            <w:tcW w:w="1281" w:type="pct"/>
            <w:noWrap w:val="0"/>
            <w:vAlign w:val="center"/>
          </w:tcPr>
          <w:p>
            <w:pPr>
              <w:widowControl/>
              <w:spacing w:line="32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15</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车货总重达</w:t>
            </w:r>
            <w:r>
              <w:rPr>
                <w:rFonts w:ascii="方正仿宋_GBK" w:hAnsi="??" w:eastAsia="方正仿宋_GBK" w:cs="??"/>
                <w:color w:val="000000"/>
                <w:kern w:val="0"/>
                <w:sz w:val="24"/>
                <w:szCs w:val="24"/>
              </w:rPr>
              <w:t>100</w:t>
            </w:r>
            <w:r>
              <w:rPr>
                <w:rFonts w:hint="eastAsia" w:ascii="方正仿宋_GBK" w:hAnsi="??" w:eastAsia="方正仿宋_GBK" w:cs="??"/>
                <w:color w:val="000000"/>
                <w:kern w:val="0"/>
                <w:sz w:val="24"/>
                <w:szCs w:val="24"/>
              </w:rPr>
              <w:t>吨以上的严重超限违法货运行为</w:t>
            </w:r>
          </w:p>
        </w:tc>
        <w:tc>
          <w:tcPr>
            <w:tcW w:w="1281" w:type="pct"/>
            <w:noWrap w:val="0"/>
            <w:vAlign w:val="center"/>
          </w:tcPr>
          <w:p>
            <w:pPr>
              <w:widowControl/>
              <w:spacing w:line="32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交通运输综合行政执法机构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91" w:type="pct"/>
            <w:noWrap/>
            <w:vAlign w:val="center"/>
          </w:tcPr>
          <w:p>
            <w:pPr>
              <w:widowControl/>
              <w:spacing w:line="320" w:lineRule="exact"/>
              <w:jc w:val="center"/>
              <w:rPr>
                <w:rFonts w:ascii="方正仿宋_GBK" w:hAnsi="??" w:eastAsia="方正仿宋_GBK" w:cs="??"/>
                <w:color w:val="000000"/>
                <w:kern w:val="0"/>
                <w:sz w:val="24"/>
                <w:szCs w:val="24"/>
              </w:rPr>
            </w:pPr>
            <w:r>
              <w:rPr>
                <w:rFonts w:ascii="方正仿宋_GBK" w:hAnsi="??" w:eastAsia="方正仿宋_GBK" w:cs="??"/>
                <w:color w:val="000000"/>
                <w:kern w:val="0"/>
                <w:sz w:val="24"/>
                <w:szCs w:val="24"/>
              </w:rPr>
              <w:t>16</w:t>
            </w:r>
          </w:p>
        </w:tc>
        <w:tc>
          <w:tcPr>
            <w:tcW w:w="2318" w:type="pct"/>
            <w:noWrap w:val="0"/>
            <w:vAlign w:val="center"/>
          </w:tcPr>
          <w:p>
            <w:pPr>
              <w:widowControl/>
              <w:spacing w:line="320" w:lineRule="exac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被列入交通运输部严重违法失信超限超载运输当事人名单的</w:t>
            </w:r>
          </w:p>
        </w:tc>
        <w:tc>
          <w:tcPr>
            <w:tcW w:w="1281" w:type="pct"/>
            <w:noWrap w:val="0"/>
            <w:vAlign w:val="center"/>
          </w:tcPr>
          <w:p>
            <w:pPr>
              <w:widowControl/>
              <w:spacing w:line="32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每发生一次扣</w:t>
            </w:r>
            <w:r>
              <w:rPr>
                <w:rFonts w:ascii="方正仿宋_GBK" w:hAnsi="??" w:eastAsia="方正仿宋_GBK" w:cs="??"/>
                <w:color w:val="000000"/>
                <w:kern w:val="0"/>
                <w:sz w:val="24"/>
                <w:szCs w:val="24"/>
              </w:rPr>
              <w:t>40</w:t>
            </w:r>
            <w:r>
              <w:rPr>
                <w:rFonts w:hint="eastAsia" w:ascii="方正仿宋_GBK" w:hAnsi="??" w:eastAsia="方正仿宋_GBK" w:cs="??"/>
                <w:color w:val="000000"/>
                <w:kern w:val="0"/>
                <w:sz w:val="24"/>
                <w:szCs w:val="24"/>
              </w:rPr>
              <w:t>分</w:t>
            </w:r>
          </w:p>
        </w:tc>
        <w:tc>
          <w:tcPr>
            <w:tcW w:w="1110" w:type="pct"/>
            <w:noWrap w:val="0"/>
            <w:vAlign w:val="center"/>
          </w:tcPr>
          <w:p>
            <w:pPr>
              <w:widowControl/>
              <w:spacing w:line="320" w:lineRule="exact"/>
              <w:jc w:val="left"/>
              <w:rPr>
                <w:rFonts w:ascii="方正仿宋_GBK" w:hAnsi="??" w:eastAsia="方正仿宋_GBK" w:cs="??"/>
                <w:color w:val="000000"/>
                <w:kern w:val="0"/>
                <w:sz w:val="24"/>
                <w:szCs w:val="24"/>
              </w:rPr>
            </w:pPr>
            <w:r>
              <w:rPr>
                <w:rFonts w:hint="eastAsia" w:ascii="方正仿宋_GBK" w:hAnsi="??" w:eastAsia="方正仿宋_GBK" w:cs="??"/>
                <w:color w:val="000000"/>
                <w:kern w:val="0"/>
                <w:sz w:val="24"/>
                <w:szCs w:val="24"/>
              </w:rPr>
              <w:t>市交通运输综合行政执法总队</w:t>
            </w:r>
          </w:p>
        </w:tc>
      </w:tr>
    </w:tbl>
    <w:p>
      <w:pPr>
        <w:spacing w:line="360" w:lineRule="auto"/>
        <w:rPr>
          <w:rFonts w:ascii="楷体" w:hAnsi="楷体" w:eastAsia="楷体"/>
          <w:color w:val="000000"/>
          <w:sz w:val="24"/>
          <w:szCs w:val="24"/>
        </w:rPr>
      </w:pPr>
      <w:r>
        <w:rPr>
          <w:rFonts w:ascii="楷体" w:hAnsi="楷体" w:eastAsia="楷体" w:cs="??"/>
          <w:color w:val="000000"/>
          <w:kern w:val="0"/>
          <w:sz w:val="24"/>
          <w:szCs w:val="24"/>
        </w:rPr>
        <w:t>*</w:t>
      </w:r>
      <w:r>
        <w:rPr>
          <w:rFonts w:hint="eastAsia" w:ascii="楷体" w:hAnsi="楷体" w:eastAsia="楷体" w:cs="??"/>
          <w:color w:val="000000"/>
          <w:kern w:val="0"/>
          <w:sz w:val="24"/>
          <w:szCs w:val="24"/>
        </w:rPr>
        <w:t>注：经营者</w:t>
      </w:r>
      <w:r>
        <w:rPr>
          <w:rFonts w:hint="eastAsia" w:ascii="楷体" w:hAnsi="楷体" w:eastAsia="楷体"/>
          <w:color w:val="000000"/>
          <w:sz w:val="24"/>
          <w:szCs w:val="24"/>
        </w:rPr>
        <w:t>分梯度扣分公式如下</w:t>
      </w:r>
    </w:p>
    <w:p>
      <w:pPr>
        <w:widowControl/>
        <w:spacing w:line="360" w:lineRule="auto"/>
        <w:ind w:firstLine="420" w:firstLineChars="200"/>
        <w:rPr>
          <w:rFonts w:ascii="??" w:hAnsi="??"/>
          <w:color w:val="000000"/>
        </w:rPr>
      </w:pPr>
      <w:r>
        <w:rPr>
          <w:rFonts w:hint="eastAsia"/>
          <w:color w:val="000000"/>
        </w:rPr>
        <w:drawing>
          <wp:inline distT="0" distB="0" distL="114300" distR="114300">
            <wp:extent cx="1318260" cy="472440"/>
            <wp:effectExtent l="0" t="0" r="1524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318260" cy="472440"/>
                    </a:xfrm>
                    <a:prstGeom prst="rect">
                      <a:avLst/>
                    </a:prstGeom>
                    <a:noFill/>
                    <a:ln>
                      <a:noFill/>
                    </a:ln>
                  </pic:spPr>
                </pic:pic>
              </a:graphicData>
            </a:graphic>
          </wp:inline>
        </w:drawing>
      </w:r>
    </w:p>
    <w:p>
      <w:pPr>
        <w:widowControl/>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其中</w:t>
      </w:r>
      <w:r>
        <w:rPr>
          <w:rFonts w:eastAsia="楷体"/>
          <w:i/>
          <w:color w:val="000000"/>
          <w:sz w:val="24"/>
          <w:szCs w:val="24"/>
        </w:rPr>
        <w:t>n</w:t>
      </w:r>
      <w:r>
        <w:rPr>
          <w:rFonts w:hint="eastAsia" w:ascii="楷体" w:hAnsi="楷体" w:eastAsia="楷体"/>
          <w:color w:val="000000"/>
          <w:sz w:val="24"/>
          <w:szCs w:val="24"/>
        </w:rPr>
        <w:t>为经营者车辆总数，</w:t>
      </w:r>
      <w:r>
        <w:rPr>
          <w:rFonts w:eastAsia="楷体"/>
          <w:i/>
          <w:color w:val="000000"/>
          <w:sz w:val="24"/>
          <w:szCs w:val="24"/>
        </w:rPr>
        <w:t>p</w:t>
      </w:r>
      <w:r>
        <w:rPr>
          <w:rFonts w:hint="eastAsia" w:ascii="楷体" w:hAnsi="楷体" w:eastAsia="楷体"/>
          <w:color w:val="000000"/>
          <w:sz w:val="24"/>
          <w:szCs w:val="24"/>
        </w:rPr>
        <w:t>为该经营者当前失信行为扣分。</w:t>
      </w:r>
    </w:p>
    <w:p>
      <w:pPr>
        <w:widowControl/>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当</w:t>
      </w:r>
      <w:r>
        <w:rPr>
          <w:rFonts w:eastAsia="楷体"/>
          <w:i/>
          <w:color w:val="000000"/>
          <w:sz w:val="24"/>
          <w:szCs w:val="24"/>
        </w:rPr>
        <w:t>n</w:t>
      </w:r>
      <w:r>
        <w:rPr>
          <w:rFonts w:hint="eastAsia" w:ascii="楷体" w:hAnsi="楷体" w:eastAsia="楷体"/>
          <w:color w:val="000000"/>
          <w:sz w:val="24"/>
          <w:szCs w:val="24"/>
        </w:rPr>
        <w:t>≤</w:t>
      </w:r>
      <w:r>
        <w:rPr>
          <w:rFonts w:ascii="楷体" w:hAnsi="楷体" w:eastAsia="楷体"/>
          <w:color w:val="000000"/>
          <w:sz w:val="24"/>
          <w:szCs w:val="24"/>
        </w:rPr>
        <w:t>4</w:t>
      </w:r>
      <w:r>
        <w:rPr>
          <w:rFonts w:hint="eastAsia" w:ascii="楷体" w:hAnsi="楷体" w:eastAsia="楷体"/>
          <w:color w:val="000000"/>
          <w:sz w:val="24"/>
          <w:szCs w:val="24"/>
        </w:rPr>
        <w:t>时，</w:t>
      </w:r>
      <w:r>
        <w:rPr>
          <w:rFonts w:eastAsia="楷体"/>
          <w:i/>
          <w:color w:val="000000"/>
          <w:sz w:val="24"/>
          <w:szCs w:val="24"/>
        </w:rPr>
        <w:t>j</w:t>
      </w:r>
      <w:r>
        <w:rPr>
          <w:rFonts w:hint="eastAsia" w:ascii="楷体" w:hAnsi="楷体" w:eastAsia="楷体"/>
          <w:color w:val="000000"/>
          <w:sz w:val="24"/>
          <w:szCs w:val="24"/>
        </w:rPr>
        <w:t>为经营者当前失信行为关联车辆在当前周期内失信行为记录的总次数；</w:t>
      </w:r>
    </w:p>
    <w:p>
      <w:pPr>
        <w:widowControl/>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当</w:t>
      </w:r>
      <w:r>
        <w:rPr>
          <w:rFonts w:ascii="楷体" w:hAnsi="楷体" w:eastAsia="楷体"/>
          <w:color w:val="000000"/>
          <w:sz w:val="24"/>
          <w:szCs w:val="24"/>
        </w:rPr>
        <w:t>4</w:t>
      </w:r>
      <w:r>
        <w:rPr>
          <w:rFonts w:hint="eastAsia" w:ascii="楷体" w:hAnsi="楷体" w:eastAsia="楷体"/>
          <w:color w:val="000000"/>
          <w:sz w:val="24"/>
          <w:szCs w:val="24"/>
        </w:rPr>
        <w:t>＜</w:t>
      </w:r>
      <w:r>
        <w:rPr>
          <w:rFonts w:eastAsia="楷体"/>
          <w:i/>
          <w:color w:val="000000"/>
          <w:sz w:val="24"/>
          <w:szCs w:val="24"/>
        </w:rPr>
        <w:t>n</w:t>
      </w:r>
      <w:r>
        <w:rPr>
          <w:rFonts w:hint="eastAsia" w:ascii="楷体" w:hAnsi="楷体" w:eastAsia="楷体"/>
          <w:color w:val="000000"/>
          <w:sz w:val="24"/>
          <w:szCs w:val="24"/>
        </w:rPr>
        <w:t>≤</w:t>
      </w:r>
      <w:r>
        <w:rPr>
          <w:rFonts w:ascii="楷体" w:hAnsi="楷体" w:eastAsia="楷体"/>
          <w:color w:val="000000"/>
          <w:sz w:val="24"/>
          <w:szCs w:val="24"/>
        </w:rPr>
        <w:t>8</w:t>
      </w:r>
      <w:r>
        <w:rPr>
          <w:rFonts w:hint="eastAsia" w:ascii="楷体" w:hAnsi="楷体" w:eastAsia="楷体"/>
          <w:color w:val="000000"/>
          <w:sz w:val="24"/>
          <w:szCs w:val="24"/>
        </w:rPr>
        <w:t>时，</w:t>
      </w:r>
      <w:r>
        <w:rPr>
          <w:rFonts w:eastAsia="楷体"/>
          <w:i/>
          <w:color w:val="000000"/>
          <w:sz w:val="24"/>
          <w:szCs w:val="24"/>
        </w:rPr>
        <w:t>j</w:t>
      </w:r>
      <w:r>
        <w:rPr>
          <w:rFonts w:hint="eastAsia" w:ascii="楷体" w:hAnsi="楷体" w:eastAsia="楷体"/>
          <w:color w:val="000000"/>
          <w:sz w:val="24"/>
          <w:szCs w:val="24"/>
        </w:rPr>
        <w:t>为</w:t>
      </w:r>
      <w:r>
        <w:rPr>
          <w:rFonts w:eastAsia="楷体"/>
          <w:i/>
          <w:color w:val="000000"/>
          <w:sz w:val="24"/>
          <w:szCs w:val="24"/>
        </w:rPr>
        <w:t>max</w:t>
      </w:r>
      <w:r>
        <w:rPr>
          <w:rFonts w:hint="eastAsia" w:ascii="楷体" w:hAnsi="楷体" w:eastAsia="楷体"/>
          <w:color w:val="000000"/>
          <w:sz w:val="24"/>
          <w:szCs w:val="24"/>
        </w:rPr>
        <w:t>（</w:t>
      </w:r>
      <w:r>
        <w:rPr>
          <w:rFonts w:ascii="楷体" w:hAnsi="楷体" w:eastAsia="楷体"/>
          <w:color w:val="000000"/>
          <w:sz w:val="24"/>
          <w:szCs w:val="24"/>
        </w:rPr>
        <w:t>1</w:t>
      </w:r>
      <w:r>
        <w:rPr>
          <w:rFonts w:hint="eastAsia" w:ascii="楷体" w:hAnsi="楷体" w:eastAsia="楷体"/>
          <w:color w:val="000000"/>
          <w:sz w:val="24"/>
          <w:szCs w:val="24"/>
        </w:rPr>
        <w:t>，经营者当前失信行为关联车辆在当前周期内失信行为记录的总次数</w:t>
      </w:r>
      <w:r>
        <w:rPr>
          <w:rFonts w:ascii="楷体" w:hAnsi="楷体" w:eastAsia="楷体"/>
          <w:color w:val="000000"/>
          <w:sz w:val="24"/>
          <w:szCs w:val="24"/>
        </w:rPr>
        <w:t>/2</w:t>
      </w:r>
      <w:r>
        <w:rPr>
          <w:rFonts w:hint="eastAsia" w:ascii="楷体" w:hAnsi="楷体" w:eastAsia="楷体"/>
          <w:color w:val="000000"/>
          <w:sz w:val="24"/>
          <w:szCs w:val="24"/>
        </w:rPr>
        <w:t>）；</w:t>
      </w:r>
    </w:p>
    <w:p>
      <w:pPr>
        <w:wordWrap/>
        <w:jc w:val="both"/>
        <w:rPr>
          <w:rFonts w:hint="eastAsia" w:ascii="楷体" w:hAnsi="楷体" w:eastAsia="楷体"/>
          <w:color w:val="000000"/>
          <w:sz w:val="24"/>
          <w:szCs w:val="24"/>
        </w:rPr>
      </w:pPr>
      <w:r>
        <w:rPr>
          <w:rFonts w:hint="eastAsia" w:ascii="楷体" w:hAnsi="楷体" w:eastAsia="楷体"/>
          <w:color w:val="000000"/>
          <w:sz w:val="24"/>
          <w:szCs w:val="24"/>
        </w:rPr>
        <w:t>当</w:t>
      </w:r>
      <w:r>
        <w:rPr>
          <w:rFonts w:eastAsia="楷体"/>
          <w:i/>
          <w:color w:val="000000"/>
          <w:sz w:val="24"/>
          <w:szCs w:val="24"/>
        </w:rPr>
        <w:t>n</w:t>
      </w:r>
      <w:r>
        <w:rPr>
          <w:rFonts w:hint="eastAsia" w:eastAsia="楷体"/>
          <w:color w:val="000000"/>
          <w:sz w:val="24"/>
          <w:szCs w:val="24"/>
        </w:rPr>
        <w:t>＞</w:t>
      </w:r>
      <w:r>
        <w:rPr>
          <w:rFonts w:ascii="楷体" w:hAnsi="楷体" w:eastAsia="楷体"/>
          <w:color w:val="000000"/>
          <w:sz w:val="24"/>
          <w:szCs w:val="24"/>
        </w:rPr>
        <w:t>8</w:t>
      </w:r>
      <w:r>
        <w:rPr>
          <w:rFonts w:hint="eastAsia" w:ascii="楷体" w:hAnsi="楷体" w:eastAsia="楷体"/>
          <w:color w:val="000000"/>
          <w:sz w:val="24"/>
          <w:szCs w:val="24"/>
        </w:rPr>
        <w:t>时，</w:t>
      </w:r>
      <w:r>
        <w:rPr>
          <w:rFonts w:eastAsia="楷体"/>
          <w:i/>
          <w:color w:val="000000"/>
          <w:sz w:val="24"/>
          <w:szCs w:val="24"/>
        </w:rPr>
        <w:t>j</w:t>
      </w:r>
      <w:r>
        <w:rPr>
          <w:rFonts w:hint="eastAsia" w:ascii="楷体" w:hAnsi="楷体" w:eastAsia="楷体"/>
          <w:color w:val="000000"/>
          <w:sz w:val="24"/>
          <w:szCs w:val="24"/>
        </w:rPr>
        <w:t>为常数</w:t>
      </w:r>
      <w:r>
        <w:rPr>
          <w:rFonts w:ascii="楷体" w:hAnsi="楷体" w:eastAsia="楷体"/>
          <w:color w:val="000000"/>
          <w:sz w:val="24"/>
          <w:szCs w:val="24"/>
        </w:rPr>
        <w:t>1</w:t>
      </w:r>
      <w:r>
        <w:rPr>
          <w:rFonts w:hint="eastAsia" w:ascii="楷体" w:hAnsi="楷体" w:eastAsia="楷体"/>
          <w:color w:val="000000"/>
          <w:sz w:val="24"/>
          <w:szCs w:val="24"/>
        </w:rPr>
        <w:t>。</w:t>
      </w:r>
    </w:p>
    <w:p>
      <w:pPr>
        <w:rPr>
          <w:rFonts w:hint="eastAsia" w:ascii="楷体" w:hAnsi="楷体" w:eastAsia="楷体"/>
          <w:color w:val="000000"/>
          <w:sz w:val="24"/>
          <w:szCs w:val="24"/>
        </w:rPr>
      </w:pPr>
      <w:r>
        <w:rPr>
          <w:rFonts w:hint="eastAsia" w:ascii="楷体" w:hAnsi="楷体" w:eastAsia="楷体"/>
          <w:color w:val="000000"/>
          <w:sz w:val="24"/>
          <w:szCs w:val="24"/>
        </w:rPr>
        <w:br w:type="page"/>
      </w:r>
    </w:p>
    <w:p>
      <w:pPr>
        <w:adjustRightInd w:val="0"/>
        <w:snapToGrid w:val="0"/>
        <w:spacing w:line="560" w:lineRule="exact"/>
        <w:rPr>
          <w:rFonts w:ascii="方正黑体_GBK" w:hAnsi="黑体" w:eastAsia="方正黑体_GBK" w:cs="方正小标宋_GBK"/>
          <w:bCs/>
          <w:color w:val="000000"/>
          <w:sz w:val="32"/>
          <w:szCs w:val="32"/>
        </w:rPr>
      </w:pPr>
      <w:r>
        <w:rPr>
          <w:rFonts w:hint="eastAsia" w:ascii="方正黑体_GBK" w:hAnsi="黑体" w:eastAsia="方正黑体_GBK" w:cs="方正小标宋_GBK"/>
          <w:bCs/>
          <w:color w:val="000000"/>
          <w:sz w:val="32"/>
          <w:szCs w:val="32"/>
        </w:rPr>
        <w:t>附件</w:t>
      </w:r>
      <w:r>
        <w:rPr>
          <w:rFonts w:ascii="方正黑体_GBK" w:hAnsi="黑体" w:eastAsia="方正黑体_GBK" w:cs="方正小标宋_GBK"/>
          <w:bCs/>
          <w:color w:val="000000"/>
          <w:sz w:val="32"/>
          <w:szCs w:val="32"/>
        </w:rPr>
        <w:t>2</w:t>
      </w:r>
    </w:p>
    <w:p>
      <w:pPr>
        <w:spacing w:line="560" w:lineRule="exact"/>
        <w:outlineLvl w:val="1"/>
        <w:rPr>
          <w:rFonts w:hint="eastAsia" w:ascii="黑体" w:hAnsi="黑体" w:eastAsia="黑体" w:cs="方正小标宋_GBK"/>
          <w:bCs/>
          <w:color w:val="000000"/>
          <w:sz w:val="32"/>
          <w:szCs w:val="32"/>
        </w:rPr>
      </w:pPr>
    </w:p>
    <w:p>
      <w:pPr>
        <w:spacing w:line="560" w:lineRule="exact"/>
        <w:jc w:val="center"/>
        <w:outlineLvl w:val="1"/>
        <w:rPr>
          <w:rFonts w:ascii="方正小标宋_GBK" w:hAnsi="方正小标宋_GBK" w:eastAsia="方正小标宋_GBK"/>
          <w:color w:val="000000"/>
          <w:sz w:val="44"/>
          <w:szCs w:val="44"/>
        </w:rPr>
      </w:pPr>
      <w:r>
        <w:rPr>
          <w:rFonts w:hint="eastAsia" w:ascii="方正小标宋_GBK" w:hAnsi="方正小标宋_GBK" w:eastAsia="方正小标宋_GBK"/>
          <w:color w:val="000000"/>
          <w:sz w:val="44"/>
          <w:szCs w:val="44"/>
        </w:rPr>
        <w:t>个人信用修复承诺书</w:t>
      </w:r>
    </w:p>
    <w:p>
      <w:pPr>
        <w:spacing w:line="560" w:lineRule="exact"/>
        <w:rPr>
          <w:rFonts w:hint="eastAsia" w:eastAsia="楷体" w:cs="仿宋"/>
          <w:color w:val="000000"/>
          <w:sz w:val="24"/>
        </w:rPr>
      </w:pPr>
    </w:p>
    <w:p>
      <w:pPr>
        <w:spacing w:line="560" w:lineRule="exact"/>
        <w:ind w:firstLine="600" w:firstLineChars="200"/>
        <w:rPr>
          <w:rFonts w:ascii="方正仿宋_GBK" w:eastAsia="方正仿宋_GBK" w:cs="??"/>
          <w:color w:val="000000"/>
          <w:sz w:val="30"/>
          <w:szCs w:val="30"/>
        </w:rPr>
      </w:pPr>
      <w:r>
        <w:rPr>
          <w:rFonts w:hint="eastAsia" w:ascii="方正仿宋_GBK" w:eastAsia="方正仿宋_GBK"/>
          <w:color w:val="000000"/>
          <w:sz w:val="30"/>
          <w:szCs w:val="30"/>
        </w:rPr>
        <w:t>年</w:t>
      </w:r>
      <w:r>
        <w:rPr>
          <w:rFonts w:ascii="方正仿宋_GBK" w:eastAsia="方正仿宋_GBK"/>
          <w:color w:val="000000"/>
          <w:sz w:val="30"/>
          <w:szCs w:val="30"/>
        </w:rPr>
        <w:t xml:space="preserve">  </w:t>
      </w:r>
      <w:r>
        <w:rPr>
          <w:rFonts w:hint="eastAsia" w:ascii="方正仿宋_GBK" w:eastAsia="方正仿宋_GBK"/>
          <w:color w:val="000000"/>
          <w:sz w:val="30"/>
          <w:szCs w:val="30"/>
        </w:rPr>
        <w:t>月</w:t>
      </w:r>
      <w:r>
        <w:rPr>
          <w:rFonts w:ascii="方正仿宋_GBK" w:eastAsia="方正仿宋_GBK"/>
          <w:color w:val="000000"/>
          <w:sz w:val="30"/>
          <w:szCs w:val="30"/>
        </w:rPr>
        <w:t xml:space="preserve">  </w:t>
      </w:r>
      <w:r>
        <w:rPr>
          <w:rFonts w:hint="eastAsia" w:ascii="方正仿宋_GBK" w:eastAsia="方正仿宋_GBK"/>
          <w:color w:val="000000"/>
          <w:sz w:val="30"/>
          <w:szCs w:val="30"/>
        </w:rPr>
        <w:t>日，</w:t>
      </w:r>
      <w:r>
        <w:rPr>
          <w:rFonts w:hint="eastAsia" w:ascii="方正仿宋_GBK" w:eastAsia="方正仿宋_GBK" w:cs="??"/>
          <w:color w:val="000000"/>
          <w:sz w:val="30"/>
          <w:szCs w:val="30"/>
        </w:rPr>
        <w:t>本人（身份证号：</w:t>
      </w:r>
      <w:r>
        <w:rPr>
          <w:rFonts w:ascii="方正仿宋_GBK" w:eastAsia="方正仿宋_GBK" w:cs="??"/>
          <w:color w:val="000000"/>
          <w:sz w:val="30"/>
          <w:szCs w:val="30"/>
        </w:rPr>
        <w:t xml:space="preserve">     </w:t>
      </w:r>
      <w:r>
        <w:rPr>
          <w:rFonts w:hint="eastAsia" w:ascii="方正仿宋_GBK" w:eastAsia="方正仿宋_GBK" w:cs="??"/>
          <w:color w:val="000000"/>
          <w:sz w:val="30"/>
          <w:szCs w:val="30"/>
        </w:rPr>
        <w:t xml:space="preserve"> </w:t>
      </w:r>
      <w:r>
        <w:rPr>
          <w:rFonts w:ascii="方正仿宋_GBK" w:eastAsia="方正仿宋_GBK" w:cs="??"/>
          <w:color w:val="000000"/>
          <w:sz w:val="30"/>
          <w:szCs w:val="30"/>
        </w:rPr>
        <w:t xml:space="preserve">   </w:t>
      </w:r>
      <w:r>
        <w:rPr>
          <w:rFonts w:hint="eastAsia" w:ascii="方正仿宋_GBK" w:eastAsia="方正仿宋_GBK" w:cs="??"/>
          <w:color w:val="000000"/>
          <w:sz w:val="30"/>
          <w:szCs w:val="30"/>
        </w:rPr>
        <w:t>），</w:t>
      </w:r>
      <w:r>
        <w:rPr>
          <w:rFonts w:hint="eastAsia" w:ascii="方正仿宋_GBK" w:eastAsia="方正仿宋_GBK"/>
          <w:color w:val="000000"/>
          <w:sz w:val="30"/>
          <w:szCs w:val="30"/>
        </w:rPr>
        <w:t>因超限运输失信行为累计扣分达到</w:t>
      </w:r>
      <w:r>
        <w:rPr>
          <w:rFonts w:ascii="方正仿宋_GBK" w:eastAsia="方正仿宋_GBK"/>
          <w:color w:val="000000"/>
          <w:sz w:val="30"/>
          <w:szCs w:val="30"/>
        </w:rPr>
        <w:t>40</w:t>
      </w:r>
      <w:r>
        <w:rPr>
          <w:rFonts w:hint="eastAsia" w:ascii="方正仿宋_GBK" w:eastAsia="方正仿宋_GBK"/>
          <w:color w:val="000000"/>
          <w:sz w:val="30"/>
          <w:szCs w:val="30"/>
        </w:rPr>
        <w:t>分及以上，信用等级评定为</w:t>
      </w:r>
      <w:r>
        <w:rPr>
          <w:rFonts w:ascii="方正仿宋_GBK" w:eastAsia="方正仿宋_GBK"/>
          <w:color w:val="000000"/>
          <w:sz w:val="30"/>
          <w:szCs w:val="30"/>
        </w:rPr>
        <w:t>D</w:t>
      </w:r>
      <w:r>
        <w:rPr>
          <w:rFonts w:hint="eastAsia" w:ascii="方正仿宋_GBK" w:eastAsia="方正仿宋_GBK"/>
          <w:color w:val="000000"/>
          <w:sz w:val="30"/>
          <w:szCs w:val="30"/>
        </w:rPr>
        <w:t>级，被列入严重失信主体名单，给行业和社会造成了不良影响。为营造诚实守信的社会环境，我已积极开展信用修复工作，</w:t>
      </w:r>
      <w:r>
        <w:rPr>
          <w:rFonts w:hint="eastAsia" w:ascii="方正仿宋_GBK" w:eastAsia="方正仿宋_GBK" w:cs="??"/>
          <w:color w:val="000000"/>
          <w:sz w:val="30"/>
          <w:szCs w:val="30"/>
        </w:rPr>
        <w:t>现向行业和社会郑重承诺：</w:t>
      </w:r>
    </w:p>
    <w:p>
      <w:pPr>
        <w:spacing w:line="560" w:lineRule="exact"/>
        <w:ind w:firstLine="600" w:firstLineChars="200"/>
        <w:rPr>
          <w:rFonts w:ascii="方正仿宋_GBK" w:eastAsia="方正仿宋_GBK" w:cs="??"/>
          <w:color w:val="000000"/>
          <w:sz w:val="30"/>
          <w:szCs w:val="30"/>
        </w:rPr>
      </w:pPr>
      <w:r>
        <w:rPr>
          <w:rFonts w:hint="eastAsia" w:ascii="方正仿宋_GBK" w:eastAsia="方正仿宋_GBK"/>
          <w:color w:val="000000"/>
          <w:sz w:val="30"/>
          <w:szCs w:val="30"/>
        </w:rPr>
        <w:t>一、原失信问题于年月日已完成整改，现申请对本人在交通运输领域的信用进行修复。</w:t>
      </w:r>
    </w:p>
    <w:p>
      <w:pPr>
        <w:spacing w:line="560" w:lineRule="exact"/>
        <w:ind w:firstLine="600" w:firstLineChars="200"/>
        <w:rPr>
          <w:rFonts w:ascii="方正仿宋_GBK" w:eastAsia="方正仿宋_GBK" w:cs="??"/>
          <w:color w:val="000000"/>
          <w:sz w:val="30"/>
          <w:szCs w:val="30"/>
        </w:rPr>
      </w:pPr>
      <w:r>
        <w:rPr>
          <w:rFonts w:hint="eastAsia" w:ascii="方正仿宋_GBK" w:eastAsia="方正仿宋_GBK"/>
          <w:color w:val="000000"/>
          <w:sz w:val="30"/>
          <w:szCs w:val="30"/>
        </w:rPr>
        <w:t>二、严格遵守国家及交通运输行业有关法律、</w:t>
      </w:r>
      <w:r>
        <w:rPr>
          <w:rFonts w:hint="eastAsia" w:ascii="方正仿宋_GBK" w:eastAsia="方正仿宋_GBK" w:cs="??"/>
          <w:color w:val="000000"/>
          <w:sz w:val="30"/>
          <w:szCs w:val="30"/>
        </w:rPr>
        <w:t>法规、规章和政策规定，主动履行社会责任。</w:t>
      </w:r>
    </w:p>
    <w:p>
      <w:pPr>
        <w:spacing w:line="560" w:lineRule="exact"/>
        <w:ind w:firstLine="600" w:firstLineChars="200"/>
        <w:rPr>
          <w:rFonts w:ascii="方正仿宋_GBK" w:eastAsia="方正仿宋_GBK"/>
          <w:color w:val="000000"/>
          <w:sz w:val="30"/>
          <w:szCs w:val="30"/>
        </w:rPr>
      </w:pPr>
      <w:r>
        <w:rPr>
          <w:rFonts w:hint="eastAsia" w:ascii="方正仿宋_GBK" w:eastAsia="方正仿宋_GBK" w:cs="??"/>
          <w:color w:val="000000"/>
          <w:sz w:val="30"/>
          <w:szCs w:val="30"/>
        </w:rPr>
        <w:t>三、积极配合行政执法部门检查，积极履</w:t>
      </w:r>
      <w:r>
        <w:rPr>
          <w:rFonts w:hint="eastAsia" w:ascii="方正仿宋_GBK" w:eastAsia="方正仿宋_GBK"/>
          <w:color w:val="000000"/>
          <w:sz w:val="30"/>
          <w:szCs w:val="30"/>
        </w:rPr>
        <w:t>行法定义务和责任。</w:t>
      </w:r>
    </w:p>
    <w:p>
      <w:pPr>
        <w:spacing w:line="560" w:lineRule="exact"/>
        <w:ind w:firstLine="600" w:firstLineChars="200"/>
        <w:rPr>
          <w:rFonts w:ascii="方正仿宋_GBK" w:eastAsia="方正仿宋_GBK" w:cs="??"/>
          <w:color w:val="000000"/>
          <w:sz w:val="30"/>
          <w:szCs w:val="30"/>
        </w:rPr>
      </w:pPr>
      <w:r>
        <w:rPr>
          <w:rFonts w:hint="eastAsia" w:ascii="方正仿宋_GBK" w:eastAsia="方正仿宋_GBK" w:cs="??"/>
          <w:color w:val="000000"/>
          <w:sz w:val="30"/>
          <w:szCs w:val="30"/>
        </w:rPr>
        <w:t>四、加强自我约束、自我管理，树立诚信意识。</w:t>
      </w:r>
    </w:p>
    <w:p>
      <w:pPr>
        <w:spacing w:line="560" w:lineRule="exact"/>
        <w:ind w:firstLine="600" w:firstLineChars="200"/>
        <w:rPr>
          <w:rFonts w:ascii="方正仿宋_GBK" w:eastAsia="方正仿宋_GBK" w:cs="??"/>
          <w:color w:val="000000"/>
          <w:sz w:val="30"/>
          <w:szCs w:val="30"/>
        </w:rPr>
      </w:pPr>
      <w:r>
        <w:rPr>
          <w:rFonts w:hint="eastAsia" w:ascii="方正仿宋_GBK" w:eastAsia="方正仿宋_GBK"/>
          <w:color w:val="000000"/>
          <w:sz w:val="30"/>
          <w:szCs w:val="30"/>
        </w:rPr>
        <w:t>五、</w:t>
      </w:r>
      <w:r>
        <w:rPr>
          <w:rFonts w:hint="eastAsia" w:ascii="方正仿宋_GBK" w:eastAsia="方正仿宋_GBK" w:cs="??"/>
          <w:color w:val="000000"/>
          <w:sz w:val="30"/>
          <w:szCs w:val="30"/>
        </w:rPr>
        <w:t>自觉接受政府、行业组织、社会公众、新闻舆论的监督。</w:t>
      </w:r>
    </w:p>
    <w:p>
      <w:pPr>
        <w:spacing w:line="560" w:lineRule="exact"/>
        <w:ind w:firstLine="600" w:firstLineChars="200"/>
        <w:rPr>
          <w:rFonts w:ascii="方正仿宋_GBK" w:eastAsia="方正仿宋_GBK" w:cs="??"/>
          <w:color w:val="000000"/>
          <w:sz w:val="30"/>
          <w:szCs w:val="30"/>
        </w:rPr>
      </w:pPr>
      <w:r>
        <w:rPr>
          <w:rFonts w:hint="eastAsia" w:ascii="方正仿宋_GBK" w:eastAsia="方正仿宋_GBK" w:cs="??"/>
          <w:color w:val="000000"/>
          <w:sz w:val="30"/>
          <w:szCs w:val="30"/>
        </w:rPr>
        <w:t>六、我承诺提交材料真实，如有违反，愿意承担相应责任。</w:t>
      </w:r>
    </w:p>
    <w:p>
      <w:pPr>
        <w:spacing w:line="560" w:lineRule="exact"/>
        <w:ind w:firstLine="600" w:firstLineChars="200"/>
        <w:jc w:val="center"/>
        <w:rPr>
          <w:rFonts w:ascii="方正仿宋_GBK" w:eastAsia="方正仿宋_GBK" w:cs="??"/>
          <w:color w:val="000000"/>
          <w:sz w:val="30"/>
          <w:szCs w:val="30"/>
        </w:rPr>
      </w:pPr>
    </w:p>
    <w:p>
      <w:pPr>
        <w:spacing w:line="560" w:lineRule="exact"/>
        <w:ind w:firstLine="600" w:firstLineChars="200"/>
        <w:jc w:val="center"/>
        <w:rPr>
          <w:rFonts w:ascii="方正仿宋_GBK" w:eastAsia="方正仿宋_GBK" w:cs="??"/>
          <w:color w:val="000000"/>
          <w:sz w:val="30"/>
          <w:szCs w:val="30"/>
        </w:rPr>
      </w:pPr>
    </w:p>
    <w:p>
      <w:pPr>
        <w:spacing w:line="560" w:lineRule="exact"/>
        <w:ind w:firstLine="6450" w:firstLineChars="2150"/>
        <w:jc w:val="left"/>
        <w:rPr>
          <w:rFonts w:ascii="方正仿宋_GBK" w:eastAsia="方正仿宋_GBK" w:cs="??"/>
          <w:color w:val="000000"/>
          <w:sz w:val="30"/>
          <w:szCs w:val="30"/>
        </w:rPr>
      </w:pPr>
      <w:r>
        <w:rPr>
          <w:rFonts w:hint="eastAsia" w:ascii="方正仿宋_GBK" w:eastAsia="方正仿宋_GBK" w:cs="??"/>
          <w:color w:val="000000"/>
          <w:sz w:val="30"/>
          <w:szCs w:val="30"/>
        </w:rPr>
        <w:t>承诺人（签字）：</w:t>
      </w:r>
    </w:p>
    <w:p>
      <w:pPr>
        <w:widowControl/>
        <w:spacing w:line="560" w:lineRule="exact"/>
        <w:ind w:right="560"/>
        <w:jc w:val="right"/>
        <w:rPr>
          <w:rFonts w:ascii="方正仿宋_GBK" w:eastAsia="方正仿宋_GBK" w:cs="??"/>
          <w:color w:val="000000"/>
          <w:sz w:val="30"/>
          <w:szCs w:val="30"/>
        </w:rPr>
      </w:pPr>
      <w:r>
        <w:rPr>
          <w:rFonts w:hint="eastAsia" w:ascii="方正仿宋_GBK" w:eastAsia="方正仿宋_GBK" w:cs="??"/>
          <w:color w:val="000000"/>
          <w:sz w:val="30"/>
          <w:szCs w:val="30"/>
        </w:rPr>
        <w:t>年</w:t>
      </w:r>
      <w:r>
        <w:rPr>
          <w:rFonts w:ascii="方正仿宋_GBK" w:eastAsia="方正仿宋_GBK" w:cs="??"/>
          <w:color w:val="000000"/>
          <w:sz w:val="30"/>
          <w:szCs w:val="30"/>
        </w:rPr>
        <w:t xml:space="preserve">  </w:t>
      </w:r>
      <w:r>
        <w:rPr>
          <w:rFonts w:hint="eastAsia" w:ascii="方正仿宋_GBK" w:eastAsia="方正仿宋_GBK" w:cs="??"/>
          <w:color w:val="000000"/>
          <w:sz w:val="30"/>
          <w:szCs w:val="30"/>
        </w:rPr>
        <w:t>月</w:t>
      </w:r>
      <w:r>
        <w:rPr>
          <w:rFonts w:ascii="方正仿宋_GBK" w:eastAsia="方正仿宋_GBK" w:cs="??"/>
          <w:color w:val="000000"/>
          <w:sz w:val="30"/>
          <w:szCs w:val="30"/>
        </w:rPr>
        <w:t xml:space="preserve">  </w:t>
      </w:r>
      <w:r>
        <w:rPr>
          <w:rFonts w:hint="eastAsia" w:ascii="方正仿宋_GBK" w:eastAsia="方正仿宋_GBK" w:cs="??"/>
          <w:color w:val="000000"/>
          <w:sz w:val="30"/>
          <w:szCs w:val="30"/>
        </w:rPr>
        <w:t>日</w:t>
      </w:r>
    </w:p>
    <w:p>
      <w:pPr>
        <w:widowControl/>
        <w:spacing w:line="480" w:lineRule="exact"/>
        <w:jc w:val="left"/>
        <w:rPr>
          <w:rFonts w:ascii="方正黑体_GBK" w:hAnsi="黑体" w:eastAsia="方正黑体_GBK" w:cs="方正小标宋_GBK"/>
          <w:bCs/>
          <w:color w:val="000000"/>
          <w:sz w:val="32"/>
          <w:szCs w:val="32"/>
        </w:rPr>
      </w:pPr>
      <w:r>
        <w:rPr>
          <w:rFonts w:eastAsia="仿宋_GB2312" w:cs="??"/>
          <w:color w:val="000000"/>
          <w:sz w:val="28"/>
          <w:szCs w:val="32"/>
        </w:rPr>
        <w:br w:type="page"/>
      </w:r>
      <w:r>
        <w:rPr>
          <w:rFonts w:hint="eastAsia" w:ascii="方正黑体_GBK" w:hAnsi="黑体" w:eastAsia="方正黑体_GBK" w:cs="方正小标宋_GBK"/>
          <w:bCs/>
          <w:color w:val="000000"/>
          <w:sz w:val="32"/>
          <w:szCs w:val="32"/>
        </w:rPr>
        <w:t>附件</w:t>
      </w:r>
      <w:r>
        <w:rPr>
          <w:rFonts w:ascii="方正黑体_GBK" w:hAnsi="黑体" w:eastAsia="方正黑体_GBK" w:cs="方正小标宋_GBK"/>
          <w:bCs/>
          <w:color w:val="000000"/>
          <w:sz w:val="32"/>
          <w:szCs w:val="32"/>
        </w:rPr>
        <w:t>3</w:t>
      </w:r>
    </w:p>
    <w:p>
      <w:pPr>
        <w:pStyle w:val="13"/>
        <w:spacing w:line="480" w:lineRule="exact"/>
      </w:pPr>
    </w:p>
    <w:p>
      <w:pPr>
        <w:spacing w:line="480" w:lineRule="exact"/>
        <w:jc w:val="center"/>
        <w:outlineLvl w:val="1"/>
        <w:rPr>
          <w:rFonts w:ascii="方正小标宋_GBK" w:hAnsi="方正小标宋_GBK" w:eastAsia="方正小标宋_GBK"/>
          <w:color w:val="000000"/>
          <w:sz w:val="44"/>
          <w:szCs w:val="44"/>
        </w:rPr>
      </w:pPr>
      <w:r>
        <w:rPr>
          <w:rFonts w:hint="eastAsia" w:ascii="方正小标宋_GBK" w:hAnsi="方正小标宋_GBK" w:eastAsia="方正小标宋_GBK"/>
          <w:color w:val="000000"/>
          <w:sz w:val="44"/>
          <w:szCs w:val="44"/>
        </w:rPr>
        <w:t>单位信用修复承诺书</w:t>
      </w:r>
    </w:p>
    <w:p>
      <w:pPr>
        <w:spacing w:line="480" w:lineRule="exact"/>
        <w:rPr>
          <w:rFonts w:hint="eastAsia" w:eastAsia="仿宋_GB2312"/>
          <w:color w:val="000000"/>
          <w:sz w:val="28"/>
          <w:szCs w:val="30"/>
        </w:rPr>
      </w:pPr>
    </w:p>
    <w:p>
      <w:pPr>
        <w:spacing w:line="48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年</w:t>
      </w:r>
      <w:r>
        <w:rPr>
          <w:rFonts w:ascii="方正仿宋_GBK" w:eastAsia="方正仿宋_GBK"/>
          <w:color w:val="000000"/>
          <w:sz w:val="30"/>
          <w:szCs w:val="30"/>
        </w:rPr>
        <w:t xml:space="preserve">  </w:t>
      </w:r>
      <w:r>
        <w:rPr>
          <w:rFonts w:hint="eastAsia" w:ascii="方正仿宋_GBK" w:eastAsia="方正仿宋_GBK"/>
          <w:color w:val="000000"/>
          <w:sz w:val="30"/>
          <w:szCs w:val="30"/>
        </w:rPr>
        <w:t>月</w:t>
      </w:r>
      <w:r>
        <w:rPr>
          <w:rFonts w:ascii="方正仿宋_GBK" w:eastAsia="方正仿宋_GBK"/>
          <w:color w:val="000000"/>
          <w:sz w:val="30"/>
          <w:szCs w:val="30"/>
        </w:rPr>
        <w:t xml:space="preserve"> </w:t>
      </w:r>
      <w:r>
        <w:rPr>
          <w:rFonts w:hint="eastAsia" w:ascii="方正仿宋_GBK" w:eastAsia="方正仿宋_GBK"/>
          <w:color w:val="000000"/>
          <w:sz w:val="30"/>
          <w:szCs w:val="30"/>
        </w:rPr>
        <w:t>日，我单位（单位名称：</w:t>
      </w:r>
      <w:r>
        <w:rPr>
          <w:rFonts w:ascii="方正仿宋_GBK" w:eastAsia="方正仿宋_GBK"/>
          <w:color w:val="000000"/>
          <w:sz w:val="30"/>
          <w:szCs w:val="30"/>
        </w:rPr>
        <w:t xml:space="preserve">          </w:t>
      </w:r>
      <w:r>
        <w:rPr>
          <w:rFonts w:hint="eastAsia" w:ascii="方正仿宋_GBK" w:eastAsia="方正仿宋_GBK"/>
          <w:color w:val="000000"/>
          <w:sz w:val="30"/>
          <w:szCs w:val="30"/>
        </w:rPr>
        <w:t>，</w:t>
      </w:r>
      <w:r>
        <w:rPr>
          <w:rFonts w:hint="eastAsia" w:ascii="方正仿宋_GBK" w:eastAsia="方正仿宋_GBK" w:cs="??"/>
          <w:color w:val="000000"/>
          <w:sz w:val="30"/>
          <w:szCs w:val="30"/>
        </w:rPr>
        <w:t>统一社会信用代码：</w:t>
      </w:r>
      <w:r>
        <w:rPr>
          <w:rFonts w:ascii="方正仿宋_GBK" w:eastAsia="方正仿宋_GBK" w:cs="??"/>
          <w:color w:val="000000"/>
          <w:sz w:val="30"/>
          <w:szCs w:val="30"/>
        </w:rPr>
        <w:t xml:space="preserve">               </w:t>
      </w:r>
      <w:r>
        <w:rPr>
          <w:rFonts w:hint="eastAsia" w:ascii="方正仿宋_GBK" w:eastAsia="方正仿宋_GBK"/>
          <w:color w:val="000000"/>
          <w:sz w:val="30"/>
          <w:szCs w:val="30"/>
        </w:rPr>
        <w:t>），因超限运输失信行为累计扣分达到</w:t>
      </w:r>
      <w:r>
        <w:rPr>
          <w:rFonts w:ascii="方正仿宋_GBK" w:eastAsia="方正仿宋_GBK"/>
          <w:color w:val="000000"/>
          <w:sz w:val="30"/>
          <w:szCs w:val="30"/>
        </w:rPr>
        <w:t>40</w:t>
      </w:r>
      <w:r>
        <w:rPr>
          <w:rFonts w:hint="eastAsia" w:ascii="方正仿宋_GBK" w:eastAsia="方正仿宋_GBK"/>
          <w:color w:val="000000"/>
          <w:sz w:val="30"/>
          <w:szCs w:val="30"/>
        </w:rPr>
        <w:t>分及以上，信用等级评定为</w:t>
      </w:r>
      <w:r>
        <w:rPr>
          <w:rFonts w:ascii="方正仿宋_GBK" w:eastAsia="方正仿宋_GBK"/>
          <w:color w:val="000000"/>
          <w:sz w:val="30"/>
          <w:szCs w:val="30"/>
        </w:rPr>
        <w:t>D</w:t>
      </w:r>
      <w:r>
        <w:rPr>
          <w:rFonts w:hint="eastAsia" w:ascii="方正仿宋_GBK" w:eastAsia="方正仿宋_GBK"/>
          <w:color w:val="000000"/>
          <w:sz w:val="30"/>
          <w:szCs w:val="30"/>
        </w:rPr>
        <w:t>级，被列入严重失信主体名单，给行业和社会造成了不良影响。为再创诚信守信的良好形象，我单位已积极开展信用修复工作，并公开向行业及社会作出以下承诺：</w:t>
      </w:r>
    </w:p>
    <w:p>
      <w:pPr>
        <w:spacing w:line="48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一、原失信问题于年月日已完成整改，现申请对本单位在交通运输领域信用进行修复。</w:t>
      </w:r>
    </w:p>
    <w:p>
      <w:pPr>
        <w:spacing w:line="480" w:lineRule="exact"/>
        <w:ind w:firstLine="600" w:firstLineChars="200"/>
        <w:rPr>
          <w:rFonts w:ascii="方正仿宋_GBK" w:eastAsia="方正仿宋_GBK" w:cs="??"/>
          <w:color w:val="000000"/>
          <w:sz w:val="30"/>
          <w:szCs w:val="30"/>
        </w:rPr>
      </w:pPr>
      <w:r>
        <w:rPr>
          <w:rFonts w:hint="eastAsia" w:ascii="方正仿宋_GBK" w:eastAsia="方正仿宋_GBK"/>
          <w:color w:val="000000"/>
          <w:sz w:val="30"/>
          <w:szCs w:val="30"/>
        </w:rPr>
        <w:t>二、严格遵守国家及交通行业有关法律、</w:t>
      </w:r>
      <w:r>
        <w:rPr>
          <w:rFonts w:hint="eastAsia" w:ascii="方正仿宋_GBK" w:eastAsia="方正仿宋_GBK" w:cs="??"/>
          <w:color w:val="000000"/>
          <w:sz w:val="30"/>
          <w:szCs w:val="30"/>
        </w:rPr>
        <w:t>法规、规章和政策规定，主动履行社会责任。</w:t>
      </w:r>
    </w:p>
    <w:p>
      <w:pPr>
        <w:spacing w:line="480" w:lineRule="exact"/>
        <w:ind w:firstLine="600" w:firstLineChars="200"/>
        <w:rPr>
          <w:rFonts w:ascii="方正仿宋_GBK" w:eastAsia="方正仿宋_GBK"/>
          <w:color w:val="000000"/>
          <w:spacing w:val="-10"/>
          <w:sz w:val="30"/>
          <w:szCs w:val="30"/>
        </w:rPr>
      </w:pPr>
      <w:r>
        <w:rPr>
          <w:rFonts w:hint="eastAsia" w:ascii="方正仿宋_GBK" w:eastAsia="方正仿宋_GBK" w:cs="??"/>
          <w:color w:val="000000"/>
          <w:sz w:val="30"/>
          <w:szCs w:val="30"/>
        </w:rPr>
        <w:t>三、积</w:t>
      </w:r>
      <w:r>
        <w:rPr>
          <w:rFonts w:hint="eastAsia" w:ascii="方正仿宋_GBK" w:eastAsia="方正仿宋_GBK" w:cs="??"/>
          <w:color w:val="000000"/>
          <w:spacing w:val="-10"/>
          <w:sz w:val="30"/>
          <w:szCs w:val="30"/>
        </w:rPr>
        <w:t>极配合交通行政执法部门检查，积极履</w:t>
      </w:r>
      <w:r>
        <w:rPr>
          <w:rFonts w:hint="eastAsia" w:ascii="方正仿宋_GBK" w:eastAsia="方正仿宋_GBK"/>
          <w:color w:val="000000"/>
          <w:spacing w:val="-10"/>
          <w:sz w:val="30"/>
          <w:szCs w:val="30"/>
        </w:rPr>
        <w:t>行法定义务和责任。</w:t>
      </w:r>
    </w:p>
    <w:p>
      <w:pPr>
        <w:spacing w:line="480" w:lineRule="exact"/>
        <w:ind w:firstLine="600" w:firstLineChars="200"/>
        <w:rPr>
          <w:rFonts w:ascii="方正仿宋_GBK" w:eastAsia="方正仿宋_GBK" w:cs="??"/>
          <w:color w:val="000000"/>
          <w:sz w:val="30"/>
          <w:szCs w:val="30"/>
        </w:rPr>
      </w:pPr>
      <w:r>
        <w:rPr>
          <w:rFonts w:hint="eastAsia" w:ascii="方正仿宋_GBK" w:eastAsia="方正仿宋_GBK"/>
          <w:color w:val="000000"/>
          <w:sz w:val="30"/>
          <w:szCs w:val="30"/>
        </w:rPr>
        <w:t>四、</w:t>
      </w:r>
      <w:r>
        <w:rPr>
          <w:rFonts w:hint="eastAsia" w:ascii="方正仿宋_GBK" w:eastAsia="方正仿宋_GBK" w:cs="??"/>
          <w:color w:val="000000"/>
          <w:sz w:val="30"/>
          <w:szCs w:val="30"/>
        </w:rPr>
        <w:t>加强单位内部信用管理，健全信用管理制度体系，弘扬单位诚信文化，将信用责任、诚信文化落实融入每位员工工作中。</w:t>
      </w:r>
    </w:p>
    <w:p>
      <w:pPr>
        <w:spacing w:line="480" w:lineRule="exact"/>
        <w:ind w:firstLine="600" w:firstLineChars="200"/>
        <w:rPr>
          <w:rFonts w:ascii="方正仿宋_GBK" w:eastAsia="方正仿宋_GBK"/>
          <w:color w:val="000000"/>
          <w:sz w:val="30"/>
          <w:szCs w:val="30"/>
        </w:rPr>
      </w:pPr>
      <w:r>
        <w:rPr>
          <w:rFonts w:hint="eastAsia" w:ascii="方正仿宋_GBK" w:eastAsia="方正仿宋_GBK" w:cs="??"/>
          <w:color w:val="000000"/>
          <w:sz w:val="30"/>
          <w:szCs w:val="30"/>
        </w:rPr>
        <w:t>五、单位负责人带头遵守国家和单位信用管理制度，切实履行信用责任，树立诚信意识。</w:t>
      </w:r>
    </w:p>
    <w:p>
      <w:pPr>
        <w:spacing w:line="480" w:lineRule="exact"/>
        <w:ind w:firstLine="600" w:firstLineChars="200"/>
        <w:rPr>
          <w:rFonts w:ascii="方正仿宋_GBK" w:eastAsia="方正仿宋_GBK" w:cs="??"/>
          <w:color w:val="000000"/>
          <w:sz w:val="30"/>
          <w:szCs w:val="30"/>
        </w:rPr>
      </w:pPr>
      <w:r>
        <w:rPr>
          <w:rFonts w:hint="eastAsia" w:ascii="方正仿宋_GBK" w:eastAsia="方正仿宋_GBK"/>
          <w:color w:val="000000"/>
          <w:sz w:val="30"/>
          <w:szCs w:val="30"/>
        </w:rPr>
        <w:t>六、</w:t>
      </w:r>
      <w:r>
        <w:rPr>
          <w:rFonts w:hint="eastAsia" w:ascii="方正仿宋_GBK" w:eastAsia="方正仿宋_GBK" w:cs="??"/>
          <w:color w:val="000000"/>
          <w:sz w:val="30"/>
          <w:szCs w:val="30"/>
        </w:rPr>
        <w:t>自觉接受政府、行业组织、社会公众、新闻舆论的监督。</w:t>
      </w:r>
    </w:p>
    <w:p>
      <w:pPr>
        <w:spacing w:line="480" w:lineRule="exact"/>
        <w:ind w:firstLine="600" w:firstLineChars="200"/>
        <w:rPr>
          <w:rFonts w:ascii="方正仿宋_GBK" w:eastAsia="方正仿宋_GBK" w:cs="??"/>
          <w:color w:val="000000"/>
          <w:sz w:val="30"/>
          <w:szCs w:val="30"/>
        </w:rPr>
      </w:pPr>
      <w:r>
        <w:rPr>
          <w:rFonts w:hint="eastAsia" w:ascii="方正仿宋_GBK" w:eastAsia="方正仿宋_GBK" w:cs="??"/>
          <w:color w:val="000000"/>
          <w:sz w:val="30"/>
          <w:szCs w:val="30"/>
        </w:rPr>
        <w:t>七、我单位承诺提交材料真实，如有违反，愿意承担相应责任。</w:t>
      </w:r>
    </w:p>
    <w:p>
      <w:pPr>
        <w:spacing w:line="480" w:lineRule="exact"/>
        <w:ind w:firstLine="600" w:firstLineChars="200"/>
        <w:rPr>
          <w:rFonts w:ascii="方正仿宋_GBK" w:eastAsia="方正仿宋_GBK" w:cs="??"/>
          <w:color w:val="000000"/>
          <w:sz w:val="30"/>
          <w:szCs w:val="30"/>
        </w:rPr>
      </w:pPr>
      <w:r>
        <w:rPr>
          <w:rFonts w:hint="eastAsia" w:ascii="方正仿宋_GBK" w:eastAsia="方正仿宋_GBK" w:cs="??"/>
          <w:color w:val="000000"/>
          <w:sz w:val="30"/>
          <w:szCs w:val="30"/>
        </w:rPr>
        <w:t>八、本《单位信用修复承诺书》同意向社会公开。</w:t>
      </w:r>
    </w:p>
    <w:p>
      <w:pPr>
        <w:spacing w:line="480" w:lineRule="exact"/>
        <w:ind w:firstLine="600" w:firstLineChars="200"/>
        <w:jc w:val="left"/>
        <w:rPr>
          <w:rFonts w:ascii="方正仿宋_GBK" w:eastAsia="方正仿宋_GBK" w:cs="??"/>
          <w:color w:val="000000"/>
          <w:sz w:val="30"/>
          <w:szCs w:val="30"/>
        </w:rPr>
      </w:pPr>
    </w:p>
    <w:p>
      <w:pPr>
        <w:pStyle w:val="13"/>
      </w:pPr>
    </w:p>
    <w:p>
      <w:pPr>
        <w:spacing w:line="480" w:lineRule="exact"/>
        <w:ind w:firstLine="6300" w:firstLineChars="2100"/>
        <w:jc w:val="left"/>
        <w:rPr>
          <w:rFonts w:ascii="方正仿宋_GBK" w:eastAsia="方正仿宋_GBK" w:cs="??"/>
          <w:color w:val="000000"/>
          <w:sz w:val="30"/>
          <w:szCs w:val="30"/>
        </w:rPr>
      </w:pPr>
      <w:r>
        <w:rPr>
          <w:rFonts w:hint="eastAsia" w:ascii="方正仿宋_GBK" w:eastAsia="方正仿宋_GBK" w:cs="??"/>
          <w:color w:val="000000"/>
          <w:sz w:val="30"/>
          <w:szCs w:val="30"/>
        </w:rPr>
        <w:t>承诺单位（公章）：</w:t>
      </w:r>
    </w:p>
    <w:p>
      <w:pPr>
        <w:spacing w:line="480" w:lineRule="exact"/>
        <w:ind w:firstLine="5250" w:firstLineChars="1750"/>
        <w:rPr>
          <w:rFonts w:ascii="方正仿宋_GBK" w:eastAsia="方正仿宋_GBK" w:cs="??"/>
          <w:color w:val="000000"/>
          <w:sz w:val="30"/>
          <w:szCs w:val="30"/>
        </w:rPr>
      </w:pPr>
      <w:r>
        <w:rPr>
          <w:rFonts w:hint="eastAsia" w:ascii="方正仿宋_GBK" w:eastAsia="方正仿宋_GBK" w:cs="??"/>
          <w:color w:val="000000"/>
          <w:sz w:val="30"/>
          <w:szCs w:val="30"/>
        </w:rPr>
        <w:t>法定代表人（签字</w:t>
      </w:r>
      <w:r>
        <w:rPr>
          <w:rFonts w:ascii="方正仿宋_GBK" w:eastAsia="方正仿宋_GBK" w:cs="??"/>
          <w:color w:val="000000"/>
          <w:sz w:val="30"/>
          <w:szCs w:val="30"/>
        </w:rPr>
        <w:t>/</w:t>
      </w:r>
      <w:r>
        <w:rPr>
          <w:rFonts w:hint="eastAsia" w:ascii="方正仿宋_GBK" w:eastAsia="方正仿宋_GBK" w:cs="??"/>
          <w:color w:val="000000"/>
          <w:sz w:val="30"/>
          <w:szCs w:val="30"/>
        </w:rPr>
        <w:t>盖章）：</w:t>
      </w:r>
    </w:p>
    <w:p>
      <w:pPr>
        <w:widowControl/>
        <w:spacing w:line="480" w:lineRule="exact"/>
        <w:ind w:right="140"/>
        <w:jc w:val="right"/>
        <w:rPr>
          <w:rFonts w:ascii="方正仿宋_GBK" w:eastAsia="方正仿宋_GBK" w:cs="??"/>
          <w:color w:val="000000"/>
          <w:sz w:val="30"/>
          <w:szCs w:val="30"/>
        </w:rPr>
      </w:pPr>
      <w:r>
        <w:rPr>
          <w:rFonts w:hint="eastAsia" w:ascii="方正仿宋_GBK" w:eastAsia="方正仿宋_GBK" w:cs="??"/>
          <w:color w:val="000000"/>
          <w:sz w:val="30"/>
          <w:szCs w:val="30"/>
        </w:rPr>
        <w:t>年</w:t>
      </w:r>
      <w:r>
        <w:rPr>
          <w:rFonts w:ascii="方正仿宋_GBK" w:eastAsia="方正仿宋_GBK" w:cs="??"/>
          <w:color w:val="000000"/>
          <w:sz w:val="30"/>
          <w:szCs w:val="30"/>
        </w:rPr>
        <w:t xml:space="preserve">  </w:t>
      </w:r>
      <w:r>
        <w:rPr>
          <w:rFonts w:hint="eastAsia" w:ascii="方正仿宋_GBK" w:eastAsia="方正仿宋_GBK" w:cs="??"/>
          <w:color w:val="000000"/>
          <w:sz w:val="30"/>
          <w:szCs w:val="30"/>
        </w:rPr>
        <w:t>月</w:t>
      </w:r>
      <w:r>
        <w:rPr>
          <w:rFonts w:ascii="方正仿宋_GBK" w:eastAsia="方正仿宋_GBK" w:cs="??"/>
          <w:color w:val="000000"/>
          <w:sz w:val="30"/>
          <w:szCs w:val="30"/>
        </w:rPr>
        <w:t xml:space="preserve">  </w:t>
      </w:r>
      <w:r>
        <w:rPr>
          <w:rFonts w:hint="eastAsia" w:ascii="方正仿宋_GBK" w:eastAsia="方正仿宋_GBK" w:cs="??"/>
          <w:color w:val="000000"/>
          <w:sz w:val="30"/>
          <w:szCs w:val="30"/>
        </w:rPr>
        <w:t>日</w:t>
      </w:r>
    </w:p>
    <w:p>
      <w:pPr>
        <w:spacing w:line="560" w:lineRule="exact"/>
        <w:jc w:val="left"/>
        <w:rPr>
          <w:rFonts w:ascii="方正黑体_GBK" w:hAnsi="黑体" w:eastAsia="方正黑体_GBK" w:cs="方正小标宋_GBK"/>
          <w:bCs/>
          <w:color w:val="000000"/>
          <w:sz w:val="32"/>
          <w:szCs w:val="32"/>
        </w:rPr>
      </w:pPr>
      <w:r>
        <w:rPr>
          <w:rFonts w:eastAsia="仿宋_GB2312" w:cs="??"/>
          <w:color w:val="000000"/>
          <w:sz w:val="28"/>
          <w:szCs w:val="30"/>
        </w:rPr>
        <w:br w:type="page"/>
      </w:r>
      <w:r>
        <w:rPr>
          <w:rFonts w:hint="eastAsia" w:ascii="方正黑体_GBK" w:hAnsi="黑体" w:eastAsia="方正黑体_GBK" w:cs="方正小标宋_GBK"/>
          <w:bCs/>
          <w:color w:val="000000"/>
          <w:sz w:val="32"/>
          <w:szCs w:val="32"/>
        </w:rPr>
        <w:t>附件</w:t>
      </w:r>
      <w:r>
        <w:rPr>
          <w:rFonts w:ascii="方正黑体_GBK" w:hAnsi="黑体" w:eastAsia="方正黑体_GBK" w:cs="方正小标宋_GBK"/>
          <w:bCs/>
          <w:color w:val="000000"/>
          <w:sz w:val="32"/>
          <w:szCs w:val="32"/>
        </w:rPr>
        <w:t>4</w:t>
      </w:r>
    </w:p>
    <w:p>
      <w:pPr>
        <w:pStyle w:val="13"/>
        <w:spacing w:line="560" w:lineRule="exact"/>
      </w:pPr>
    </w:p>
    <w:p>
      <w:pPr>
        <w:pStyle w:val="2"/>
        <w:keepNext w:val="0"/>
        <w:keepLines w:val="0"/>
        <w:spacing w:before="0" w:after="0" w:line="560" w:lineRule="exact"/>
        <w:jc w:val="center"/>
        <w:rPr>
          <w:rFonts w:ascii="方正小标宋_GBK" w:hAnsi="方正小标宋_GBK" w:eastAsia="方正小标宋_GBK"/>
          <w:b w:val="0"/>
          <w:bCs w:val="0"/>
          <w:color w:val="000000"/>
        </w:rPr>
      </w:pPr>
      <w:r>
        <w:rPr>
          <w:rFonts w:hint="eastAsia" w:ascii="方正小标宋_GBK" w:hAnsi="方正小标宋_GBK" w:eastAsia="方正小标宋_GBK"/>
          <w:b w:val="0"/>
          <w:bCs w:val="0"/>
          <w:color w:val="000000"/>
          <w:sz w:val="44"/>
          <w:szCs w:val="44"/>
        </w:rPr>
        <w:t>交通运输信用修复申请书</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99"/>
        <w:gridCol w:w="2131"/>
        <w:gridCol w:w="1466"/>
        <w:gridCol w:w="22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65" w:type="pct"/>
            <w:tcBorders>
              <w:top w:val="single" w:color="auto" w:sz="12" w:space="0"/>
            </w:tcBorders>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单位名称</w:t>
            </w:r>
          </w:p>
          <w:p>
            <w:pPr>
              <w:jc w:val="center"/>
              <w:rPr>
                <w:rFonts w:ascii="仿宋" w:hAnsi="仿宋" w:eastAsia="仿宋" w:cs="仿宋"/>
                <w:color w:val="000000"/>
                <w:sz w:val="24"/>
                <w:szCs w:val="24"/>
              </w:rPr>
            </w:pPr>
            <w:r>
              <w:rPr>
                <w:rFonts w:hint="eastAsia" w:ascii="仿宋" w:hAnsi="仿宋" w:eastAsia="仿宋" w:cs="仿宋"/>
                <w:color w:val="000000"/>
                <w:sz w:val="24"/>
                <w:szCs w:val="24"/>
              </w:rPr>
              <w:t>（个人姓名）</w:t>
            </w:r>
          </w:p>
        </w:tc>
        <w:tc>
          <w:tcPr>
            <w:tcW w:w="3235" w:type="pct"/>
            <w:gridSpan w:val="3"/>
            <w:tcBorders>
              <w:top w:val="single" w:color="auto" w:sz="12" w:space="0"/>
            </w:tcBorders>
            <w:noWrap w:val="0"/>
            <w:vAlign w:val="center"/>
          </w:tcPr>
          <w:p>
            <w:pPr>
              <w:rPr>
                <w:rFonts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65" w:type="pc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统一社会信用代码</w:t>
            </w:r>
          </w:p>
          <w:p>
            <w:pPr>
              <w:jc w:val="center"/>
              <w:rPr>
                <w:rFonts w:ascii="仿宋" w:hAnsi="仿宋" w:eastAsia="仿宋" w:cs="仿宋"/>
                <w:color w:val="000000"/>
                <w:sz w:val="24"/>
                <w:szCs w:val="24"/>
              </w:rPr>
            </w:pPr>
            <w:r>
              <w:rPr>
                <w:rFonts w:hint="eastAsia" w:ascii="仿宋" w:hAnsi="仿宋" w:eastAsia="仿宋" w:cs="仿宋"/>
                <w:color w:val="000000"/>
                <w:sz w:val="24"/>
                <w:szCs w:val="24"/>
              </w:rPr>
              <w:t>（身份证号码）</w:t>
            </w:r>
          </w:p>
        </w:tc>
        <w:tc>
          <w:tcPr>
            <w:tcW w:w="1176" w:type="pct"/>
            <w:noWrap w:val="0"/>
            <w:vAlign w:val="center"/>
          </w:tcPr>
          <w:p>
            <w:pPr>
              <w:rPr>
                <w:rFonts w:ascii="仿宋" w:hAnsi="仿宋" w:eastAsia="仿宋" w:cs="仿宋"/>
                <w:color w:val="000000"/>
                <w:sz w:val="24"/>
                <w:szCs w:val="24"/>
              </w:rPr>
            </w:pPr>
          </w:p>
        </w:tc>
        <w:tc>
          <w:tcPr>
            <w:tcW w:w="809" w:type="pc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申请日期</w:t>
            </w:r>
          </w:p>
        </w:tc>
        <w:tc>
          <w:tcPr>
            <w:tcW w:w="1250" w:type="pct"/>
            <w:noWrap w:val="0"/>
            <w:vAlign w:val="center"/>
          </w:tcPr>
          <w:p>
            <w:pPr>
              <w:jc w:val="center"/>
              <w:rPr>
                <w:rFonts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5" w:type="pc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联系人</w:t>
            </w:r>
          </w:p>
        </w:tc>
        <w:tc>
          <w:tcPr>
            <w:tcW w:w="1176" w:type="pct"/>
            <w:noWrap w:val="0"/>
            <w:vAlign w:val="center"/>
          </w:tcPr>
          <w:p>
            <w:pPr>
              <w:rPr>
                <w:rFonts w:ascii="仿宋" w:hAnsi="仿宋" w:eastAsia="仿宋" w:cs="仿宋"/>
                <w:color w:val="000000"/>
                <w:sz w:val="24"/>
                <w:szCs w:val="24"/>
              </w:rPr>
            </w:pPr>
          </w:p>
        </w:tc>
        <w:tc>
          <w:tcPr>
            <w:tcW w:w="809" w:type="pc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联系电话</w:t>
            </w:r>
          </w:p>
        </w:tc>
        <w:tc>
          <w:tcPr>
            <w:tcW w:w="1250" w:type="pct"/>
            <w:noWrap w:val="0"/>
            <w:vAlign w:val="center"/>
          </w:tcPr>
          <w:p>
            <w:pPr>
              <w:jc w:val="center"/>
              <w:rPr>
                <w:rFonts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5" w:type="pc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通讯地址</w:t>
            </w:r>
          </w:p>
        </w:tc>
        <w:tc>
          <w:tcPr>
            <w:tcW w:w="1176" w:type="pct"/>
            <w:noWrap w:val="0"/>
            <w:vAlign w:val="center"/>
          </w:tcPr>
          <w:p>
            <w:pPr>
              <w:rPr>
                <w:rFonts w:ascii="仿宋" w:hAnsi="仿宋" w:eastAsia="仿宋" w:cs="仿宋"/>
                <w:color w:val="000000"/>
                <w:sz w:val="24"/>
                <w:szCs w:val="24"/>
              </w:rPr>
            </w:pPr>
          </w:p>
        </w:tc>
        <w:tc>
          <w:tcPr>
            <w:tcW w:w="809" w:type="pct"/>
            <w:noWrap w:val="0"/>
            <w:vAlign w:val="center"/>
          </w:tcPr>
          <w:p>
            <w:pPr>
              <w:jc w:val="center"/>
              <w:rPr>
                <w:rFonts w:eastAsia="仿宋"/>
                <w:color w:val="000000"/>
                <w:sz w:val="24"/>
                <w:szCs w:val="24"/>
              </w:rPr>
            </w:pPr>
            <w:r>
              <w:rPr>
                <w:rFonts w:hint="eastAsia" w:ascii="仿宋" w:hAnsi="仿宋" w:eastAsia="仿宋" w:cs="仿宋"/>
                <w:color w:val="000000"/>
                <w:sz w:val="24"/>
                <w:szCs w:val="24"/>
              </w:rPr>
              <w:t>电子邮箱</w:t>
            </w:r>
          </w:p>
        </w:tc>
        <w:tc>
          <w:tcPr>
            <w:tcW w:w="1250" w:type="pct"/>
            <w:noWrap w:val="0"/>
            <w:vAlign w:val="center"/>
          </w:tcPr>
          <w:p>
            <w:pPr>
              <w:jc w:val="center"/>
              <w:rPr>
                <w:rFonts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5" w:type="pc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认定部门</w:t>
            </w:r>
          </w:p>
        </w:tc>
        <w:tc>
          <w:tcPr>
            <w:tcW w:w="3235" w:type="pct"/>
            <w:gridSpan w:val="3"/>
            <w:noWrap w:val="0"/>
            <w:vAlign w:val="top"/>
          </w:tcPr>
          <w:p>
            <w:pPr>
              <w:rPr>
                <w:rFonts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765" w:type="pct"/>
            <w:noWrap w:val="0"/>
            <w:vAlign w:val="center"/>
          </w:tcPr>
          <w:p>
            <w:pPr>
              <w:jc w:val="center"/>
              <w:rPr>
                <w:rFonts w:eastAsia="仿宋" w:cs="仿宋"/>
                <w:color w:val="000000"/>
                <w:kern w:val="0"/>
                <w:sz w:val="24"/>
                <w:szCs w:val="24"/>
              </w:rPr>
            </w:pPr>
            <w:r>
              <w:rPr>
                <w:rFonts w:hint="eastAsia" w:eastAsia="仿宋" w:cs="仿宋"/>
                <w:color w:val="000000"/>
                <w:kern w:val="0"/>
                <w:sz w:val="24"/>
                <w:szCs w:val="24"/>
              </w:rPr>
              <w:t>违法失信情况</w:t>
            </w:r>
          </w:p>
        </w:tc>
        <w:tc>
          <w:tcPr>
            <w:tcW w:w="3235" w:type="pct"/>
            <w:gridSpan w:val="3"/>
            <w:noWrap w:val="0"/>
            <w:vAlign w:val="center"/>
          </w:tcPr>
          <w:p>
            <w:pPr>
              <w:ind w:firstLine="480" w:firstLineChars="200"/>
              <w:jc w:val="left"/>
              <w:rPr>
                <w:rFonts w:eastAsia="仿宋"/>
                <w:color w:val="000000"/>
                <w:kern w:val="0"/>
                <w:sz w:val="24"/>
                <w:szCs w:val="24"/>
              </w:rPr>
            </w:pPr>
            <w:r>
              <w:rPr>
                <w:rFonts w:hint="eastAsia" w:eastAsia="仿宋"/>
                <w:color w:val="000000"/>
                <w:kern w:val="0"/>
                <w:sz w:val="24"/>
                <w:szCs w:val="24"/>
              </w:rPr>
              <w:t>年月日，因超限运输失信行为累计扣分达到</w:t>
            </w:r>
            <w:r>
              <w:rPr>
                <w:rFonts w:eastAsia="仿宋"/>
                <w:color w:val="000000"/>
                <w:kern w:val="0"/>
                <w:sz w:val="24"/>
                <w:szCs w:val="24"/>
              </w:rPr>
              <w:t>40</w:t>
            </w:r>
            <w:r>
              <w:rPr>
                <w:rFonts w:hint="eastAsia" w:eastAsia="仿宋"/>
                <w:color w:val="000000"/>
                <w:kern w:val="0"/>
                <w:sz w:val="24"/>
                <w:szCs w:val="24"/>
              </w:rPr>
              <w:t>分及以上，信用等级评定为</w:t>
            </w:r>
            <w:r>
              <w:rPr>
                <w:rFonts w:eastAsia="仿宋"/>
                <w:color w:val="000000"/>
                <w:kern w:val="0"/>
                <w:sz w:val="24"/>
                <w:szCs w:val="24"/>
              </w:rPr>
              <w:t>D</w:t>
            </w:r>
            <w:r>
              <w:rPr>
                <w:rFonts w:hint="eastAsia" w:eastAsia="仿宋"/>
                <w:color w:val="000000"/>
                <w:kern w:val="0"/>
                <w:sz w:val="24"/>
                <w:szCs w:val="24"/>
              </w:rPr>
              <w:t>级，被列入严重失信主体名单。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5" w:type="pct"/>
            <w:noWrap w:val="0"/>
            <w:vAlign w:val="center"/>
          </w:tcPr>
          <w:p>
            <w:pPr>
              <w:jc w:val="center"/>
              <w:rPr>
                <w:rFonts w:eastAsia="仿宋" w:cs="仿宋"/>
                <w:color w:val="000000"/>
                <w:kern w:val="0"/>
                <w:sz w:val="24"/>
                <w:szCs w:val="24"/>
              </w:rPr>
            </w:pPr>
            <w:r>
              <w:rPr>
                <w:rFonts w:hint="eastAsia" w:eastAsia="仿宋" w:cs="仿宋"/>
                <w:color w:val="000000"/>
                <w:kern w:val="0"/>
                <w:sz w:val="24"/>
                <w:szCs w:val="24"/>
              </w:rPr>
              <w:t>整改情况</w:t>
            </w:r>
          </w:p>
        </w:tc>
        <w:tc>
          <w:tcPr>
            <w:tcW w:w="3235" w:type="pct"/>
            <w:gridSpan w:val="3"/>
            <w:noWrap w:val="0"/>
            <w:vAlign w:val="top"/>
          </w:tcPr>
          <w:p>
            <w:pPr>
              <w:rPr>
                <w:rFonts w:eastAsia="仿宋" w:cs="仿宋"/>
                <w:color w:val="000000"/>
                <w:kern w:val="0"/>
                <w:sz w:val="24"/>
                <w:szCs w:val="24"/>
              </w:rPr>
            </w:pPr>
          </w:p>
          <w:p>
            <w:pPr>
              <w:rPr>
                <w:rFonts w:eastAsia="仿宋" w:cs="仿宋"/>
                <w:color w:val="000000"/>
                <w:kern w:val="0"/>
                <w:sz w:val="24"/>
                <w:szCs w:val="24"/>
              </w:rPr>
            </w:pPr>
          </w:p>
          <w:p>
            <w:pPr>
              <w:rPr>
                <w:rFonts w:eastAsia="仿宋" w:cs="仿宋"/>
                <w:color w:val="000000"/>
                <w:kern w:val="0"/>
                <w:sz w:val="24"/>
                <w:szCs w:val="24"/>
              </w:rPr>
            </w:pPr>
          </w:p>
          <w:p>
            <w:pPr>
              <w:jc w:val="right"/>
              <w:rPr>
                <w:rFonts w:eastAsia="仿宋" w:cs="仿宋"/>
                <w:color w:val="000000"/>
                <w:kern w:val="0"/>
                <w:sz w:val="24"/>
                <w:szCs w:val="24"/>
              </w:rPr>
            </w:pPr>
            <w:r>
              <w:rPr>
                <w:rFonts w:hint="eastAsia" w:eastAsia="仿宋" w:cs="仿宋"/>
                <w:color w:val="000000"/>
                <w:kern w:val="0"/>
                <w:sz w:val="24"/>
                <w:szCs w:val="24"/>
              </w:rPr>
              <w:t>（可另附页）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765" w:type="pct"/>
            <w:noWrap w:val="0"/>
            <w:vAlign w:val="center"/>
          </w:tcPr>
          <w:p>
            <w:pPr>
              <w:jc w:val="center"/>
              <w:rPr>
                <w:rFonts w:eastAsia="仿宋" w:cs="仿宋"/>
                <w:color w:val="000000"/>
                <w:kern w:val="0"/>
                <w:sz w:val="24"/>
                <w:szCs w:val="24"/>
              </w:rPr>
            </w:pPr>
            <w:r>
              <w:rPr>
                <w:rFonts w:hint="eastAsia" w:eastAsia="仿宋" w:cs="仿宋"/>
                <w:color w:val="000000"/>
                <w:kern w:val="0"/>
                <w:sz w:val="24"/>
                <w:szCs w:val="24"/>
              </w:rPr>
              <w:t>补充材料目录</w:t>
            </w:r>
          </w:p>
        </w:tc>
        <w:tc>
          <w:tcPr>
            <w:tcW w:w="3235" w:type="pct"/>
            <w:gridSpan w:val="3"/>
            <w:noWrap w:val="0"/>
            <w:vAlign w:val="top"/>
          </w:tcPr>
          <w:p>
            <w:pPr>
              <w:ind w:right="960"/>
              <w:rPr>
                <w:rFonts w:eastAsia="仿宋" w:cs="仿宋"/>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5" w:type="pct"/>
            <w:noWrap w:val="0"/>
            <w:vAlign w:val="center"/>
          </w:tcPr>
          <w:p>
            <w:pPr>
              <w:jc w:val="center"/>
              <w:rPr>
                <w:rFonts w:eastAsia="仿宋" w:cs="仿宋"/>
                <w:color w:val="000000"/>
                <w:kern w:val="0"/>
                <w:sz w:val="24"/>
                <w:szCs w:val="24"/>
              </w:rPr>
            </w:pPr>
            <w:r>
              <w:rPr>
                <w:rFonts w:hint="eastAsia" w:eastAsia="仿宋" w:cs="仿宋"/>
                <w:color w:val="000000"/>
                <w:kern w:val="0"/>
                <w:sz w:val="24"/>
                <w:szCs w:val="24"/>
              </w:rPr>
              <w:t>真实性承诺</w:t>
            </w:r>
          </w:p>
        </w:tc>
        <w:tc>
          <w:tcPr>
            <w:tcW w:w="3235" w:type="pct"/>
            <w:gridSpan w:val="3"/>
            <w:noWrap w:val="0"/>
            <w:vAlign w:val="top"/>
          </w:tcPr>
          <w:p>
            <w:pPr>
              <w:spacing w:line="340" w:lineRule="exact"/>
              <w:ind w:firstLine="480" w:firstLineChars="200"/>
              <w:rPr>
                <w:rFonts w:ascii="方正仿宋_GBK" w:eastAsia="方正仿宋_GBK" w:cs="仿宋"/>
                <w:color w:val="000000"/>
                <w:kern w:val="0"/>
                <w:sz w:val="24"/>
                <w:szCs w:val="24"/>
              </w:rPr>
            </w:pPr>
            <w:r>
              <w:rPr>
                <w:rFonts w:hint="eastAsia" w:ascii="方正仿宋_GBK" w:eastAsia="方正仿宋_GBK" w:cs="仿宋"/>
                <w:color w:val="000000"/>
                <w:kern w:val="0"/>
                <w:sz w:val="24"/>
                <w:szCs w:val="24"/>
              </w:rPr>
              <w:t>本单位（本人）承诺所填写内容和提交相关材料真实有效，否则依法依规承担相应失信责任，并在全国交通运输信用信息平台中记入信用记录。</w:t>
            </w:r>
          </w:p>
          <w:p>
            <w:pPr>
              <w:spacing w:line="340" w:lineRule="exact"/>
              <w:rPr>
                <w:rFonts w:ascii="方正仿宋_GBK" w:eastAsia="方正仿宋_GBK" w:cs="仿宋"/>
                <w:color w:val="000000"/>
                <w:kern w:val="0"/>
                <w:sz w:val="24"/>
                <w:szCs w:val="24"/>
              </w:rPr>
            </w:pPr>
          </w:p>
          <w:p>
            <w:pPr>
              <w:pStyle w:val="13"/>
              <w:spacing w:line="340" w:lineRule="exact"/>
              <w:rPr>
                <w:rFonts w:ascii="方正仿宋_GBK" w:eastAsia="方正仿宋_GBK"/>
              </w:rPr>
            </w:pPr>
          </w:p>
          <w:p>
            <w:pPr>
              <w:spacing w:line="340" w:lineRule="exact"/>
              <w:jc w:val="center"/>
              <w:rPr>
                <w:rFonts w:ascii="方正仿宋_GBK" w:eastAsia="方正仿宋_GBK" w:cs="仿宋"/>
                <w:color w:val="000000"/>
                <w:kern w:val="0"/>
                <w:sz w:val="24"/>
                <w:szCs w:val="24"/>
              </w:rPr>
            </w:pPr>
            <w:r>
              <w:rPr>
                <w:rFonts w:hint="eastAsia" w:ascii="方正仿宋_GBK" w:eastAsia="方正仿宋_GBK" w:cs="仿宋"/>
                <w:color w:val="000000"/>
                <w:kern w:val="0"/>
                <w:sz w:val="24"/>
                <w:szCs w:val="24"/>
              </w:rPr>
              <w:t>签字</w:t>
            </w:r>
          </w:p>
          <w:p>
            <w:pPr>
              <w:pStyle w:val="13"/>
              <w:spacing w:line="340" w:lineRule="exact"/>
              <w:ind w:firstLine="2280" w:firstLineChars="950"/>
            </w:pPr>
            <w:r>
              <w:rPr>
                <w:rFonts w:hint="eastAsia" w:ascii="方正仿宋_GBK" w:eastAsia="方正仿宋_GBK" w:cs="仿宋"/>
              </w:rPr>
              <w:t>（盖章）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5" w:type="pct"/>
            <w:tcBorders>
              <w:bottom w:val="single" w:color="auto" w:sz="12" w:space="0"/>
            </w:tcBorders>
            <w:noWrap w:val="0"/>
            <w:vAlign w:val="center"/>
          </w:tcPr>
          <w:p>
            <w:pPr>
              <w:jc w:val="center"/>
              <w:rPr>
                <w:rFonts w:eastAsia="仿宋" w:cs="仿宋"/>
                <w:color w:val="000000"/>
                <w:kern w:val="0"/>
                <w:sz w:val="24"/>
                <w:szCs w:val="24"/>
              </w:rPr>
            </w:pPr>
            <w:r>
              <w:rPr>
                <w:rFonts w:hint="eastAsia" w:eastAsia="仿宋" w:cs="仿宋"/>
                <w:color w:val="000000"/>
                <w:kern w:val="0"/>
                <w:sz w:val="24"/>
                <w:szCs w:val="24"/>
              </w:rPr>
              <w:t>备注</w:t>
            </w:r>
          </w:p>
        </w:tc>
        <w:tc>
          <w:tcPr>
            <w:tcW w:w="3235" w:type="pct"/>
            <w:gridSpan w:val="3"/>
            <w:tcBorders>
              <w:bottom w:val="single" w:color="auto" w:sz="12" w:space="0"/>
            </w:tcBorders>
            <w:noWrap w:val="0"/>
            <w:vAlign w:val="top"/>
          </w:tcPr>
          <w:p>
            <w:pPr>
              <w:jc w:val="left"/>
              <w:rPr>
                <w:rFonts w:eastAsia="仿宋" w:cs="仿宋"/>
                <w:color w:val="000000"/>
                <w:kern w:val="0"/>
                <w:sz w:val="24"/>
                <w:szCs w:val="24"/>
              </w:rPr>
            </w:pPr>
          </w:p>
        </w:tc>
      </w:tr>
    </w:tbl>
    <w:p>
      <w:pPr>
        <w:rPr>
          <w:rFonts w:ascii="方正仿宋_GBK" w:eastAsia="方正仿宋_GBK" w:cs="仿宋"/>
          <w:color w:val="000000"/>
          <w:sz w:val="24"/>
          <w:szCs w:val="24"/>
        </w:rPr>
      </w:pPr>
      <w:r>
        <w:rPr>
          <w:rFonts w:hint="eastAsia" w:ascii="方正仿宋_GBK" w:eastAsia="方正仿宋_GBK" w:cs="仿宋"/>
          <w:color w:val="000000"/>
          <w:sz w:val="24"/>
          <w:szCs w:val="24"/>
        </w:rPr>
        <w:t>说明：申请书一式两份，申请单位（个人）、严重失信主体认定单位各留一份存档。</w:t>
      </w:r>
    </w:p>
    <w:p>
      <w:pPr>
        <w:rPr>
          <w:rFonts w:eastAsia="仿宋" w:cs="仿宋"/>
          <w:color w:val="000000"/>
          <w:sz w:val="24"/>
        </w:rPr>
      </w:pPr>
      <w:r>
        <w:rPr>
          <w:rFonts w:eastAsia="仿宋" w:cs="仿宋"/>
          <w:color w:val="000000"/>
          <w:sz w:val="24"/>
        </w:rPr>
        <w:br w:type="page"/>
      </w:r>
    </w:p>
    <w:p>
      <w:pPr>
        <w:snapToGrid w:val="0"/>
        <w:spacing w:line="560" w:lineRule="atLeast"/>
        <w:jc w:val="center"/>
        <w:rPr>
          <w:rFonts w:ascii="方正小标宋_GBK" w:hAnsi="方正小标宋_GBK" w:eastAsia="方正小标宋_GBK" w:cs="Arial"/>
          <w:color w:val="000000"/>
          <w:sz w:val="44"/>
          <w:szCs w:val="44"/>
        </w:rPr>
      </w:pPr>
      <w:r>
        <w:rPr>
          <w:rFonts w:hint="eastAsia" w:ascii="方正小标宋_GBK" w:hAnsi="方正小标宋_GBK" w:eastAsia="方正小标宋_GBK" w:cs="Arial"/>
          <w:color w:val="000000"/>
          <w:sz w:val="44"/>
          <w:szCs w:val="44"/>
        </w:rPr>
        <w:t>交通运输信用修复申请书填报说明</w:t>
      </w:r>
    </w:p>
    <w:p>
      <w:pPr>
        <w:spacing w:line="560" w:lineRule="exact"/>
        <w:rPr>
          <w:rFonts w:hint="eastAsia" w:eastAsia="黑体"/>
          <w:color w:val="000000"/>
          <w:kern w:val="0"/>
          <w:sz w:val="28"/>
          <w:szCs w:val="28"/>
        </w:rPr>
      </w:pPr>
    </w:p>
    <w:p>
      <w:pPr>
        <w:spacing w:line="560" w:lineRule="exact"/>
        <w:ind w:firstLine="640" w:firstLineChars="200"/>
        <w:rPr>
          <w:rFonts w:ascii="方正黑体_GBK" w:eastAsia="方正黑体_GBK"/>
          <w:color w:val="000000"/>
          <w:kern w:val="0"/>
          <w:sz w:val="32"/>
          <w:szCs w:val="32"/>
        </w:rPr>
      </w:pPr>
      <w:r>
        <w:rPr>
          <w:rFonts w:hint="eastAsia" w:ascii="方正黑体_GBK" w:eastAsia="方正黑体_GBK"/>
          <w:color w:val="000000"/>
          <w:kern w:val="0"/>
          <w:sz w:val="32"/>
          <w:szCs w:val="32"/>
        </w:rPr>
        <w:t>一、交通运输信用修复申请书</w:t>
      </w:r>
    </w:p>
    <w:p>
      <w:pPr>
        <w:spacing w:line="560" w:lineRule="exact"/>
        <w:ind w:firstLine="640" w:firstLineChars="200"/>
        <w:rPr>
          <w:rFonts w:ascii="方正仿宋_GBK" w:eastAsia="方正仿宋_GBK"/>
          <w:bCs/>
          <w:color w:val="000000"/>
          <w:sz w:val="32"/>
          <w:szCs w:val="32"/>
        </w:rPr>
      </w:pPr>
      <w:r>
        <w:rPr>
          <w:rFonts w:hint="eastAsia" w:ascii="方正仿宋_GBK" w:eastAsia="方正仿宋_GBK"/>
          <w:bCs/>
          <w:color w:val="000000"/>
          <w:sz w:val="32"/>
          <w:szCs w:val="32"/>
        </w:rPr>
        <w:t>（一）除另有说明外，申请表中栏目不得空缺。</w:t>
      </w:r>
    </w:p>
    <w:p>
      <w:pPr>
        <w:spacing w:line="560" w:lineRule="exact"/>
        <w:ind w:firstLine="640" w:firstLineChars="200"/>
        <w:rPr>
          <w:rFonts w:ascii="方正仿宋_GBK" w:eastAsia="方正仿宋_GBK"/>
          <w:bCs/>
          <w:color w:val="000000"/>
          <w:sz w:val="32"/>
          <w:szCs w:val="32"/>
        </w:rPr>
      </w:pPr>
      <w:r>
        <w:rPr>
          <w:rFonts w:hint="eastAsia" w:ascii="方正仿宋_GBK" w:eastAsia="方正仿宋_GBK"/>
          <w:bCs/>
          <w:color w:val="000000"/>
          <w:sz w:val="32"/>
          <w:szCs w:val="32"/>
        </w:rPr>
        <w:t>（二）在填写统一社会信用代码的地方，自然人请填写个人身份证号。</w:t>
      </w:r>
    </w:p>
    <w:p>
      <w:pPr>
        <w:spacing w:line="560" w:lineRule="exact"/>
        <w:ind w:firstLine="640" w:firstLineChars="200"/>
        <w:rPr>
          <w:rFonts w:ascii="方正黑体_GBK" w:eastAsia="方正黑体_GBK"/>
          <w:color w:val="000000"/>
          <w:kern w:val="0"/>
          <w:sz w:val="32"/>
          <w:szCs w:val="32"/>
        </w:rPr>
      </w:pPr>
      <w:r>
        <w:rPr>
          <w:rFonts w:hint="eastAsia" w:ascii="方正黑体_GBK" w:eastAsia="方正黑体_GBK"/>
          <w:color w:val="000000"/>
          <w:kern w:val="0"/>
          <w:sz w:val="32"/>
          <w:szCs w:val="32"/>
        </w:rPr>
        <w:t>二、整改情况</w:t>
      </w:r>
    </w:p>
    <w:p>
      <w:pPr>
        <w:spacing w:line="560" w:lineRule="exact"/>
        <w:ind w:firstLine="640" w:firstLineChars="200"/>
        <w:rPr>
          <w:rFonts w:ascii="方正仿宋_GBK" w:eastAsia="方正仿宋_GBK"/>
          <w:bCs/>
          <w:color w:val="000000"/>
          <w:sz w:val="32"/>
          <w:szCs w:val="32"/>
        </w:rPr>
      </w:pPr>
      <w:r>
        <w:rPr>
          <w:rFonts w:hint="eastAsia" w:ascii="方正仿宋_GBK" w:eastAsia="方正仿宋_GBK"/>
          <w:bCs/>
          <w:color w:val="000000"/>
          <w:sz w:val="32"/>
          <w:szCs w:val="32"/>
        </w:rPr>
        <w:t>（一）被纳入严重失信主体名单的失信主体完成整改情况；</w:t>
      </w:r>
    </w:p>
    <w:p>
      <w:pPr>
        <w:spacing w:line="560" w:lineRule="exact"/>
        <w:ind w:firstLine="640" w:firstLineChars="200"/>
        <w:rPr>
          <w:rFonts w:ascii="方正仿宋_GBK" w:eastAsia="方正仿宋_GBK"/>
          <w:bCs/>
          <w:color w:val="000000"/>
          <w:sz w:val="32"/>
          <w:szCs w:val="32"/>
        </w:rPr>
      </w:pPr>
      <w:r>
        <w:rPr>
          <w:rFonts w:hint="eastAsia" w:ascii="方正仿宋_GBK" w:eastAsia="方正仿宋_GBK"/>
          <w:bCs/>
          <w:color w:val="000000"/>
          <w:sz w:val="32"/>
          <w:szCs w:val="32"/>
        </w:rPr>
        <w:t>（二）本单位健全信用管理制度情况；</w:t>
      </w:r>
    </w:p>
    <w:p>
      <w:pPr>
        <w:spacing w:line="560" w:lineRule="exact"/>
        <w:ind w:firstLine="640" w:firstLineChars="200"/>
        <w:rPr>
          <w:rFonts w:ascii="方正仿宋_GBK" w:eastAsia="方正仿宋_GBK"/>
          <w:bCs/>
          <w:color w:val="000000"/>
          <w:sz w:val="32"/>
          <w:szCs w:val="32"/>
        </w:rPr>
      </w:pPr>
      <w:r>
        <w:rPr>
          <w:rFonts w:hint="eastAsia" w:ascii="方正仿宋_GBK" w:eastAsia="方正仿宋_GBK"/>
          <w:bCs/>
          <w:color w:val="000000"/>
          <w:sz w:val="32"/>
          <w:szCs w:val="32"/>
        </w:rPr>
        <w:t>（三）参加规定内容的培训教育。</w:t>
      </w:r>
    </w:p>
    <w:p>
      <w:pPr>
        <w:spacing w:line="560" w:lineRule="exact"/>
        <w:ind w:firstLine="640" w:firstLineChars="200"/>
        <w:rPr>
          <w:rFonts w:ascii="方正黑体_GBK" w:eastAsia="方正黑体_GBK"/>
          <w:color w:val="000000"/>
          <w:kern w:val="0"/>
          <w:sz w:val="32"/>
          <w:szCs w:val="32"/>
        </w:rPr>
      </w:pPr>
      <w:r>
        <w:rPr>
          <w:rFonts w:hint="eastAsia" w:ascii="方正黑体_GBK" w:eastAsia="方正黑体_GBK"/>
          <w:color w:val="000000"/>
          <w:kern w:val="0"/>
          <w:sz w:val="32"/>
          <w:szCs w:val="32"/>
        </w:rPr>
        <w:t>三、需提供的材料</w:t>
      </w:r>
    </w:p>
    <w:p>
      <w:pPr>
        <w:spacing w:line="560" w:lineRule="exact"/>
        <w:ind w:firstLine="640" w:firstLineChars="200"/>
        <w:rPr>
          <w:rFonts w:ascii="方正仿宋_GBK" w:eastAsia="方正仿宋_GBK"/>
          <w:bCs/>
          <w:color w:val="000000"/>
          <w:sz w:val="32"/>
          <w:szCs w:val="32"/>
        </w:rPr>
      </w:pPr>
      <w:r>
        <w:rPr>
          <w:rFonts w:hint="eastAsia" w:ascii="方正仿宋_GBK" w:eastAsia="方正仿宋_GBK"/>
          <w:bCs/>
          <w:color w:val="000000"/>
          <w:sz w:val="32"/>
          <w:szCs w:val="32"/>
        </w:rPr>
        <w:t>（一）法人、非法人组织应提交统一社会信用代码证书（营业执照）复印件并加盖公章，由法人、非法人组织授权委托的经办人身份证复印件、委托书；自然人应提交身份证复印件；</w:t>
      </w:r>
    </w:p>
    <w:p>
      <w:pPr>
        <w:spacing w:line="560" w:lineRule="exact"/>
        <w:ind w:firstLine="640" w:firstLineChars="200"/>
        <w:rPr>
          <w:rFonts w:ascii="方正仿宋_GBK" w:eastAsia="方正仿宋_GBK"/>
          <w:bCs/>
          <w:color w:val="000000"/>
          <w:sz w:val="32"/>
          <w:szCs w:val="32"/>
        </w:rPr>
      </w:pPr>
      <w:r>
        <w:rPr>
          <w:rFonts w:hint="eastAsia" w:ascii="方正仿宋_GBK" w:eastAsia="方正仿宋_GBK"/>
          <w:bCs/>
          <w:color w:val="000000"/>
          <w:sz w:val="32"/>
          <w:szCs w:val="32"/>
        </w:rPr>
        <w:t>（二）本单位健全完善的信用管理制度相关材料（自然人可不提供该项材料）；</w:t>
      </w:r>
    </w:p>
    <w:p>
      <w:pPr>
        <w:spacing w:line="560" w:lineRule="exact"/>
        <w:ind w:firstLine="640" w:firstLineChars="200"/>
        <w:rPr>
          <w:rFonts w:ascii="方正仿宋_GBK" w:eastAsia="方正仿宋_GBK"/>
          <w:bCs/>
          <w:color w:val="000000"/>
          <w:sz w:val="32"/>
          <w:szCs w:val="32"/>
        </w:rPr>
      </w:pPr>
      <w:r>
        <w:rPr>
          <w:rFonts w:hint="eastAsia" w:ascii="方正仿宋_GBK" w:eastAsia="方正仿宋_GBK"/>
          <w:bCs/>
          <w:color w:val="000000"/>
          <w:sz w:val="32"/>
          <w:szCs w:val="32"/>
        </w:rPr>
        <w:t>（三）参加信用培训的相关材料。</w:t>
      </w:r>
    </w:p>
    <w:p>
      <w:pPr>
        <w:widowControl/>
        <w:spacing w:line="500" w:lineRule="exact"/>
        <w:jc w:val="left"/>
        <w:rPr>
          <w:rFonts w:ascii="方正黑体_GBK" w:hAnsi="黑体" w:eastAsia="方正黑体_GBK" w:cs="方正小标宋_GBK"/>
          <w:bCs/>
          <w:color w:val="000000"/>
          <w:sz w:val="32"/>
          <w:szCs w:val="32"/>
        </w:rPr>
      </w:pPr>
      <w:r>
        <w:rPr>
          <w:rFonts w:eastAsia="仿宋_GB2312" w:cs="??"/>
          <w:color w:val="000000"/>
          <w:sz w:val="28"/>
          <w:szCs w:val="30"/>
        </w:rPr>
        <w:br w:type="page"/>
      </w:r>
      <w:r>
        <w:rPr>
          <w:rFonts w:hint="eastAsia" w:ascii="方正黑体_GBK" w:hAnsi="黑体" w:eastAsia="方正黑体_GBK" w:cs="方正小标宋_GBK"/>
          <w:bCs/>
          <w:color w:val="000000"/>
          <w:sz w:val="32"/>
          <w:szCs w:val="32"/>
        </w:rPr>
        <w:t>附件</w:t>
      </w:r>
      <w:r>
        <w:rPr>
          <w:rFonts w:ascii="方正黑体_GBK" w:hAnsi="黑体" w:eastAsia="方正黑体_GBK" w:cs="方正小标宋_GBK"/>
          <w:bCs/>
          <w:color w:val="000000"/>
          <w:sz w:val="32"/>
          <w:szCs w:val="32"/>
        </w:rPr>
        <w:t>5</w:t>
      </w:r>
    </w:p>
    <w:p>
      <w:pPr>
        <w:pStyle w:val="13"/>
        <w:spacing w:line="500" w:lineRule="exact"/>
      </w:pPr>
    </w:p>
    <w:p>
      <w:pPr>
        <w:spacing w:line="500" w:lineRule="exact"/>
        <w:jc w:val="center"/>
        <w:outlineLvl w:val="1"/>
        <w:rPr>
          <w:rFonts w:ascii="方正小标宋_GBK" w:hAnsi="方正小标宋_GBK" w:eastAsia="方正小标宋_GBK" w:cs="仿宋"/>
          <w:color w:val="000000"/>
          <w:sz w:val="28"/>
          <w:szCs w:val="28"/>
        </w:rPr>
      </w:pPr>
      <w:r>
        <w:rPr>
          <w:rFonts w:hint="eastAsia" w:ascii="方正小标宋_GBK" w:hAnsi="方正小标宋_GBK" w:eastAsia="方正小标宋_GBK"/>
          <w:color w:val="000000"/>
          <w:sz w:val="44"/>
          <w:szCs w:val="44"/>
        </w:rPr>
        <w:t>交通运输信用修复通知书</w:t>
      </w:r>
    </w:p>
    <w:tbl>
      <w:tblPr>
        <w:tblStyle w:val="8"/>
        <w:tblpPr w:leftFromText="662" w:rightFromText="28708" w:topFromText="161" w:vertAnchor="text" w:horzAnchor="margin" w:tblpXSpec="center" w:tblpY="260"/>
        <w:tblW w:w="5000"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0"/>
        <w:gridCol w:w="2000"/>
        <w:gridCol w:w="1846"/>
        <w:gridCol w:w="2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8" w:hRule="exact"/>
        </w:trPr>
        <w:tc>
          <w:tcPr>
            <w:tcW w:w="5000" w:type="pct"/>
            <w:gridSpan w:val="4"/>
            <w:tcBorders>
              <w:top w:val="single" w:color="auto" w:sz="12" w:space="0"/>
            </w:tcBorders>
            <w:noWrap w:val="0"/>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信用修复申请人信息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0" w:hRule="exact"/>
        </w:trPr>
        <w:tc>
          <w:tcPr>
            <w:tcW w:w="1617" w:type="pc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单位名称</w:t>
            </w:r>
          </w:p>
          <w:p>
            <w:pPr>
              <w:jc w:val="center"/>
              <w:rPr>
                <w:rFonts w:ascii="仿宋" w:hAnsi="仿宋" w:eastAsia="仿宋" w:cs="仿宋"/>
                <w:color w:val="000000"/>
                <w:sz w:val="24"/>
                <w:szCs w:val="24"/>
              </w:rPr>
            </w:pPr>
            <w:r>
              <w:rPr>
                <w:rFonts w:hint="eastAsia" w:ascii="仿宋" w:hAnsi="仿宋" w:eastAsia="仿宋" w:cs="仿宋"/>
                <w:color w:val="000000"/>
                <w:sz w:val="24"/>
                <w:szCs w:val="24"/>
              </w:rPr>
              <w:t>（个人姓名）</w:t>
            </w:r>
          </w:p>
        </w:tc>
        <w:tc>
          <w:tcPr>
            <w:tcW w:w="3383" w:type="pct"/>
            <w:gridSpan w:val="3"/>
            <w:noWrap w:val="0"/>
            <w:vAlign w:val="center"/>
          </w:tcPr>
          <w:p>
            <w:pPr>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 xml:space="preserve">                    (</w:t>
            </w:r>
            <w:r>
              <w:rPr>
                <w:rFonts w:hint="eastAsia" w:ascii="仿宋" w:hAnsi="仿宋" w:eastAsia="仿宋" w:cs="仿宋"/>
                <w:color w:val="000000"/>
                <w:sz w:val="24"/>
                <w:szCs w:val="24"/>
              </w:rPr>
              <w:t>盖章</w:t>
            </w:r>
            <w:r>
              <w:rPr>
                <w:rFonts w:ascii="仿宋" w:hAnsi="仿宋" w:eastAsia="仿宋" w:cs="仿宋"/>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8" w:hRule="exact"/>
        </w:trPr>
        <w:tc>
          <w:tcPr>
            <w:tcW w:w="1617" w:type="pct"/>
            <w:noWrap w:val="0"/>
            <w:vAlign w:val="center"/>
          </w:tcPr>
          <w:p>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统一社会信用代码</w:t>
            </w:r>
          </w:p>
          <w:p>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（身份证号码）</w:t>
            </w:r>
          </w:p>
        </w:tc>
        <w:tc>
          <w:tcPr>
            <w:tcW w:w="1127" w:type="pct"/>
            <w:noWrap w:val="0"/>
            <w:vAlign w:val="center"/>
          </w:tcPr>
          <w:p>
            <w:pPr>
              <w:adjustRightInd w:val="0"/>
              <w:snapToGrid w:val="0"/>
              <w:rPr>
                <w:rFonts w:ascii="仿宋" w:hAnsi="仿宋" w:eastAsia="仿宋" w:cs="仿宋"/>
                <w:color w:val="000000"/>
                <w:sz w:val="24"/>
                <w:szCs w:val="24"/>
              </w:rPr>
            </w:pPr>
          </w:p>
        </w:tc>
        <w:tc>
          <w:tcPr>
            <w:tcW w:w="1040" w:type="pct"/>
            <w:noWrap w:val="0"/>
            <w:vAlign w:val="center"/>
          </w:tcPr>
          <w:p>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申请日期</w:t>
            </w:r>
          </w:p>
        </w:tc>
        <w:tc>
          <w:tcPr>
            <w:tcW w:w="1216" w:type="pct"/>
            <w:noWrap w:val="0"/>
            <w:vAlign w:val="center"/>
          </w:tcPr>
          <w:p>
            <w:pPr>
              <w:spacing w:line="360" w:lineRule="auto"/>
              <w:rPr>
                <w:rFonts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5000" w:type="pct"/>
            <w:gridSpan w:val="4"/>
            <w:noWrap w:val="0"/>
            <w:vAlign w:val="center"/>
          </w:tcPr>
          <w:p>
            <w:pPr>
              <w:spacing w:line="360" w:lineRule="auto"/>
              <w:jc w:val="center"/>
              <w:rPr>
                <w:rFonts w:eastAsia="仿宋" w:cs="仿宋"/>
                <w:color w:val="000000"/>
                <w:sz w:val="24"/>
                <w:szCs w:val="24"/>
              </w:rPr>
            </w:pPr>
            <w:r>
              <w:rPr>
                <w:rFonts w:hint="eastAsia" w:eastAsia="仿宋" w:cs="仿宋"/>
                <w:color w:val="000000"/>
                <w:sz w:val="24"/>
                <w:szCs w:val="24"/>
              </w:rPr>
              <w:t>严重失信主体认定单位修复决定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80" w:hRule="exact"/>
        </w:trPr>
        <w:tc>
          <w:tcPr>
            <w:tcW w:w="1617" w:type="pct"/>
            <w:noWrap w:val="0"/>
            <w:vAlign w:val="center"/>
          </w:tcPr>
          <w:p>
            <w:pPr>
              <w:spacing w:line="360" w:lineRule="auto"/>
              <w:jc w:val="center"/>
              <w:rPr>
                <w:rFonts w:eastAsia="仿宋" w:cs="仿宋"/>
                <w:color w:val="000000"/>
                <w:sz w:val="24"/>
                <w:szCs w:val="24"/>
              </w:rPr>
            </w:pPr>
            <w:r>
              <w:rPr>
                <w:rFonts w:hint="eastAsia" w:eastAsia="仿宋" w:cs="仿宋"/>
                <w:color w:val="000000"/>
                <w:sz w:val="24"/>
                <w:szCs w:val="24"/>
              </w:rPr>
              <w:t>修复认定情况</w:t>
            </w:r>
          </w:p>
        </w:tc>
        <w:tc>
          <w:tcPr>
            <w:tcW w:w="3383" w:type="pct"/>
            <w:gridSpan w:val="3"/>
            <w:noWrap w:val="0"/>
            <w:vAlign w:val="center"/>
          </w:tcPr>
          <w:p>
            <w:pPr>
              <w:spacing w:line="400" w:lineRule="exact"/>
              <w:ind w:firstLine="480" w:firstLineChars="200"/>
              <w:rPr>
                <w:rFonts w:eastAsia="仿宋" w:cs="仿宋"/>
                <w:color w:val="000000"/>
                <w:sz w:val="24"/>
                <w:szCs w:val="24"/>
              </w:rPr>
            </w:pPr>
            <w:r>
              <w:rPr>
                <w:rFonts w:hint="eastAsia" w:eastAsia="仿宋" w:cs="仿宋"/>
                <w:color w:val="000000"/>
                <w:sz w:val="24"/>
                <w:szCs w:val="24"/>
              </w:rPr>
              <w:t>填写说明（供参考）：</w:t>
            </w:r>
          </w:p>
          <w:p>
            <w:pPr>
              <w:spacing w:line="400" w:lineRule="exact"/>
              <w:ind w:firstLine="480" w:firstLineChars="200"/>
              <w:rPr>
                <w:rFonts w:ascii="黑体" w:hAnsi="黑体" w:eastAsia="黑体" w:cs="黑体"/>
                <w:color w:val="000000"/>
                <w:sz w:val="24"/>
                <w:szCs w:val="24"/>
              </w:rPr>
            </w:pPr>
            <w:r>
              <w:rPr>
                <w:rFonts w:hint="eastAsia" w:ascii="黑体" w:hAnsi="黑体" w:eastAsia="黑体" w:cs="黑体"/>
                <w:color w:val="000000"/>
                <w:sz w:val="24"/>
                <w:szCs w:val="24"/>
              </w:rPr>
              <w:t>基本情况：</w:t>
            </w:r>
          </w:p>
          <w:p>
            <w:pPr>
              <w:spacing w:line="400" w:lineRule="exact"/>
              <w:ind w:firstLine="480" w:firstLineChars="200"/>
              <w:rPr>
                <w:rFonts w:eastAsia="仿宋_GB2312" w:cs="仿宋"/>
                <w:color w:val="000000"/>
                <w:sz w:val="24"/>
                <w:szCs w:val="24"/>
              </w:rPr>
            </w:pPr>
            <w:r>
              <w:rPr>
                <w:rFonts w:eastAsia="仿宋" w:cs="仿宋"/>
                <w:color w:val="000000"/>
                <w:sz w:val="24"/>
                <w:szCs w:val="24"/>
              </w:rPr>
              <w:t>(</w:t>
            </w:r>
            <w:r>
              <w:rPr>
                <w:rFonts w:hint="eastAsia" w:eastAsia="仿宋" w:cs="仿宋"/>
                <w:color w:val="000000"/>
                <w:sz w:val="24"/>
                <w:szCs w:val="24"/>
              </w:rPr>
              <w:t>单位</w:t>
            </w:r>
            <w:r>
              <w:rPr>
                <w:rFonts w:eastAsia="仿宋" w:cs="仿宋"/>
                <w:color w:val="000000"/>
                <w:sz w:val="24"/>
                <w:szCs w:val="24"/>
              </w:rPr>
              <w:t>/</w:t>
            </w:r>
            <w:r>
              <w:rPr>
                <w:rFonts w:hint="eastAsia" w:eastAsia="仿宋" w:cs="仿宋"/>
                <w:color w:val="000000"/>
                <w:sz w:val="24"/>
                <w:szCs w:val="24"/>
              </w:rPr>
              <w:t>个人）于</w:t>
            </w:r>
            <w:r>
              <w:rPr>
                <w:rFonts w:hint="eastAsia" w:eastAsia="仿宋_GB2312"/>
                <w:color w:val="000000"/>
                <w:sz w:val="24"/>
                <w:szCs w:val="24"/>
              </w:rPr>
              <w:t>年月日，因超限运输失信行为累计扣分达到</w:t>
            </w:r>
            <w:r>
              <w:rPr>
                <w:rFonts w:eastAsia="仿宋_GB2312"/>
                <w:color w:val="000000"/>
                <w:sz w:val="24"/>
                <w:szCs w:val="24"/>
              </w:rPr>
              <w:t>40</w:t>
            </w:r>
            <w:r>
              <w:rPr>
                <w:rFonts w:hint="eastAsia" w:eastAsia="仿宋_GB2312"/>
                <w:color w:val="000000"/>
                <w:sz w:val="24"/>
                <w:szCs w:val="24"/>
              </w:rPr>
              <w:t>分及以上，信用等级评定为</w:t>
            </w:r>
            <w:r>
              <w:rPr>
                <w:rFonts w:eastAsia="仿宋_GB2312"/>
                <w:color w:val="000000"/>
                <w:sz w:val="24"/>
                <w:szCs w:val="24"/>
              </w:rPr>
              <w:t>D</w:t>
            </w:r>
            <w:r>
              <w:rPr>
                <w:rFonts w:hint="eastAsia" w:eastAsia="仿宋_GB2312"/>
                <w:color w:val="000000"/>
                <w:sz w:val="24"/>
                <w:szCs w:val="24"/>
              </w:rPr>
              <w:t>级，被列入严重失信主体名单。</w:t>
            </w:r>
          </w:p>
          <w:p>
            <w:pPr>
              <w:spacing w:line="400" w:lineRule="exact"/>
              <w:ind w:firstLine="480" w:firstLineChars="200"/>
              <w:rPr>
                <w:rFonts w:eastAsia="仿宋" w:cs="仿宋"/>
                <w:color w:val="000000"/>
                <w:sz w:val="24"/>
                <w:szCs w:val="24"/>
              </w:rPr>
            </w:pPr>
          </w:p>
          <w:p>
            <w:pPr>
              <w:spacing w:line="400" w:lineRule="exact"/>
              <w:ind w:firstLine="480" w:firstLineChars="200"/>
              <w:rPr>
                <w:rFonts w:eastAsia="仿宋" w:cs="仿宋"/>
                <w:color w:val="000000"/>
                <w:sz w:val="24"/>
                <w:szCs w:val="24"/>
              </w:rPr>
            </w:pPr>
            <w:r>
              <w:rPr>
                <w:rFonts w:hint="eastAsia" w:ascii="黑体" w:hAnsi="黑体" w:eastAsia="黑体" w:cs="黑体"/>
                <w:color w:val="000000"/>
                <w:sz w:val="24"/>
                <w:szCs w:val="24"/>
              </w:rPr>
              <w:t>修复情况：</w:t>
            </w:r>
            <w:r>
              <w:rPr>
                <w:rFonts w:hint="eastAsia" w:eastAsia="仿宋" w:cs="仿宋"/>
                <w:color w:val="000000"/>
                <w:sz w:val="24"/>
                <w:szCs w:val="24"/>
              </w:rPr>
              <w:t>经核查，</w:t>
            </w:r>
            <w:r>
              <w:rPr>
                <w:rFonts w:eastAsia="仿宋" w:cs="仿宋"/>
                <w:color w:val="000000"/>
                <w:sz w:val="24"/>
                <w:szCs w:val="24"/>
              </w:rPr>
              <w:t>(</w:t>
            </w:r>
            <w:r>
              <w:rPr>
                <w:rFonts w:hint="eastAsia" w:eastAsia="仿宋" w:cs="仿宋"/>
                <w:color w:val="000000"/>
                <w:sz w:val="24"/>
                <w:szCs w:val="24"/>
              </w:rPr>
              <w:t>单位</w:t>
            </w:r>
            <w:r>
              <w:rPr>
                <w:rFonts w:eastAsia="仿宋" w:cs="仿宋"/>
                <w:color w:val="000000"/>
                <w:sz w:val="24"/>
                <w:szCs w:val="24"/>
              </w:rPr>
              <w:t>/</w:t>
            </w:r>
            <w:r>
              <w:rPr>
                <w:rFonts w:hint="eastAsia" w:eastAsia="仿宋" w:cs="仿宋"/>
                <w:color w:val="000000"/>
                <w:sz w:val="24"/>
                <w:szCs w:val="24"/>
              </w:rPr>
              <w:t>个人）已履行法定责任和义务。进行了以下信用修复措施：</w:t>
            </w:r>
          </w:p>
          <w:p>
            <w:pPr>
              <w:spacing w:line="400" w:lineRule="exact"/>
              <w:ind w:firstLine="480" w:firstLineChars="200"/>
              <w:rPr>
                <w:rFonts w:eastAsia="仿宋"/>
                <w:color w:val="000000"/>
                <w:sz w:val="24"/>
                <w:szCs w:val="24"/>
              </w:rPr>
            </w:pPr>
            <w:r>
              <w:rPr>
                <w:rFonts w:eastAsia="仿宋"/>
                <w:color w:val="000000"/>
                <w:sz w:val="24"/>
                <w:szCs w:val="24"/>
              </w:rPr>
              <w:t>1.</w:t>
            </w:r>
          </w:p>
          <w:p>
            <w:pPr>
              <w:spacing w:line="400" w:lineRule="exact"/>
              <w:ind w:firstLine="480" w:firstLineChars="200"/>
              <w:rPr>
                <w:rFonts w:eastAsia="仿宋"/>
                <w:color w:val="000000"/>
                <w:sz w:val="24"/>
                <w:szCs w:val="24"/>
              </w:rPr>
            </w:pPr>
            <w:r>
              <w:rPr>
                <w:rFonts w:eastAsia="仿宋"/>
                <w:color w:val="000000"/>
                <w:sz w:val="24"/>
                <w:szCs w:val="24"/>
              </w:rPr>
              <w:t>2.</w:t>
            </w:r>
          </w:p>
          <w:p>
            <w:pPr>
              <w:spacing w:line="400" w:lineRule="exact"/>
              <w:ind w:firstLine="480" w:firstLineChars="200"/>
              <w:rPr>
                <w:rFonts w:eastAsia="仿宋" w:cs="仿宋"/>
                <w:color w:val="000000"/>
                <w:sz w:val="24"/>
                <w:szCs w:val="24"/>
              </w:rPr>
            </w:pPr>
            <w:r>
              <w:rPr>
                <w:rFonts w:eastAsia="仿宋"/>
                <w:color w:val="00000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5" w:hRule="atLeast"/>
        </w:trPr>
        <w:tc>
          <w:tcPr>
            <w:tcW w:w="1617" w:type="pct"/>
            <w:noWrap w:val="0"/>
            <w:vAlign w:val="center"/>
          </w:tcPr>
          <w:p>
            <w:pPr>
              <w:spacing w:line="360" w:lineRule="auto"/>
              <w:jc w:val="center"/>
              <w:rPr>
                <w:rFonts w:eastAsia="仿宋" w:cs="仿宋"/>
                <w:color w:val="000000"/>
                <w:sz w:val="24"/>
                <w:szCs w:val="24"/>
              </w:rPr>
            </w:pPr>
            <w:r>
              <w:rPr>
                <w:rFonts w:hint="eastAsia" w:eastAsia="仿宋" w:cs="仿宋"/>
                <w:color w:val="000000"/>
                <w:sz w:val="24"/>
                <w:szCs w:val="24"/>
              </w:rPr>
              <w:t>修复决定</w:t>
            </w:r>
          </w:p>
        </w:tc>
        <w:tc>
          <w:tcPr>
            <w:tcW w:w="3383" w:type="pct"/>
            <w:gridSpan w:val="3"/>
            <w:noWrap w:val="0"/>
            <w:vAlign w:val="top"/>
          </w:tcPr>
          <w:p>
            <w:pPr>
              <w:spacing w:line="400" w:lineRule="exact"/>
              <w:rPr>
                <w:rFonts w:eastAsia="仿宋" w:cs="仿宋"/>
                <w:color w:val="000000"/>
                <w:sz w:val="24"/>
                <w:szCs w:val="24"/>
              </w:rPr>
            </w:pPr>
          </w:p>
          <w:p>
            <w:pPr>
              <w:spacing w:line="400" w:lineRule="exact"/>
              <w:rPr>
                <w:rFonts w:eastAsia="仿宋" w:cs="仿宋"/>
                <w:color w:val="000000"/>
                <w:sz w:val="24"/>
                <w:szCs w:val="24"/>
              </w:rPr>
            </w:pPr>
            <w:r>
              <w:rPr>
                <w:rFonts w:hint="eastAsia" w:eastAsia="仿宋" w:cs="仿宋"/>
                <w:color w:val="000000"/>
                <w:sz w:val="24"/>
                <w:szCs w:val="24"/>
              </w:rPr>
              <w:t>□同意信用修复。</w:t>
            </w:r>
          </w:p>
          <w:p>
            <w:pPr>
              <w:spacing w:line="400" w:lineRule="exact"/>
              <w:rPr>
                <w:rFonts w:eastAsia="仿宋" w:cs="仿宋"/>
                <w:color w:val="000000"/>
                <w:sz w:val="24"/>
                <w:szCs w:val="24"/>
              </w:rPr>
            </w:pPr>
            <w:r>
              <w:rPr>
                <w:rFonts w:hint="eastAsia" w:eastAsia="仿宋" w:cs="仿宋"/>
                <w:color w:val="000000"/>
                <w:sz w:val="24"/>
                <w:szCs w:val="24"/>
              </w:rPr>
              <w:t>□不同意信用修复。</w:t>
            </w:r>
          </w:p>
          <w:p>
            <w:pPr>
              <w:spacing w:line="360" w:lineRule="auto"/>
              <w:rPr>
                <w:rFonts w:eastAsia="仿宋" w:cs="仿宋"/>
                <w:color w:val="000000"/>
                <w:sz w:val="24"/>
                <w:szCs w:val="24"/>
              </w:rPr>
            </w:pPr>
          </w:p>
          <w:p>
            <w:pPr>
              <w:spacing w:line="360" w:lineRule="auto"/>
              <w:ind w:firstLine="480" w:firstLineChars="200"/>
              <w:rPr>
                <w:rFonts w:eastAsia="仿宋" w:cs="仿宋"/>
                <w:color w:val="000000"/>
                <w:sz w:val="24"/>
                <w:szCs w:val="24"/>
              </w:rPr>
            </w:pPr>
            <w:r>
              <w:rPr>
                <w:rFonts w:hint="eastAsia" w:eastAsia="仿宋" w:cs="仿宋"/>
                <w:color w:val="000000"/>
                <w:sz w:val="24"/>
                <w:szCs w:val="24"/>
              </w:rPr>
              <w:t>日期</w:t>
            </w:r>
            <w:r>
              <w:rPr>
                <w:rFonts w:eastAsia="仿宋" w:cs="仿宋"/>
                <w:color w:val="000000"/>
                <w:sz w:val="24"/>
                <w:szCs w:val="24"/>
              </w:rPr>
              <w:t xml:space="preserve">:       </w:t>
            </w:r>
            <w:r>
              <w:rPr>
                <w:rFonts w:hint="eastAsia" w:eastAsia="仿宋" w:cs="仿宋"/>
                <w:color w:val="000000"/>
                <w:sz w:val="24"/>
                <w:szCs w:val="24"/>
              </w:rPr>
              <w:t>修复单位盖章：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617" w:type="pct"/>
            <w:tcBorders>
              <w:bottom w:val="single" w:color="auto" w:sz="12" w:space="0"/>
            </w:tcBorders>
            <w:noWrap w:val="0"/>
            <w:vAlign w:val="center"/>
          </w:tcPr>
          <w:p>
            <w:pPr>
              <w:spacing w:line="360" w:lineRule="auto"/>
              <w:jc w:val="center"/>
              <w:rPr>
                <w:rFonts w:eastAsia="仿宋" w:cs="仿宋"/>
                <w:color w:val="000000"/>
                <w:sz w:val="24"/>
                <w:szCs w:val="24"/>
              </w:rPr>
            </w:pPr>
            <w:r>
              <w:rPr>
                <w:rFonts w:hint="eastAsia" w:eastAsia="仿宋" w:cs="仿宋"/>
                <w:color w:val="000000"/>
                <w:sz w:val="24"/>
                <w:szCs w:val="24"/>
              </w:rPr>
              <w:t>备注</w:t>
            </w:r>
          </w:p>
        </w:tc>
        <w:tc>
          <w:tcPr>
            <w:tcW w:w="3383" w:type="pct"/>
            <w:gridSpan w:val="3"/>
            <w:tcBorders>
              <w:bottom w:val="single" w:color="auto" w:sz="12" w:space="0"/>
            </w:tcBorders>
            <w:noWrap w:val="0"/>
            <w:vAlign w:val="top"/>
          </w:tcPr>
          <w:p>
            <w:pPr>
              <w:spacing w:line="360" w:lineRule="auto"/>
              <w:rPr>
                <w:rFonts w:eastAsia="仿宋" w:cs="仿宋"/>
                <w:color w:val="000000"/>
                <w:sz w:val="24"/>
                <w:szCs w:val="24"/>
              </w:rPr>
            </w:pPr>
          </w:p>
        </w:tc>
      </w:tr>
    </w:tbl>
    <w:p>
      <w:pPr>
        <w:wordWrap/>
        <w:jc w:val="both"/>
        <w:rPr>
          <w:rFonts w:hint="default" w:ascii="楷体" w:hAnsi="楷体" w:eastAsia="楷体"/>
          <w:color w:val="000000"/>
          <w:sz w:val="24"/>
          <w:szCs w:val="24"/>
          <w:lang w:val="en-US" w:eastAsia="zh-CN"/>
        </w:rPr>
      </w:pPr>
      <w:r>
        <w:rPr>
          <w:rFonts w:hint="eastAsia" w:ascii="方正仿宋_GBK" w:eastAsia="方正仿宋_GBK" w:cs="仿宋"/>
          <w:color w:val="000000"/>
          <w:sz w:val="24"/>
          <w:szCs w:val="24"/>
        </w:rPr>
        <w:t>说明：申请书一式两份，申请单位（个人）、严重失信主体认定单位各留一份存档</w:t>
      </w:r>
      <w:r>
        <w:rPr>
          <w:rFonts w:hint="eastAsia" w:ascii="方正仿宋_GBK" w:eastAsia="方正仿宋_GBK" w:cs="仿宋"/>
          <w:color w:val="000000"/>
          <w:sz w:val="24"/>
        </w:rPr>
        <w:t>。</w:t>
      </w: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重庆市交通局发布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TdmOWQ5MmM1YzE2OGQ1Yjk5OWYzYzEwZWMxYjcifQ=="/>
  </w:docVars>
  <w:rsids>
    <w:rsidRoot w:val="00172A27"/>
    <w:rsid w:val="00172A27"/>
    <w:rsid w:val="001975B8"/>
    <w:rsid w:val="00332C01"/>
    <w:rsid w:val="00336965"/>
    <w:rsid w:val="00670CF9"/>
    <w:rsid w:val="009E7D10"/>
    <w:rsid w:val="00FA754C"/>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6119A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3" w:lineRule="auto"/>
      <w:outlineLvl w:val="2"/>
    </w:pPr>
    <w:rPr>
      <w:rFonts w:eastAsia="Times New Roman"/>
      <w:b/>
      <w:bCs/>
      <w:sz w:val="32"/>
      <w:szCs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NormalCharacter"/>
    <w:semiHidden/>
    <w:uiPriority w:val="0"/>
  </w:style>
  <w:style w:type="paragraph" w:customStyle="1" w:styleId="13">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小段叻</cp:lastModifiedBy>
  <cp:lastPrinted>2022-06-06T16:09:00Z</cp:lastPrinted>
  <dcterms:modified xsi:type="dcterms:W3CDTF">2024-01-15T08:39:35Z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48C61CB29D3F4D9384F5922CF0F7FFB4</vt:lpwstr>
  </property>
</Properties>
</file>