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70" w:lineRule="exact"/>
        <w:ind w:left="0" w:leftChars="0"/>
        <w:jc w:val="center"/>
        <w:textAlignment w:val="auto"/>
        <w:rPr>
          <w:rFonts w:eastAsia="方正小标宋_GBK"/>
          <w:color w:val="000000"/>
          <w:sz w:val="44"/>
          <w:szCs w:val="44"/>
        </w:rPr>
      </w:pPr>
    </w:p>
    <w:p>
      <w:pPr>
        <w:keepNext w:val="0"/>
        <w:keepLines w:val="0"/>
        <w:pageBreakBefore w:val="0"/>
        <w:widowControl w:val="0"/>
        <w:kinsoku/>
        <w:overflowPunct/>
        <w:topLinePunct w:val="0"/>
        <w:autoSpaceDE/>
        <w:autoSpaceDN/>
        <w:bidi w:val="0"/>
        <w:adjustRightInd/>
        <w:spacing w:line="570" w:lineRule="exact"/>
        <w:ind w:left="0" w:leftChars="0"/>
        <w:jc w:val="center"/>
        <w:textAlignment w:val="auto"/>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spacing w:line="570" w:lineRule="exact"/>
        <w:ind w:left="0" w:leftChars="0"/>
        <w:jc w:val="center"/>
        <w:textAlignment w:val="auto"/>
        <w:rPr>
          <w:rFonts w:eastAsia="方正小标宋_GBK"/>
          <w:color w:val="000000"/>
          <w:sz w:val="44"/>
          <w:szCs w:val="44"/>
        </w:rPr>
      </w:pPr>
      <w:r>
        <w:rPr>
          <w:rFonts w:eastAsia="方正小标宋_GBK"/>
          <w:color w:val="000000"/>
          <w:sz w:val="44"/>
          <w:szCs w:val="44"/>
        </w:rPr>
        <w:t>重庆市交通局关于</w:t>
      </w:r>
    </w:p>
    <w:p>
      <w:pPr>
        <w:keepNext w:val="0"/>
        <w:keepLines w:val="0"/>
        <w:pageBreakBefore w:val="0"/>
        <w:widowControl w:val="0"/>
        <w:kinsoku/>
        <w:wordWrap/>
        <w:overflowPunct/>
        <w:topLinePunct w:val="0"/>
        <w:autoSpaceDE/>
        <w:autoSpaceDN/>
        <w:bidi w:val="0"/>
        <w:adjustRightInd/>
        <w:spacing w:line="570" w:lineRule="exact"/>
        <w:ind w:left="0" w:leftChars="0"/>
        <w:jc w:val="center"/>
        <w:textAlignment w:val="auto"/>
        <w:rPr>
          <w:rFonts w:eastAsia="方正小标宋_GBK"/>
          <w:color w:val="000000"/>
          <w:spacing w:val="-18"/>
          <w:sz w:val="44"/>
          <w:szCs w:val="44"/>
        </w:rPr>
      </w:pPr>
      <w:r>
        <w:rPr>
          <w:rFonts w:eastAsia="方正小标宋_GBK"/>
          <w:color w:val="000000"/>
          <w:spacing w:val="-18"/>
          <w:sz w:val="44"/>
          <w:szCs w:val="44"/>
        </w:rPr>
        <w:t>印发《重庆市道路运输信用管理实施细则》的通知</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jc w:val="center"/>
        <w:textAlignment w:val="auto"/>
        <w:rPr>
          <w:rFonts w:hint="eastAsia" w:ascii="Times New Roman" w:hAnsi="Times New Roman" w:eastAsia="方正仿宋_GBK" w:cs="Times New Roman"/>
          <w:color w:val="000000"/>
          <w:kern w:val="2"/>
          <w:sz w:val="32"/>
          <w:szCs w:val="32"/>
          <w:lang w:val="en-US" w:eastAsia="zh-CN" w:bidi="zh-TW"/>
        </w:rPr>
      </w:pPr>
      <w:r>
        <w:rPr>
          <w:rFonts w:hint="eastAsia" w:ascii="Times New Roman" w:hAnsi="Times New Roman" w:eastAsia="方正仿宋_GBK" w:cs="Times New Roman"/>
          <w:color w:val="000000"/>
          <w:kern w:val="2"/>
          <w:sz w:val="32"/>
          <w:szCs w:val="32"/>
          <w:lang w:val="en-US" w:eastAsia="zh-CN" w:bidi="zh-TW"/>
        </w:rPr>
        <w:t>渝交规〔2023〕15号</w:t>
      </w:r>
    </w:p>
    <w:p>
      <w:pPr>
        <w:pStyle w:val="4"/>
        <w:keepNext w:val="0"/>
        <w:keepLines w:val="0"/>
        <w:pageBreakBefore w:val="0"/>
        <w:widowControl w:val="0"/>
        <w:kinsoku/>
        <w:wordWrap/>
        <w:overflowPunct/>
        <w:topLinePunct w:val="0"/>
        <w:autoSpaceDE/>
        <w:autoSpaceDN/>
        <w:bidi w:val="0"/>
        <w:adjustRightInd/>
        <w:spacing w:line="57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570" w:lineRule="exact"/>
        <w:ind w:left="0" w:leftChars="0"/>
        <w:textAlignment w:val="auto"/>
        <w:rPr>
          <w:rFonts w:hint="eastAsia" w:ascii="Times New Roman" w:hAnsi="Times New Roman" w:eastAsia="方正仿宋_GBK" w:cs="Times New Roman"/>
          <w:color w:val="000000"/>
          <w:kern w:val="2"/>
          <w:sz w:val="32"/>
          <w:szCs w:val="32"/>
          <w:lang w:val="zh-TW" w:eastAsia="zh-TW" w:bidi="zh-TW"/>
        </w:rPr>
      </w:pPr>
      <w:r>
        <w:rPr>
          <w:rFonts w:hint="eastAsia" w:ascii="Times New Roman" w:hAnsi="Times New Roman" w:eastAsia="方正仿宋_GBK" w:cs="Times New Roman"/>
          <w:color w:val="000000"/>
          <w:kern w:val="2"/>
          <w:sz w:val="32"/>
          <w:szCs w:val="32"/>
          <w:lang w:val="zh-TW" w:eastAsia="zh-TW" w:bidi="zh-TW"/>
        </w:rPr>
        <w:t>各区县（自治县）交通局，局属各单位，行业各有关单位：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color w:val="000000"/>
          <w:kern w:val="2"/>
          <w:sz w:val="32"/>
          <w:szCs w:val="32"/>
          <w:lang w:val="zh-TW" w:eastAsia="zh-TW" w:bidi="zh-TW"/>
        </w:rPr>
      </w:pPr>
      <w:r>
        <w:rPr>
          <w:rFonts w:hint="eastAsia" w:ascii="Times New Roman" w:hAnsi="Times New Roman" w:eastAsia="方正仿宋_GBK" w:cs="Times New Roman"/>
          <w:color w:val="000000"/>
          <w:kern w:val="2"/>
          <w:sz w:val="32"/>
          <w:szCs w:val="32"/>
          <w:lang w:val="zh-TW" w:eastAsia="zh-TW" w:bidi="zh-TW"/>
        </w:rPr>
        <w:t>《重庆市道路运输信用管理实施细则》已经局2023年第21次局长办公会审议通过，现印发你们，自2024年1月1日起施行，请认真贯彻执行。《重庆市道路运输信用管理实施细则》（渝交规〔2023〕2号）同时废止。</w:t>
      </w:r>
    </w:p>
    <w:p>
      <w:pPr>
        <w:keepNext w:val="0"/>
        <w:keepLines w:val="0"/>
        <w:pageBreakBefore w:val="0"/>
        <w:widowControl w:val="0"/>
        <w:kinsoku/>
        <w:overflowPunct/>
        <w:topLinePunct w:val="0"/>
        <w:autoSpaceDE/>
        <w:autoSpaceDN/>
        <w:bidi w:val="0"/>
        <w:adjustRightInd/>
        <w:spacing w:line="570" w:lineRule="exact"/>
        <w:ind w:left="0" w:leftChars="0"/>
        <w:textAlignment w:val="auto"/>
        <w:outlineLvl w:val="0"/>
        <w:rPr>
          <w:rFonts w:hint="eastAsia" w:ascii="Times New Roman" w:hAnsi="Times New Roman" w:eastAsia="方正仿宋_GBK" w:cs="Times New Roman"/>
          <w:color w:val="000000"/>
          <w:kern w:val="2"/>
          <w:sz w:val="32"/>
          <w:szCs w:val="32"/>
          <w:lang w:val="zh-TW" w:eastAsia="zh-TW" w:bidi="zh-TW"/>
        </w:rPr>
      </w:pPr>
    </w:p>
    <w:p>
      <w:pPr>
        <w:keepNext w:val="0"/>
        <w:keepLines w:val="0"/>
        <w:pageBreakBefore w:val="0"/>
        <w:widowControl w:val="0"/>
        <w:kinsoku/>
        <w:wordWrap w:val="0"/>
        <w:overflowPunct/>
        <w:topLinePunct w:val="0"/>
        <w:autoSpaceDE/>
        <w:autoSpaceDN/>
        <w:bidi w:val="0"/>
        <w:adjustRightInd/>
        <w:spacing w:line="570" w:lineRule="exact"/>
        <w:ind w:left="0" w:leftChars="0"/>
        <w:jc w:val="right"/>
        <w:textAlignment w:val="auto"/>
        <w:outlineLvl w:val="0"/>
        <w:rPr>
          <w:rFonts w:hint="eastAsia" w:ascii="Times New Roman" w:hAnsi="Times New Roman" w:eastAsia="方正仿宋_GBK" w:cs="Times New Roman"/>
          <w:color w:val="000000"/>
          <w:kern w:val="2"/>
          <w:sz w:val="32"/>
          <w:szCs w:val="32"/>
          <w:lang w:val="en-US" w:eastAsia="zh-CN" w:bidi="zh-TW"/>
        </w:rPr>
      </w:pPr>
      <w:r>
        <w:rPr>
          <w:rFonts w:hint="eastAsia" w:ascii="Times New Roman" w:hAnsi="Times New Roman" w:eastAsia="方正仿宋_GBK" w:cs="Times New Roman"/>
          <w:color w:val="000000"/>
          <w:kern w:val="2"/>
          <w:sz w:val="32"/>
          <w:szCs w:val="32"/>
          <w:lang w:val="zh-TW" w:eastAsia="zh-TW" w:bidi="zh-TW"/>
        </w:rPr>
        <w:t xml:space="preserve">               重庆市交通局</w:t>
      </w:r>
      <w:r>
        <w:rPr>
          <w:rFonts w:hint="eastAsia" w:ascii="Times New Roman" w:hAnsi="Times New Roman" w:eastAsia="方正仿宋_GBK" w:cs="Times New Roman"/>
          <w:color w:val="000000"/>
          <w:kern w:val="2"/>
          <w:sz w:val="32"/>
          <w:szCs w:val="32"/>
          <w:lang w:val="en-US" w:eastAsia="zh-CN" w:bidi="zh-TW"/>
        </w:rPr>
        <w:t xml:space="preserve">    </w:t>
      </w:r>
    </w:p>
    <w:p>
      <w:pPr>
        <w:keepNext w:val="0"/>
        <w:keepLines w:val="0"/>
        <w:pageBreakBefore w:val="0"/>
        <w:widowControl w:val="0"/>
        <w:kinsoku/>
        <w:wordWrap w:val="0"/>
        <w:overflowPunct/>
        <w:topLinePunct w:val="0"/>
        <w:autoSpaceDE/>
        <w:autoSpaceDN/>
        <w:bidi w:val="0"/>
        <w:adjustRightInd/>
        <w:spacing w:line="570" w:lineRule="exact"/>
        <w:ind w:left="0" w:leftChars="0"/>
        <w:jc w:val="right"/>
        <w:textAlignment w:val="auto"/>
        <w:rPr>
          <w:rFonts w:hint="eastAsia" w:ascii="Times New Roman" w:hAnsi="Times New Roman" w:eastAsia="方正仿宋_GBK" w:cs="Times New Roman"/>
          <w:color w:val="000000"/>
          <w:kern w:val="2"/>
          <w:sz w:val="32"/>
          <w:szCs w:val="32"/>
          <w:lang w:val="en-US" w:eastAsia="zh-CN" w:bidi="zh-TW"/>
        </w:rPr>
      </w:pPr>
      <w:r>
        <w:rPr>
          <w:rFonts w:hint="eastAsia" w:ascii="Times New Roman" w:hAnsi="Times New Roman" w:eastAsia="方正仿宋_GBK" w:cs="Times New Roman"/>
          <w:color w:val="000000"/>
          <w:kern w:val="2"/>
          <w:sz w:val="32"/>
          <w:szCs w:val="32"/>
          <w:lang w:val="zh-TW" w:eastAsia="zh-TW" w:bidi="zh-TW"/>
        </w:rPr>
        <w:t>2023年12月</w:t>
      </w:r>
      <w:r>
        <w:rPr>
          <w:rFonts w:hint="eastAsia" w:ascii="Times New Roman" w:hAnsi="Times New Roman" w:eastAsia="方正仿宋_GBK" w:cs="Times New Roman"/>
          <w:color w:val="000000"/>
          <w:kern w:val="2"/>
          <w:sz w:val="32"/>
          <w:szCs w:val="32"/>
          <w:lang w:val="en" w:eastAsia="zh-TW" w:bidi="zh-TW"/>
        </w:rPr>
        <w:t>28</w:t>
      </w:r>
      <w:r>
        <w:rPr>
          <w:rFonts w:hint="eastAsia" w:ascii="Times New Roman" w:hAnsi="Times New Roman" w:eastAsia="方正仿宋_GBK" w:cs="Times New Roman"/>
          <w:color w:val="000000"/>
          <w:kern w:val="2"/>
          <w:sz w:val="32"/>
          <w:szCs w:val="32"/>
          <w:lang w:val="zh-TW" w:eastAsia="zh-TW" w:bidi="zh-TW"/>
        </w:rPr>
        <w:t>日</w:t>
      </w:r>
      <w:r>
        <w:rPr>
          <w:rFonts w:hint="eastAsia" w:ascii="Times New Roman" w:hAnsi="Times New Roman" w:eastAsia="方正仿宋_GBK" w:cs="Times New Roman"/>
          <w:color w:val="000000"/>
          <w:kern w:val="2"/>
          <w:sz w:val="32"/>
          <w:szCs w:val="32"/>
          <w:lang w:val="en-US" w:eastAsia="zh-CN" w:bidi="zh-TW"/>
        </w:rPr>
        <w:t xml:space="preserve">  </w:t>
      </w:r>
    </w:p>
    <w:p>
      <w:pPr>
        <w:keepNext w:val="0"/>
        <w:keepLines w:val="0"/>
        <w:pageBreakBefore w:val="0"/>
        <w:widowControl w:val="0"/>
        <w:kinsoku/>
        <w:overflowPunct/>
        <w:topLinePunct w:val="0"/>
        <w:autoSpaceDE/>
        <w:autoSpaceDN/>
        <w:bidi w:val="0"/>
        <w:adjustRightInd/>
        <w:spacing w:line="570" w:lineRule="exact"/>
        <w:ind w:left="0" w:leftChars="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br w:type="page"/>
      </w:r>
    </w:p>
    <w:p>
      <w:pPr>
        <w:keepNext w:val="0"/>
        <w:keepLines w:val="0"/>
        <w:pageBreakBefore w:val="0"/>
        <w:widowControl w:val="0"/>
        <w:kinsoku/>
        <w:overflowPunct/>
        <w:topLinePunct w:val="0"/>
        <w:autoSpaceDE/>
        <w:autoSpaceDN/>
        <w:bidi w:val="0"/>
        <w:adjustRightInd/>
        <w:snapToGrid w:val="0"/>
        <w:spacing w:line="570" w:lineRule="exact"/>
        <w:ind w:left="0" w:leftChars="0"/>
        <w:jc w:val="center"/>
        <w:textAlignment w:val="auto"/>
        <w:rPr>
          <w:rFonts w:eastAsia="方正小标宋_GBK"/>
          <w:color w:val="000000"/>
          <w:sz w:val="44"/>
          <w:szCs w:val="44"/>
        </w:rPr>
      </w:pPr>
    </w:p>
    <w:p>
      <w:pPr>
        <w:keepNext w:val="0"/>
        <w:keepLines w:val="0"/>
        <w:pageBreakBefore w:val="0"/>
        <w:widowControl w:val="0"/>
        <w:kinsoku/>
        <w:overflowPunct/>
        <w:topLinePunct w:val="0"/>
        <w:autoSpaceDE/>
        <w:autoSpaceDN/>
        <w:bidi w:val="0"/>
        <w:adjustRightInd/>
        <w:snapToGrid w:val="0"/>
        <w:spacing w:line="570" w:lineRule="exact"/>
        <w:ind w:left="0" w:leftChars="0"/>
        <w:jc w:val="center"/>
        <w:textAlignment w:val="auto"/>
        <w:rPr>
          <w:rFonts w:eastAsia="方正小标宋_GBK"/>
          <w:color w:val="000000"/>
          <w:sz w:val="44"/>
          <w:szCs w:val="44"/>
        </w:rPr>
      </w:pPr>
      <w:r>
        <w:rPr>
          <w:rFonts w:eastAsia="方正小标宋_GBK"/>
          <w:color w:val="000000"/>
          <w:sz w:val="44"/>
          <w:szCs w:val="44"/>
        </w:rPr>
        <w:t>重庆市道路运输信用管理实施细则</w:t>
      </w: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黑体_GBK" w:cs="Times New Roman"/>
          <w:color w:val="000000"/>
          <w:lang w:val="en-US" w:eastAsia="zh-CN"/>
        </w:rPr>
      </w:pP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黑体_GBK" w:cs="Times New Roman"/>
          <w:color w:val="000000"/>
          <w:lang w:val="en-US" w:eastAsia="zh-CN"/>
        </w:rPr>
      </w:pPr>
      <w:r>
        <w:rPr>
          <w:rFonts w:ascii="Times New Roman" w:hAnsi="Times New Roman" w:eastAsia="方正黑体_GBK" w:cs="Times New Roman"/>
          <w:color w:val="000000"/>
          <w:lang w:val="en-US" w:eastAsia="zh-CN"/>
        </w:rPr>
        <w:t>第一章  总  则</w:t>
      </w: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仿宋_GBK" w:cs="Times New Roman"/>
          <w:color w:val="000000"/>
          <w:sz w:val="32"/>
          <w:szCs w:val="32"/>
          <w:lang w:val="en-US" w:eastAsia="zh-CN"/>
        </w:rPr>
      </w:pP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val="en-US" w:eastAsia="zh-CN"/>
        </w:rPr>
        <w:t xml:space="preserve">第一条 </w:t>
      </w: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为推进信用交通建设，构建道路运输市场信用体系，完善道路运输市场守信激励和失信惩戒机制，加强道路运输市场事中、事后监管，维护道路运输市场秩序，根据《重庆市道路运输管理条例》《重庆市社会信用条例》等有关规定，结合本市道路运输行业实际，制定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 xml:space="preserve">第二条 </w:t>
      </w:r>
      <w:r>
        <w:rPr>
          <w:rFonts w:hint="eastAsia"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rPr>
        <w:t>市、区县</w:t>
      </w:r>
      <w:r>
        <w:rPr>
          <w:rFonts w:ascii="Times New Roman" w:hAnsi="Times New Roman" w:eastAsia="方正仿宋_GBK" w:cs="Times New Roman"/>
          <w:color w:val="000000"/>
          <w:sz w:val="32"/>
          <w:szCs w:val="32"/>
          <w:lang w:eastAsia="zh-CN"/>
        </w:rPr>
        <w:t>（自治县）</w:t>
      </w:r>
      <w:r>
        <w:rPr>
          <w:rFonts w:ascii="Times New Roman" w:hAnsi="Times New Roman" w:eastAsia="方正仿宋_GBK" w:cs="Times New Roman"/>
          <w:color w:val="000000"/>
          <w:sz w:val="32"/>
          <w:szCs w:val="32"/>
        </w:rPr>
        <w:t>交通主管部门及其道路运输机构（或者交通主管部门指定的工作机构，下同）对道路运输和道路运输相关业务经营者及其从业人员（以下简称道路运输经营者和从业人员）的信用信息采集、信用等级评价、信用信息公布、信用奖惩等信用管理活动，适用本实施细则。</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实施细则所称的道路运输和道路运输相关业务经营者（以下简称道路运输经营者）是指在本市经营的道路旅客运输经营者、道路货物运输经营者（含普通货运和危险货运经营者）、出租汽车经营者（含巡游出租汽车和网络预约出租汽车经营者）、公共交通经营者（含公共汽车客运和城市轨道交通运</w:t>
      </w:r>
      <w:r>
        <w:rPr>
          <w:rFonts w:ascii="Times New Roman" w:hAnsi="Times New Roman" w:eastAsia="方正仿宋_GBK" w:cs="Times New Roman"/>
          <w:color w:val="000000"/>
          <w:sz w:val="32"/>
          <w:szCs w:val="32"/>
          <w:lang w:eastAsia="zh-CN"/>
        </w:rPr>
        <w:t>营</w:t>
      </w:r>
      <w:r>
        <w:rPr>
          <w:rFonts w:ascii="Times New Roman" w:hAnsi="Times New Roman" w:eastAsia="方正仿宋_GBK" w:cs="Times New Roman"/>
          <w:color w:val="000000"/>
          <w:sz w:val="32"/>
          <w:szCs w:val="32"/>
        </w:rPr>
        <w:t>经营者）、机动车维修经营者、机动车驾驶员培训机构、道路旅客运输站和汽车租赁经营者等。</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10辆车以下普通货运经营者、个体巡游出租汽车经营者可以根据需要参加评价，但是，发生本实施细则第十一条、第十二条情形的，应当参加评价。</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本实施细则所称道路运输和道路运输相关业务从业人员（以下简称道路运输从业人员）是指在本市从事道路旅客运输、公共汽车客运、巡游出租汽车客运、网络预约出租汽车客运、道路</w:t>
      </w:r>
      <w:r>
        <w:rPr>
          <w:rFonts w:ascii="Times New Roman" w:hAnsi="Times New Roman" w:eastAsia="方正仿宋_GBK" w:cs="Times New Roman"/>
          <w:color w:val="000000"/>
          <w:sz w:val="32"/>
          <w:szCs w:val="32"/>
          <w:lang w:eastAsia="zh-CN"/>
        </w:rPr>
        <w:t>普通</w:t>
      </w:r>
      <w:r>
        <w:rPr>
          <w:rFonts w:ascii="Times New Roman" w:hAnsi="Times New Roman" w:eastAsia="方正仿宋_GBK" w:cs="Times New Roman"/>
          <w:color w:val="000000"/>
          <w:sz w:val="32"/>
          <w:szCs w:val="32"/>
        </w:rPr>
        <w:t>货物运输</w:t>
      </w:r>
      <w:r>
        <w:rPr>
          <w:rFonts w:ascii="Times New Roman" w:hAnsi="Times New Roman" w:eastAsia="方正仿宋_GBK" w:cs="Times New Roman"/>
          <w:color w:val="000000"/>
          <w:sz w:val="32"/>
          <w:szCs w:val="32"/>
          <w:lang w:eastAsia="zh-CN"/>
        </w:rPr>
        <w:t>、道路危险货物运输</w:t>
      </w:r>
      <w:r>
        <w:rPr>
          <w:rFonts w:ascii="Times New Roman" w:hAnsi="Times New Roman" w:eastAsia="方正仿宋_GBK" w:cs="Times New Roman"/>
          <w:color w:val="000000"/>
          <w:sz w:val="32"/>
          <w:szCs w:val="32"/>
        </w:rPr>
        <w:t>的驾驶员。</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第三条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对道路运输经营者和从业人员的信用管理，应当遵循公开、公平、公正和动态管理、奖优罚劣的原则。</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 xml:space="preserve">第四条 </w:t>
      </w:r>
      <w:r>
        <w:rPr>
          <w:rFonts w:hint="eastAsia" w:ascii="Times New Roman" w:hAnsi="Times New Roman" w:eastAsia="方正仿宋_GBK" w:cs="Times New Roman"/>
          <w:b/>
          <w:bCs/>
          <w:color w:val="000000"/>
          <w:sz w:val="32"/>
          <w:szCs w:val="32"/>
          <w:lang w:eastAsia="zh-CN"/>
        </w:rPr>
        <w:t xml:space="preserve"> </w:t>
      </w:r>
      <w:r>
        <w:rPr>
          <w:rFonts w:ascii="Times New Roman" w:hAnsi="Times New Roman" w:eastAsia="方正仿宋_GBK" w:cs="Times New Roman"/>
          <w:color w:val="000000"/>
          <w:sz w:val="32"/>
          <w:szCs w:val="32"/>
        </w:rPr>
        <w:t>道路运输经营者和从业人员应当自觉遵守法律、法规及规章</w:t>
      </w:r>
      <w:r>
        <w:rPr>
          <w:rFonts w:ascii="Times New Roman" w:hAnsi="Times New Roman" w:eastAsia="方正仿宋_GBK" w:cs="Times New Roman"/>
          <w:color w:val="000000"/>
          <w:sz w:val="32"/>
          <w:szCs w:val="32"/>
          <w:lang w:eastAsia="zh-CN"/>
        </w:rPr>
        <w:t>规定</w:t>
      </w:r>
      <w:r>
        <w:rPr>
          <w:rFonts w:ascii="Times New Roman" w:hAnsi="Times New Roman" w:eastAsia="方正仿宋_GBK" w:cs="Times New Roman"/>
          <w:color w:val="000000"/>
          <w:sz w:val="32"/>
          <w:szCs w:val="32"/>
        </w:rPr>
        <w:t>，加强管理，诚信经营，履行社会责任，为社会提供优质服务。</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第五条  </w:t>
      </w:r>
      <w:r>
        <w:rPr>
          <w:rFonts w:ascii="Times New Roman" w:hAnsi="Times New Roman" w:eastAsia="方正仿宋_GBK" w:cs="Times New Roman"/>
          <w:color w:val="000000"/>
          <w:sz w:val="32"/>
          <w:szCs w:val="32"/>
          <w:lang w:val="en-US" w:eastAsia="zh-CN"/>
        </w:rPr>
        <w:t>市、区县（自治县）交通主管部门负责组织领导本行政区域内的道路运输经营者和从业人员信用管理工作。市、区县（自治县）道路运输机构负责分级实施本行政区域内的道路运输经营者和从业人员信用管理事务性工作。市、区县（自治县）交通综合执法机构负责道路运输经营者和从业人员信用管理相关工作。</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sz w:val="32"/>
          <w:szCs w:val="32"/>
          <w:lang w:val="en-US" w:eastAsia="zh-CN"/>
        </w:rPr>
        <w:t xml:space="preserve">第六条 </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kern w:val="0"/>
          <w:sz w:val="32"/>
          <w:szCs w:val="32"/>
        </w:rPr>
        <w:t>市、区县（自治县）交通主管部门及其道路运输机构要逐步建立信用联合奖惩机制，鼓励和支持信用等级高的道路运输经营者和从业人员发展。</w:t>
      </w:r>
    </w:p>
    <w:p>
      <w:pPr>
        <w:pStyle w:val="17"/>
        <w:keepNext w:val="0"/>
        <w:keepLines w:val="0"/>
        <w:pageBreakBefore w:val="0"/>
        <w:widowControl w:val="0"/>
        <w:kinsoku/>
        <w:overflowPunct/>
        <w:topLinePunct w:val="0"/>
        <w:autoSpaceDE/>
        <w:autoSpaceDN/>
        <w:bidi w:val="0"/>
        <w:adjustRightInd/>
        <w:spacing w:line="570" w:lineRule="exact"/>
        <w:ind w:left="0" w:leftChars="0" w:firstLine="643" w:firstLineChars="200"/>
        <w:textAlignment w:val="auto"/>
        <w:rPr>
          <w:rFonts w:ascii="Times New Roman" w:hAnsi="Times New Roman" w:eastAsia="方正仿宋_GBK" w:cs="Times New Roman"/>
          <w:b/>
          <w:bCs/>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  信用评价的内容和等级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kern w:val="0"/>
          <w:sz w:val="32"/>
          <w:szCs w:val="32"/>
          <w:lang w:val="en-US" w:eastAsia="zh-CN"/>
        </w:rPr>
      </w:pPr>
      <w:r>
        <w:rPr>
          <w:rFonts w:ascii="Times New Roman" w:hAnsi="Times New Roman" w:eastAsia="方正黑体_GBK" w:cs="Times New Roman"/>
          <w:color w:val="000000"/>
          <w:sz w:val="32"/>
          <w:szCs w:val="32"/>
          <w:lang w:val="en-US" w:eastAsia="zh-CN"/>
        </w:rPr>
        <w:t xml:space="preserve">第七条  </w:t>
      </w:r>
      <w:r>
        <w:rPr>
          <w:rFonts w:ascii="Times New Roman" w:hAnsi="Times New Roman" w:eastAsia="方正仿宋_GBK" w:cs="Times New Roman"/>
          <w:kern w:val="0"/>
          <w:sz w:val="32"/>
          <w:szCs w:val="32"/>
          <w:lang w:val="en-US" w:eastAsia="zh-CN"/>
        </w:rPr>
        <w:t>道路运输经营者信用评价内容包括对经营者经营管理、安全生产、服务质量和社会责任等方面的综合评价。</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lang w:val="en-US" w:eastAsia="zh-CN"/>
        </w:rPr>
        <w:t>道路运输从业人员信用评价，是指从业人员在从事道路运输活动中，违反有关法律、法规、规章和规范性文件规定，经相应机关作出行政处罚（处理）决定，信用评价分值所形成的不良行为记录。</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lang w:val="en-US" w:eastAsia="zh-CN"/>
        </w:rPr>
        <w:t>道路运输各子行业经营者和从业人员信用评价计分标准由市道路运输机构拟制，报送市交通主管部门印发实施。市交通主管部门可以根据行业发展需要，对评价的具体计分标准进行适时调整，并按程序对外公布后实施。</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kern w:val="0"/>
          <w:sz w:val="32"/>
          <w:szCs w:val="32"/>
          <w:lang w:val="en-US" w:eastAsia="zh-CN"/>
        </w:rPr>
      </w:pPr>
      <w:r>
        <w:rPr>
          <w:rFonts w:ascii="Times New Roman" w:hAnsi="Times New Roman" w:eastAsia="方正黑体_GBK" w:cs="Times New Roman"/>
          <w:color w:val="000000"/>
          <w:sz w:val="32"/>
          <w:szCs w:val="32"/>
          <w:lang w:val="en-US" w:eastAsia="zh-CN"/>
        </w:rPr>
        <w:t xml:space="preserve">第八条  </w:t>
      </w:r>
      <w:r>
        <w:rPr>
          <w:rFonts w:ascii="Times New Roman" w:hAnsi="Times New Roman" w:eastAsia="方正仿宋_GBK" w:cs="Times New Roman"/>
          <w:kern w:val="0"/>
          <w:sz w:val="32"/>
          <w:szCs w:val="32"/>
          <w:lang w:val="en-US" w:eastAsia="zh-CN"/>
        </w:rPr>
        <w:t>道路运输经营者和从业人员信用评价采用年度评价和动态调整相结合的方式。</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lang w:val="en-US" w:eastAsia="zh-CN"/>
        </w:rPr>
        <w:t>年度评价是指道路运输机构综合道路运输经营者和从业人员在一个评价周期内的信用情况，对该经营者和从业人员进行的定期信用评价。</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lang w:val="en-US" w:eastAsia="zh-CN"/>
        </w:rPr>
        <w:t>动态调整是指道路运输机构依据道路运输经营者和从业人员信用的重大变化情况进行的适时调整。</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第九条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信用评价等级按信用考核得分高低分为</w:t>
      </w:r>
      <w:r>
        <w:rPr>
          <w:rFonts w:ascii="Times New Roman" w:hAnsi="Times New Roman" w:eastAsia="方正仿宋_GBK" w:cs="Times New Roman"/>
          <w:color w:val="000000"/>
          <w:sz w:val="32"/>
          <w:szCs w:val="32"/>
          <w:lang w:val="en-US" w:eastAsia="zh-CN"/>
        </w:rPr>
        <w:t>好、较好</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一般</w:t>
      </w:r>
      <w:r>
        <w:rPr>
          <w:rFonts w:ascii="Times New Roman" w:hAnsi="Times New Roman" w:eastAsia="方正仿宋_GBK" w:cs="Times New Roman"/>
          <w:color w:val="000000"/>
          <w:sz w:val="32"/>
          <w:szCs w:val="32"/>
          <w:lang w:eastAsia="zh-CN"/>
        </w:rPr>
        <w:t>、较差和</w:t>
      </w:r>
      <w:r>
        <w:rPr>
          <w:rFonts w:ascii="Times New Roman" w:hAnsi="Times New Roman" w:eastAsia="方正仿宋_GBK" w:cs="Times New Roman"/>
          <w:color w:val="000000"/>
          <w:sz w:val="32"/>
          <w:szCs w:val="32"/>
          <w:lang w:val="en-US" w:eastAsia="zh-CN"/>
        </w:rPr>
        <w:t>差（不合格）</w:t>
      </w:r>
      <w:r>
        <w:rPr>
          <w:rFonts w:ascii="Times New Roman" w:hAnsi="Times New Roman" w:eastAsia="方正仿宋_GBK" w:cs="Times New Roman"/>
          <w:color w:val="000000"/>
          <w:sz w:val="32"/>
          <w:szCs w:val="32"/>
        </w:rPr>
        <w:t>五个级别，分别用</w:t>
      </w:r>
      <w:r>
        <w:rPr>
          <w:rFonts w:ascii="Times New Roman" w:hAnsi="Times New Roman" w:eastAsia="方正仿宋_GBK" w:cs="Times New Roman"/>
          <w:color w:val="000000"/>
          <w:sz w:val="32"/>
          <w:szCs w:val="32"/>
          <w:lang w:val="en-US" w:eastAsia="zh-CN" w:bidi="en-US"/>
        </w:rPr>
        <w:t>AA、A、B、C、D</w:t>
      </w:r>
      <w:r>
        <w:rPr>
          <w:rFonts w:ascii="Times New Roman" w:hAnsi="Times New Roman" w:eastAsia="方正仿宋_GBK" w:cs="Times New Roman"/>
          <w:color w:val="000000"/>
          <w:sz w:val="32"/>
          <w:szCs w:val="32"/>
        </w:rPr>
        <w:t>表示。</w:t>
      </w:r>
      <w:r>
        <w:rPr>
          <w:rFonts w:ascii="Times New Roman" w:hAnsi="Times New Roman" w:eastAsia="方正仿宋_GBK" w:cs="Times New Roman"/>
          <w:color w:val="000000"/>
          <w:sz w:val="32"/>
          <w:szCs w:val="32"/>
          <w:lang w:val="en-US" w:eastAsia="zh-CN"/>
        </w:rPr>
        <w:t>道路运输法律、法规、规章及上位规范性文件与本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规定不一致的，从其规定。</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其他规范性文件的安全服务质量考核、信用考核评价划分等级和表示方法与本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不一致的，可与本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对应后进行确认。</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第十条 </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对道路运输从业人员失信行为实行计分制，单次失信行为计分为1至20分，并实行累计计分。同一个失信行为符合多种失信计分标准的，按照最高计分值予以计分，不重复计分。道路运输从业人员信用评价等级，按照下列标准进行评定：</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（一）上一评价周期的信用评价等级为A以上，评价周期内累计计分为0分的，信用评价等级为AA级。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（二）上一评价周期的信用评价等级为B以上，评价周期内信用评价累计计分未达到10分的，信用评价等级为A级。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（三）未达到A级以上的信用评价条件，评价周期内信用评价累计计分未达到20分的，信用评价等级为B级。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（四）评价周期内累计有一次计分为20分的，信用评价等级为C级。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（五）评价周期内累计有二次计分为20分的，信用评价等级为D级。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在考核周期届满时，从业人员存在交通运输行政处罚决定书送达后十五日内未履行交通运输行政处罚决定的，信用评价等级不得高于B级。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第十一条  </w:t>
      </w:r>
      <w:r>
        <w:rPr>
          <w:rFonts w:ascii="Times New Roman" w:hAnsi="Times New Roman" w:eastAsia="方正仿宋_GBK" w:cs="Times New Roman"/>
          <w:color w:val="000000"/>
          <w:sz w:val="32"/>
          <w:szCs w:val="32"/>
          <w:lang w:val="en-US" w:eastAsia="zh-CN"/>
        </w:rPr>
        <w:t>B级以上道路运输经营者和从业人员存在以下情形之一的，经评级道路运输机构报同级交通主管部门审定，在20个工作日内将当前年度的信用等级直接确定为C级。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（一）发生一次死亡3人以上安全生产责任事故的；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（二）发生较大污染责任事故的；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（三）发生重大服务质量事件的；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违反信访相关规定或者因道路运输经营者原因引发影响社会公共秩序、损害公共利益的停运罢运等不稳定事件，受到区县（自治县）人民政府通报，或者被市信访、公安和交通部门联合通报，或者被市级相关部门发出二级调度指令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（五）偷逃高速公路车辆通行费，影响高速公路经营管理秩序的；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（六）安全生产、经营管理、服务质量、社会责任等任一一级指标扣分超过该指标总分80%的；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（七）法律、法规和规章规定，以及国家、市信用管理机构认定的其他较重失信行为。</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第十二条  </w:t>
      </w:r>
      <w:r>
        <w:rPr>
          <w:rFonts w:ascii="Times New Roman" w:hAnsi="Times New Roman" w:eastAsia="方正仿宋_GBK" w:cs="Times New Roman"/>
          <w:color w:val="000000"/>
          <w:sz w:val="32"/>
          <w:szCs w:val="32"/>
          <w:lang w:val="en-US" w:eastAsia="zh-CN"/>
        </w:rPr>
        <w:t>道路运输经营者和从业人员发生以下情形之一的，经评级道路运输机构报同级交通主管部门审定，在20个工作日内将当前年度的信用等级直接确定为D级。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（一）发生一次死亡10人以上安全生产责任事故；或者一个考核年度内发生两次以上死亡3人以上安全生产责任事故的；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（二）发生重大以上污染责任事故的；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（三）发生特大服务质量事件的；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（四）违反信访相关规定或者因道路运输经营者原因引发影响社会公共秩序、损害公共利益的停运罢运等不稳定事件，受到市人民政府通报，或者被国家相关部门通报，或者被市级相关部门发出一级调度指令的；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（五）利用虚假资料</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或者通过欺骗、贿赂等不正当手段取得行政许可（备案）、行政确认、行政给付或者行政奖励的；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（六）拒绝完成政府指令性运输任务的；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 xml:space="preserve">（七）拒不配合信用评价相关工作，致使考核工作无法进行的； </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 xml:space="preserve">（八）安全生产、经营管理、服务质量、社会责任等任一一级指标总分被扣完的； </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（九）法律、法规和规章规定，以及国家、市信用管理机构认定的其他严重失信行为。</w:t>
      </w:r>
    </w:p>
    <w:p>
      <w:pPr>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eastAsia="方正仿宋_GBK"/>
          <w:color w:val="000000"/>
          <w:sz w:val="32"/>
          <w:szCs w:val="32"/>
        </w:rPr>
      </w:pPr>
      <w:r>
        <w:rPr>
          <w:rFonts w:eastAsia="方正黑体_GBK"/>
          <w:color w:val="000000"/>
          <w:sz w:val="32"/>
          <w:szCs w:val="32"/>
          <w:lang w:bidi="zh-TW"/>
        </w:rPr>
        <w:t>第十三条</w:t>
      </w:r>
      <w:r>
        <w:rPr>
          <w:rFonts w:hint="eastAsia" w:eastAsia="方正黑体_GBK"/>
          <w:bCs/>
          <w:color w:val="000000"/>
          <w:sz w:val="32"/>
          <w:szCs w:val="32"/>
        </w:rPr>
        <w:t xml:space="preserve"> </w:t>
      </w:r>
      <w:r>
        <w:rPr>
          <w:rFonts w:eastAsia="方正黑体_GBK"/>
          <w:color w:val="000000"/>
          <w:sz w:val="32"/>
          <w:szCs w:val="32"/>
        </w:rPr>
        <w:t xml:space="preserve"> </w:t>
      </w:r>
      <w:r>
        <w:rPr>
          <w:rFonts w:eastAsia="方正仿宋_GBK"/>
          <w:color w:val="000000"/>
          <w:sz w:val="32"/>
          <w:szCs w:val="32"/>
        </w:rPr>
        <w:t>严格按照《重庆市交通运输信用管理办法》规定的认定标准、认定程序，对失信行为信息经认定后予以采集。</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第十四条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所设</w:t>
      </w:r>
      <w:r>
        <w:rPr>
          <w:rFonts w:ascii="Times New Roman" w:hAnsi="Times New Roman" w:eastAsia="方正仿宋_GBK" w:cs="Times New Roman"/>
          <w:color w:val="000000"/>
          <w:sz w:val="32"/>
          <w:szCs w:val="32"/>
          <w:lang w:eastAsia="zh-CN"/>
        </w:rPr>
        <w:t>分公司（道路旅客运输站除外）开展信用评价情况记入总公司</w:t>
      </w:r>
      <w:r>
        <w:rPr>
          <w:rFonts w:ascii="Times New Roman" w:hAnsi="Times New Roman" w:eastAsia="方正仿宋_GBK" w:cs="Times New Roman"/>
          <w:color w:val="000000"/>
          <w:sz w:val="32"/>
          <w:szCs w:val="32"/>
        </w:rPr>
        <w:t>评价得分。具有独立法人资格的子公司，应</w:t>
      </w:r>
      <w:r>
        <w:rPr>
          <w:rFonts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单独进行信用评价。</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设有</w:t>
      </w:r>
      <w:r>
        <w:rPr>
          <w:rFonts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的道路</w:t>
      </w:r>
      <w:r>
        <w:rPr>
          <w:rFonts w:ascii="Times New Roman" w:hAnsi="Times New Roman" w:eastAsia="方正仿宋_GBK" w:cs="Times New Roman"/>
          <w:color w:val="000000"/>
          <w:sz w:val="32"/>
          <w:szCs w:val="32"/>
          <w:lang w:eastAsia="zh-CN"/>
        </w:rPr>
        <w:t>旅客运输、</w:t>
      </w:r>
      <w:r>
        <w:rPr>
          <w:rFonts w:ascii="Times New Roman" w:hAnsi="Times New Roman" w:eastAsia="方正仿宋_GBK" w:cs="Times New Roman"/>
          <w:color w:val="000000"/>
          <w:sz w:val="32"/>
          <w:szCs w:val="32"/>
        </w:rPr>
        <w:t>货物运输</w:t>
      </w:r>
      <w:r>
        <w:rPr>
          <w:rFonts w:ascii="Times New Roman" w:hAnsi="Times New Roman" w:eastAsia="方正仿宋_GBK" w:cs="Times New Roman"/>
          <w:color w:val="000000"/>
          <w:sz w:val="32"/>
          <w:szCs w:val="32"/>
          <w:lang w:eastAsia="zh-CN"/>
        </w:rPr>
        <w:t>、出租汽车和公共汽车客运</w:t>
      </w:r>
      <w:r>
        <w:rPr>
          <w:rFonts w:ascii="Times New Roman" w:hAnsi="Times New Roman" w:eastAsia="方正仿宋_GBK" w:cs="Times New Roman"/>
          <w:color w:val="000000"/>
          <w:sz w:val="32"/>
          <w:szCs w:val="32"/>
        </w:rPr>
        <w:t>企业，总公司名下有车辆的，总公司、</w:t>
      </w:r>
      <w:r>
        <w:rPr>
          <w:rFonts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应</w:t>
      </w:r>
      <w:r>
        <w:rPr>
          <w:rFonts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分别进行信用评价；总公司名下无车辆的，只对</w:t>
      </w:r>
      <w:r>
        <w:rPr>
          <w:rFonts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进行信用评价。</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第十五条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同时从事多个道路运输子行业经营活动的，应当分别评定其信用等级。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  组织实施</w:t>
      </w:r>
    </w:p>
    <w:p>
      <w:pPr>
        <w:pStyle w:val="17"/>
        <w:keepNext w:val="0"/>
        <w:keepLines w:val="0"/>
        <w:pageBreakBefore w:val="0"/>
        <w:widowControl w:val="0"/>
        <w:kinsoku/>
        <w:overflowPunct/>
        <w:topLinePunct w:val="0"/>
        <w:autoSpaceDE/>
        <w:autoSpaceDN/>
        <w:bidi w:val="0"/>
        <w:adjustRightInd/>
        <w:spacing w:line="570" w:lineRule="exact"/>
        <w:ind w:left="0" w:leftChars="0" w:firstLine="643" w:firstLineChars="200"/>
        <w:textAlignment w:val="auto"/>
        <w:rPr>
          <w:rFonts w:ascii="Times New Roman" w:hAnsi="Times New Roman" w:eastAsia="方正仿宋_GBK" w:cs="Times New Roman"/>
          <w:b/>
          <w:bCs/>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第十六条  </w:t>
      </w:r>
      <w:r>
        <w:rPr>
          <w:rFonts w:ascii="Times New Roman" w:hAnsi="Times New Roman" w:eastAsia="方正仿宋_GBK" w:cs="Times New Roman"/>
          <w:color w:val="000000"/>
          <w:sz w:val="32"/>
          <w:szCs w:val="32"/>
          <w:lang w:val="en-US" w:eastAsia="zh-CN"/>
        </w:rPr>
        <w:t>评级道路运输机构应当按照管理权限建立道路运输经营者和从业人员的信用档案，记录、归集、管理和维护道路运输经营者和从业人员信用信息。</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经营者和从业人员信用档案包括经营者和从业人员名称、统一社会信用代码（营业执照）、从业人员身份证号（从业资格证号）、经营许可证件号、经营范围、经营者和从业人员地（住）址、法定代表人姓名、从业人员数量及资格证明、营运车辆等情况。</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同一家道路运输经营者从事多个道路运输子行业经营活动的，应分类建立信用档案。</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第十七条  </w:t>
      </w:r>
      <w:r>
        <w:rPr>
          <w:rFonts w:ascii="Times New Roman" w:hAnsi="Times New Roman" w:eastAsia="方正仿宋_GBK" w:cs="Times New Roman"/>
          <w:color w:val="000000"/>
          <w:sz w:val="32"/>
          <w:szCs w:val="32"/>
          <w:lang w:val="en-US" w:eastAsia="zh-CN"/>
        </w:rPr>
        <w:t>道路运输经营者和从业人员信用评价工作通过重庆市道路运输经营者和从业人员信用评价信息系统（以下简称评价系统）开展。</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评价系统中数据分为系统数据、专项检查数据、日常记录数据、经营者和从业人员填报数据四类，数据来源及采集方式如下：</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系统数据：评价系统与全市交通运输信用信息管理系统对接自动获取的信息数据。暂时无法通过评价系统自动获取的，由市、区县（自治县）交通主管部门负责组织道路运输机构和交通综合执法机构获取并录入评价系统。</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专项检查数据：由市、区县（自治县）交通主管部门及其交通综合执法机构按照规定组织对道路运输经营者和从业人员进行专项检查时获取的数据。检查人员在检查时应当填写检查记录表，并由经营者相关负责人和从业人员签字认可。经营者相关负责人和从业人员拒绝签字的，检查人员（不少于两人）应当在检查记录表中签字注明。专项检查单位应将相关数据在检查工作完成后5个工作日内录入评价系统。</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采用专项检查方式获取的评价数据，其文本资料由录入单位保存备查，保存期限不少于3年。</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日常记录数据：信访投诉、其他部门通报抄报、交通主管部门、道路运输机构和交通综合执法机构在日常管理过程中形成的与信用有关的以及信用管理工作需要的其他信息数据。由评级道路运输机构在核实确认后5个工作日内录入评价系统。</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经营者和从业人员填报数据：道路运输机构要求经营者和从业人员填报的经营者和从业人员信息数据，由经营者和从业人员按规定上传相关资料，并及时更新所填报信息。因经营者和从业人员错报、漏报、迟报信息等原因影响信用评价等级，由经营者和从业人员自行承担。</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经营者和从业人员对上述数据有异议的，可以向评级道路运输机构提出申诉，评级道路运输机构应当核实数据真实性。因客观原因确需修改和调整的，录入单位应当及时研究，在5个工作日内修改调整。</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第十八条  </w:t>
      </w:r>
      <w:r>
        <w:rPr>
          <w:rFonts w:ascii="Times New Roman" w:hAnsi="Times New Roman" w:eastAsia="方正仿宋_GBK" w:cs="Times New Roman"/>
          <w:color w:val="000000"/>
          <w:sz w:val="32"/>
          <w:szCs w:val="32"/>
          <w:lang w:val="en-US" w:eastAsia="zh-CN"/>
        </w:rPr>
        <w:t>每季度评价系统自动汇总更新一次评价结果数据，每年1月31日前，评价系统自动汇总生成评价周期内道路运输经营者和从业人员的信用评价得分和等级的初评结果。暂时无法通过评价系统自动生成初评结果的，由市、区县（自治县）道路运输机构及时组织开展信用评价工作。</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黑体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评级道路运输机构对系统自动生成的初评结果与所掌握经营者和从业人员实际情况不一致的，应当及时核实和更新信息。</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第十九条  </w:t>
      </w:r>
      <w:r>
        <w:rPr>
          <w:rFonts w:ascii="Times New Roman" w:hAnsi="Times New Roman" w:eastAsia="方正仿宋_GBK" w:cs="Times New Roman"/>
          <w:color w:val="000000"/>
          <w:sz w:val="32"/>
          <w:szCs w:val="32"/>
          <w:lang w:val="en-US" w:eastAsia="zh-CN"/>
        </w:rPr>
        <w:t>评级道路运输机构应当于2月底前将经审核的初评结果汇总到市道路运输机构统一在“信用交通•重庆”网站上集中公示，公示期为7个工作日。有异议的，评级道路运输机构应当核实，经研究后作出是否调整的决定。</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第二十条  </w:t>
      </w:r>
      <w:r>
        <w:rPr>
          <w:rFonts w:ascii="Times New Roman" w:hAnsi="Times New Roman" w:eastAsia="方正仿宋_GBK" w:cs="Times New Roman"/>
          <w:color w:val="000000"/>
          <w:sz w:val="32"/>
          <w:szCs w:val="32"/>
          <w:lang w:val="en-US" w:eastAsia="zh-CN"/>
        </w:rPr>
        <w:t>评级道路运输机构应当将评定结果报同级交通主管部门审定。</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市交通主管部门、市道路运输机构或者委托的第三方机构可以对评级道路运输机构的评价结果进行督导检查（评估），评级道路运输机构应当对检查（评估）情况及时进行核实、据实调整评价结果。</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第二十一条  </w:t>
      </w:r>
      <w:r>
        <w:rPr>
          <w:rFonts w:ascii="Times New Roman" w:hAnsi="Times New Roman" w:eastAsia="方正仿宋_GBK" w:cs="Times New Roman"/>
          <w:color w:val="000000"/>
          <w:sz w:val="32"/>
          <w:szCs w:val="32"/>
          <w:lang w:val="en-US" w:eastAsia="zh-CN"/>
        </w:rPr>
        <w:t>评级道路运输机构应将经交通主管部门审定同意，并经脱敏处理的道路运输经营者和从业人员评价结果，信用评价等级应</w:t>
      </w:r>
      <w:r>
        <w:rPr>
          <w:rFonts w:hint="eastAsia" w:ascii="Times New Roman" w:hAnsi="Times New Roman" w:eastAsia="方正仿宋_GBK" w:cs="Times New Roman"/>
          <w:color w:val="000000"/>
          <w:sz w:val="32"/>
          <w:szCs w:val="32"/>
          <w:lang w:val="en-US" w:eastAsia="zh-CN"/>
        </w:rPr>
        <w:t>在“信用交通·重庆”网站公</w:t>
      </w:r>
      <w:r>
        <w:rPr>
          <w:rFonts w:ascii="Times New Roman" w:hAnsi="Times New Roman" w:eastAsia="方正仿宋_GBK" w:cs="Times New Roman"/>
          <w:color w:val="000000"/>
          <w:sz w:val="32"/>
          <w:szCs w:val="32"/>
          <w:lang w:val="en-US" w:eastAsia="zh-CN"/>
        </w:rPr>
        <w:t>布，并为社会公众、经营者和从业人员提供查询服务，扩大评价结果的应用范围。</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第二十二条  </w:t>
      </w:r>
      <w:r>
        <w:rPr>
          <w:rFonts w:ascii="Times New Roman" w:hAnsi="Times New Roman" w:eastAsia="方正仿宋_GBK" w:cs="Times New Roman"/>
          <w:color w:val="000000"/>
          <w:sz w:val="32"/>
          <w:szCs w:val="32"/>
          <w:lang w:val="en-US" w:eastAsia="zh-CN"/>
        </w:rPr>
        <w:t>被认定为失信行为记录的道路运输经营者或者从业人员主动纠正失信行为、消除社会不良影响，全面完成整改的，可以向评级道路运输机构申请信用修复。交通主管部门应当按照国家和本市有关规定处理。</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道路运输从业人员考核周期内累计计分达20分的，应当在考核等级确定后30日内，按照《道路运输从业人员管理规定》要求，接受不少于18个学时的道路运输法规、职业道德和安全知识的继续教育，完成规定的继续教育后，其诚信考核等级恢复为B级。</w:t>
      </w:r>
    </w:p>
    <w:p>
      <w:pPr>
        <w:pStyle w:val="17"/>
        <w:keepNext w:val="0"/>
        <w:keepLines w:val="0"/>
        <w:pageBreakBefore w:val="0"/>
        <w:widowControl w:val="0"/>
        <w:kinsoku/>
        <w:overflowPunct/>
        <w:topLinePunct w:val="0"/>
        <w:autoSpaceDE/>
        <w:autoSpaceDN/>
        <w:bidi w:val="0"/>
        <w:adjustRightInd/>
        <w:spacing w:line="570" w:lineRule="exact"/>
        <w:ind w:left="0" w:leftChars="0" w:firstLine="643" w:firstLineChars="200"/>
        <w:textAlignment w:val="auto"/>
        <w:rPr>
          <w:rFonts w:ascii="Times New Roman" w:hAnsi="Times New Roman" w:eastAsia="方正仿宋_GBK" w:cs="Times New Roman"/>
          <w:b/>
          <w:bCs/>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  信用奖惩</w:t>
      </w:r>
    </w:p>
    <w:p>
      <w:pPr>
        <w:pStyle w:val="17"/>
        <w:keepNext w:val="0"/>
        <w:keepLines w:val="0"/>
        <w:pageBreakBefore w:val="0"/>
        <w:widowControl w:val="0"/>
        <w:kinsoku/>
        <w:overflowPunct/>
        <w:topLinePunct w:val="0"/>
        <w:autoSpaceDE/>
        <w:autoSpaceDN/>
        <w:bidi w:val="0"/>
        <w:adjustRightInd/>
        <w:spacing w:line="570" w:lineRule="exact"/>
        <w:ind w:left="0" w:leftChars="0" w:firstLine="643" w:firstLineChars="200"/>
        <w:textAlignment w:val="auto"/>
        <w:rPr>
          <w:rFonts w:ascii="Times New Roman" w:hAnsi="Times New Roman" w:eastAsia="方正仿宋_GBK" w:cs="Times New Roman"/>
          <w:b/>
          <w:bCs/>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第二十三条  </w:t>
      </w:r>
      <w:r>
        <w:rPr>
          <w:rFonts w:ascii="Times New Roman" w:hAnsi="Times New Roman" w:eastAsia="方正仿宋_GBK" w:cs="Times New Roman"/>
          <w:color w:val="000000"/>
          <w:sz w:val="32"/>
          <w:szCs w:val="32"/>
          <w:lang w:val="en-US" w:eastAsia="zh-CN"/>
        </w:rPr>
        <w:t>市、区县（自治县）交通主管部门和道路运输机构应当将道路运输经营者和从业人员信用评价结果，通过全市交通运输信用信息管理系统向重庆市公共信用信息平台推送，逐步建立联合奖惩机制。</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 xml:space="preserve">第二十四条 </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信用等级评定结果应当作为</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服务质量</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信用、信誉）</w:t>
      </w:r>
      <w:r>
        <w:rPr>
          <w:rFonts w:ascii="Times New Roman" w:hAnsi="Times New Roman" w:eastAsia="方正仿宋_GBK" w:cs="Times New Roman"/>
          <w:color w:val="000000"/>
          <w:sz w:val="32"/>
          <w:szCs w:val="32"/>
        </w:rPr>
        <w:t>招投标、新增运力、扩大经营范围、经营权延续、表彰奖励、品牌创建、资金补助、示范和试点申请、</w:t>
      </w:r>
      <w:r>
        <w:rPr>
          <w:rFonts w:ascii="Times New Roman" w:hAnsi="Times New Roman" w:eastAsia="方正仿宋_GBK" w:cs="Times New Roman"/>
          <w:color w:val="000000"/>
          <w:sz w:val="32"/>
          <w:szCs w:val="32"/>
          <w:lang w:val="en-US" w:eastAsia="zh-CN"/>
        </w:rPr>
        <w:t>评优</w:t>
      </w:r>
      <w:r>
        <w:rPr>
          <w:rFonts w:ascii="Times New Roman" w:hAnsi="Times New Roman" w:eastAsia="方正仿宋_GBK" w:cs="Times New Roman"/>
          <w:color w:val="000000"/>
          <w:sz w:val="32"/>
          <w:szCs w:val="32"/>
        </w:rPr>
        <w:t>评比</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以及实施行政监督、检查和管理</w:t>
      </w:r>
      <w:r>
        <w:rPr>
          <w:rFonts w:ascii="Times New Roman" w:hAnsi="Times New Roman" w:eastAsia="方正仿宋_GBK" w:cs="Times New Roman"/>
          <w:color w:val="000000"/>
          <w:sz w:val="32"/>
          <w:szCs w:val="32"/>
        </w:rPr>
        <w:t>的</w:t>
      </w:r>
      <w:r>
        <w:rPr>
          <w:rFonts w:ascii="Times New Roman" w:hAnsi="Times New Roman" w:eastAsia="方正仿宋_GBK" w:cs="Times New Roman"/>
          <w:color w:val="000000"/>
          <w:sz w:val="32"/>
          <w:szCs w:val="32"/>
          <w:lang w:val="en-US" w:eastAsia="zh-CN"/>
        </w:rPr>
        <w:t>重要</w:t>
      </w:r>
      <w:r>
        <w:rPr>
          <w:rFonts w:ascii="Times New Roman" w:hAnsi="Times New Roman" w:eastAsia="方正仿宋_GBK" w:cs="Times New Roman"/>
          <w:color w:val="000000"/>
          <w:sz w:val="32"/>
          <w:szCs w:val="32"/>
        </w:rPr>
        <w:t>依据。鼓励社会优质资源向信用等级高的道路运输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倾斜。</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推动交通运输信用信息管理系统与“双随机、一公开”监管信息系统互联互通，统筹推进道路运输市场主体信用分级分类监管与“双随机、一公开”监管工作。</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第二十五条 </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对评价等级为A级以上的道路运输经营者和从业人员（被交通主管部门列入重点监管企业名录的除外），在行政许可、资质等级评定中，给予优先办理、简化程序等；在日常监督检查中，优化检查频次；在财政性资金补助（补贴）、试点新项目中，同等条件下列为优先选择对象或者给予重点支持；在荣誉表彰及评先评优时优先考虑；鼓励道路运输经营者优先聘用信用等级高的从业人员。</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 xml:space="preserve">第二十六条 </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最近一次考评结果</w:t>
      </w:r>
      <w:r>
        <w:rPr>
          <w:rFonts w:ascii="Times New Roman" w:hAnsi="Times New Roman" w:eastAsia="方正仿宋_GBK" w:cs="Times New Roman"/>
          <w:color w:val="000000"/>
          <w:sz w:val="32"/>
          <w:szCs w:val="32"/>
          <w:lang w:eastAsia="zh-CN"/>
        </w:rPr>
        <w:t>为</w:t>
      </w:r>
      <w:r>
        <w:rPr>
          <w:rFonts w:ascii="Times New Roman" w:hAnsi="Times New Roman" w:eastAsia="方正仿宋_GBK" w:cs="Times New Roman"/>
          <w:color w:val="000000"/>
          <w:sz w:val="32"/>
          <w:szCs w:val="32"/>
          <w:lang w:val="en-US" w:eastAsia="zh-CN"/>
        </w:rPr>
        <w:t>B</w:t>
      </w:r>
      <w:r>
        <w:rPr>
          <w:rFonts w:ascii="Times New Roman" w:hAnsi="Times New Roman" w:eastAsia="方正仿宋_GBK" w:cs="Times New Roman"/>
          <w:color w:val="000000"/>
          <w:sz w:val="32"/>
          <w:szCs w:val="32"/>
        </w:rPr>
        <w:t>级以</w:t>
      </w:r>
      <w:r>
        <w:rPr>
          <w:rFonts w:ascii="Times New Roman" w:hAnsi="Times New Roman" w:eastAsia="方正仿宋_GBK" w:cs="Times New Roman"/>
          <w:color w:val="000000"/>
          <w:sz w:val="32"/>
          <w:szCs w:val="32"/>
          <w:lang w:val="en-US" w:eastAsia="zh-CN"/>
        </w:rPr>
        <w:t>下</w:t>
      </w:r>
      <w:r>
        <w:rPr>
          <w:rFonts w:ascii="Times New Roman" w:hAnsi="Times New Roman" w:eastAsia="方正仿宋_GBK" w:cs="Times New Roman"/>
          <w:color w:val="000000"/>
          <w:sz w:val="32"/>
          <w:szCs w:val="32"/>
        </w:rPr>
        <w:t>的道路运输</w:t>
      </w:r>
      <w:r>
        <w:rPr>
          <w:rFonts w:ascii="Times New Roman" w:hAnsi="Times New Roman" w:eastAsia="方正仿宋_GBK" w:cs="Times New Roman"/>
          <w:color w:val="000000"/>
          <w:sz w:val="32"/>
          <w:szCs w:val="32"/>
          <w:lang w:eastAsia="zh-CN"/>
        </w:rPr>
        <w:t>经营者和从业人员，不得推荐参加行业相关试点工作；不得推荐或者授予文明单位（个人）、星级经营者和从业人员</w:t>
      </w:r>
      <w:r>
        <w:rPr>
          <w:rFonts w:ascii="Times New Roman" w:hAnsi="Times New Roman" w:eastAsia="方正仿宋_GBK" w:cs="Times New Roman"/>
          <w:color w:val="000000"/>
          <w:sz w:val="32"/>
          <w:szCs w:val="32"/>
        </w:rPr>
        <w:t>（个人）、先进</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（个人）等荣誉称号。</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第二十七条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信用等级为</w:t>
      </w:r>
      <w:r>
        <w:rPr>
          <w:rFonts w:ascii="Times New Roman" w:hAnsi="Times New Roman" w:eastAsia="方正仿宋_GBK" w:cs="Times New Roman"/>
          <w:color w:val="000000"/>
          <w:sz w:val="32"/>
          <w:szCs w:val="32"/>
          <w:lang w:val="en-US" w:eastAsia="zh-CN" w:bidi="en-US"/>
        </w:rPr>
        <w:t>C</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交通主管部门及其交通综合执法机构</w:t>
      </w:r>
      <w:r>
        <w:rPr>
          <w:rFonts w:ascii="Times New Roman" w:hAnsi="Times New Roman" w:eastAsia="方正仿宋_GBK" w:cs="Times New Roman"/>
          <w:color w:val="000000"/>
          <w:sz w:val="32"/>
          <w:szCs w:val="32"/>
        </w:rPr>
        <w:t>应当加强监管，</w:t>
      </w:r>
      <w:r>
        <w:rPr>
          <w:rFonts w:ascii="Times New Roman" w:hAnsi="Times New Roman" w:eastAsia="方正仿宋_GBK" w:cs="Times New Roman"/>
          <w:color w:val="000000"/>
          <w:sz w:val="32"/>
          <w:szCs w:val="32"/>
          <w:lang w:val="en-US" w:eastAsia="zh-CN"/>
        </w:rPr>
        <w:t>增加监督检查频次</w:t>
      </w:r>
      <w:r>
        <w:rPr>
          <w:rFonts w:ascii="Times New Roman" w:hAnsi="Times New Roman" w:eastAsia="方正仿宋_GBK" w:cs="Times New Roman"/>
          <w:color w:val="000000"/>
          <w:sz w:val="32"/>
          <w:szCs w:val="32"/>
        </w:rPr>
        <w:t>。</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第二十八条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信用等级为</w:t>
      </w:r>
      <w:r>
        <w:rPr>
          <w:rFonts w:ascii="Times New Roman" w:hAnsi="Times New Roman" w:eastAsia="方正仿宋_GBK" w:cs="Times New Roman"/>
          <w:color w:val="000000"/>
          <w:sz w:val="32"/>
          <w:szCs w:val="32"/>
          <w:lang w:val="en-US" w:eastAsia="zh-CN" w:bidi="en-US"/>
        </w:rPr>
        <w:t>D</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经营者法定代表人、</w:t>
      </w:r>
      <w:r>
        <w:rPr>
          <w:rFonts w:ascii="Times New Roman" w:hAnsi="Times New Roman" w:eastAsia="方正仿宋_GBK" w:cs="Times New Roman"/>
          <w:color w:val="000000"/>
          <w:sz w:val="32"/>
          <w:szCs w:val="32"/>
        </w:rPr>
        <w:t>主要负责人、实际控制人</w:t>
      </w:r>
      <w:r>
        <w:rPr>
          <w:rFonts w:ascii="Times New Roman" w:hAnsi="Times New Roman" w:eastAsia="方正仿宋_GBK" w:cs="Times New Roman"/>
          <w:color w:val="000000"/>
          <w:sz w:val="32"/>
          <w:szCs w:val="32"/>
          <w:lang w:eastAsia="zh-CN"/>
        </w:rPr>
        <w:t>相关信用信息推送至</w:t>
      </w:r>
      <w:r>
        <w:rPr>
          <w:rFonts w:ascii="Times New Roman" w:hAnsi="Times New Roman" w:eastAsia="方正仿宋_GBK" w:cs="Times New Roman"/>
          <w:color w:val="000000"/>
          <w:sz w:val="32"/>
          <w:szCs w:val="32"/>
        </w:rPr>
        <w:t>重庆市公共信用信息平台，</w:t>
      </w:r>
      <w:r>
        <w:rPr>
          <w:rFonts w:ascii="Times New Roman" w:hAnsi="Times New Roman" w:eastAsia="方正仿宋_GBK" w:cs="Times New Roman"/>
          <w:color w:val="000000"/>
          <w:sz w:val="32"/>
          <w:szCs w:val="32"/>
          <w:lang w:val="en-US" w:eastAsia="zh-CN"/>
        </w:rPr>
        <w:t>由相关部门依法限制参加政府采购、政府投资项目投标、公共事业特许经营等活动；</w:t>
      </w:r>
      <w:r>
        <w:rPr>
          <w:rFonts w:ascii="Times New Roman" w:hAnsi="Times New Roman" w:eastAsia="方正仿宋_GBK" w:cs="Times New Roman"/>
          <w:color w:val="000000"/>
          <w:sz w:val="32"/>
          <w:szCs w:val="32"/>
        </w:rPr>
        <w:t>由交通主管部门依法依规责令限期整改；整改期间停止办理增加经营范围、线路、运力、教练车辆，更换车辆，提高站级等有关业务。</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val="en-US" w:eastAsia="zh-CN"/>
        </w:rPr>
        <w:t>交通主管部门及其交通综合执法机构</w:t>
      </w:r>
      <w:r>
        <w:rPr>
          <w:rFonts w:ascii="Times New Roman" w:hAnsi="Times New Roman" w:eastAsia="方正仿宋_GBK" w:cs="Times New Roman"/>
          <w:color w:val="000000"/>
          <w:sz w:val="32"/>
          <w:szCs w:val="32"/>
        </w:rPr>
        <w:t>应</w:t>
      </w:r>
      <w:r>
        <w:rPr>
          <w:rFonts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将</w:t>
      </w:r>
      <w:r>
        <w:rPr>
          <w:rFonts w:ascii="Times New Roman" w:hAnsi="Times New Roman" w:eastAsia="方正仿宋_GBK" w:cs="Times New Roman"/>
          <w:color w:val="000000"/>
          <w:sz w:val="32"/>
          <w:szCs w:val="32"/>
          <w:lang w:val="en-US" w:eastAsia="zh-CN"/>
        </w:rPr>
        <w:t>信用等级为D级的</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纳入</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重点监管名单</w:t>
      </w:r>
      <w:r>
        <w:rPr>
          <w:rFonts w:ascii="Times New Roman" w:hAnsi="Times New Roman" w:eastAsia="方正仿宋_GBK" w:cs="Times New Roman"/>
          <w:color w:val="000000"/>
          <w:sz w:val="32"/>
          <w:szCs w:val="32"/>
          <w:lang w:val="zh-CN" w:eastAsia="zh-CN" w:bidi="zh-CN"/>
        </w:rPr>
        <w:t>”，</w:t>
      </w:r>
      <w:r>
        <w:rPr>
          <w:rFonts w:ascii="Times New Roman" w:hAnsi="Times New Roman" w:eastAsia="方正仿宋_GBK" w:cs="Times New Roman"/>
          <w:color w:val="000000"/>
          <w:sz w:val="32"/>
          <w:szCs w:val="32"/>
          <w:lang w:val="en-US" w:eastAsia="zh-CN"/>
        </w:rPr>
        <w:t>增加监督检查频次</w:t>
      </w:r>
      <w:r>
        <w:rPr>
          <w:rFonts w:ascii="Times New Roman" w:hAnsi="Times New Roman" w:eastAsia="方正仿宋_GBK" w:cs="Times New Roman"/>
          <w:color w:val="000000"/>
          <w:sz w:val="32"/>
          <w:szCs w:val="32"/>
        </w:rPr>
        <w:t>；对</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主要负责人、实际控制人、分管负责人进行信用约谈。</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第二十九条 </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对连续两年信用等级为D级的经营者，除按照本实施细则第二十八条规定执行外，由交通综合执法机构约谈并依法依规责令停业整顿，整顿后仍不符合要求的，责令停止经营或者吊销许可证件；由评级道路运输机构将经营者主要负责人、实际控制人、分管负责人以及相关从业人员名单推送至重庆市公共信用信息平台加强管理，并可以向有关部门和单位提出职务禁任、薪酬惩戒等建议。</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 xml:space="preserve">第三十条 </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危险货物道路运输经营者信用考核为B级以下的，还</w:t>
      </w:r>
      <w:r>
        <w:rPr>
          <w:rFonts w:ascii="Times New Roman" w:hAnsi="Times New Roman" w:eastAsia="方正仿宋_GBK" w:cs="Times New Roman"/>
          <w:color w:val="000000"/>
          <w:sz w:val="32"/>
          <w:szCs w:val="32"/>
          <w:lang w:eastAsia="zh-CN"/>
        </w:rPr>
        <w:t>应当</w:t>
      </w:r>
      <w:r>
        <w:rPr>
          <w:rFonts w:ascii="Times New Roman" w:hAnsi="Times New Roman" w:eastAsia="方正仿宋_GBK" w:cs="Times New Roman"/>
          <w:color w:val="000000"/>
          <w:sz w:val="32"/>
          <w:szCs w:val="32"/>
        </w:rPr>
        <w:t>执行以下规定：</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（一）信用等级为B级的，暂停办理新增剧毒化学品、爆炸品、放射性物品经营范围许可业务；设有分支机构的，其所有分支机构暂停办理新增剧毒化学品、爆炸品、放射性物品经营范围许可业务。</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信用等级为C级的，暂停办理新增剧毒化学品、爆炸品、放射性物品经营范围、运力业务；暂停办理设立分支机构业务；设有分支机构的，其所有分支机构暂停办理新增剧毒化学品、爆炸品、放射性物品经营范围和运力业务。</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（三）信用等级为D级的，暂停办理新增经营范围、运力业务；暂停办理设立分支机构业务；设有分支机构的，其所有分支机构暂停办理新增经营范围和运力业务。</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普通货物道路运输经营者信用等级为D级的，暂停办理新增经营范围、运力及设立分支机构等相关货运业务；设有分支机构的，其所有分支机构均暂停办理新增经营范围和运力业务。</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 xml:space="preserve">第三十一条 </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交通主管部门可以将信用评价结果作为到期延续经营审批的重要依据，依法收</w:t>
      </w:r>
      <w:r>
        <w:rPr>
          <w:rFonts w:ascii="Times New Roman" w:hAnsi="Times New Roman" w:eastAsia="方正仿宋_GBK" w:cs="Times New Roman"/>
          <w:color w:val="000000"/>
          <w:sz w:val="32"/>
          <w:szCs w:val="32"/>
        </w:rPr>
        <w:t>回其顺延年度内</w:t>
      </w:r>
      <w:r>
        <w:rPr>
          <w:rFonts w:ascii="Times New Roman" w:hAnsi="Times New Roman" w:eastAsia="方正仿宋_GBK" w:cs="Times New Roman"/>
          <w:color w:val="000000"/>
          <w:sz w:val="32"/>
          <w:szCs w:val="32"/>
          <w:lang w:val="en-US" w:eastAsia="zh-CN"/>
        </w:rPr>
        <w:t>一定数量</w:t>
      </w:r>
      <w:r>
        <w:rPr>
          <w:rFonts w:ascii="Times New Roman" w:hAnsi="Times New Roman" w:eastAsia="方正仿宋_GBK" w:cs="Times New Roman"/>
          <w:color w:val="000000"/>
          <w:sz w:val="32"/>
          <w:szCs w:val="32"/>
        </w:rPr>
        <w:t>的到期</w:t>
      </w:r>
      <w:r>
        <w:rPr>
          <w:rFonts w:ascii="Times New Roman" w:hAnsi="Times New Roman" w:eastAsia="方正仿宋_GBK" w:cs="Times New Roman"/>
          <w:color w:val="000000"/>
          <w:sz w:val="32"/>
          <w:szCs w:val="32"/>
          <w:lang w:val="en-US" w:eastAsia="zh-CN"/>
        </w:rPr>
        <w:t>客运</w:t>
      </w:r>
      <w:r>
        <w:rPr>
          <w:rFonts w:ascii="Times New Roman" w:hAnsi="Times New Roman" w:eastAsia="方正仿宋_GBK" w:cs="Times New Roman"/>
          <w:color w:val="000000"/>
          <w:sz w:val="32"/>
          <w:szCs w:val="32"/>
        </w:rPr>
        <w:t>经营权。被收回的客运经营权</w:t>
      </w:r>
      <w:r>
        <w:rPr>
          <w:rFonts w:ascii="Times New Roman" w:hAnsi="Times New Roman" w:eastAsia="方正仿宋_GBK" w:cs="Times New Roman"/>
          <w:color w:val="000000"/>
          <w:sz w:val="32"/>
          <w:szCs w:val="32"/>
          <w:lang w:eastAsia="zh-CN"/>
        </w:rPr>
        <w:t>在同等条件下，</w:t>
      </w:r>
      <w:r>
        <w:rPr>
          <w:rFonts w:ascii="Times New Roman" w:hAnsi="Times New Roman" w:eastAsia="方正仿宋_GBK" w:cs="Times New Roman"/>
          <w:color w:val="000000"/>
          <w:sz w:val="32"/>
          <w:szCs w:val="32"/>
        </w:rPr>
        <w:t>可</w:t>
      </w:r>
      <w:r>
        <w:rPr>
          <w:rFonts w:ascii="Times New Roman" w:hAnsi="Times New Roman" w:eastAsia="方正仿宋_GBK" w:cs="Times New Roman"/>
          <w:color w:val="000000"/>
          <w:sz w:val="32"/>
          <w:szCs w:val="32"/>
          <w:lang w:eastAsia="zh-CN"/>
        </w:rPr>
        <w:t>以</w:t>
      </w:r>
      <w:r>
        <w:rPr>
          <w:rFonts w:ascii="Times New Roman" w:hAnsi="Times New Roman" w:eastAsia="方正仿宋_GBK" w:cs="Times New Roman"/>
          <w:color w:val="000000"/>
          <w:sz w:val="32"/>
          <w:szCs w:val="32"/>
        </w:rPr>
        <w:t>优先许可给</w:t>
      </w:r>
      <w:r>
        <w:rPr>
          <w:rFonts w:ascii="Times New Roman" w:hAnsi="Times New Roman" w:eastAsia="方正仿宋_GBK" w:cs="Times New Roman"/>
          <w:color w:val="000000"/>
          <w:sz w:val="32"/>
          <w:szCs w:val="32"/>
          <w:lang w:eastAsia="zh-CN"/>
        </w:rPr>
        <w:t>最近</w:t>
      </w:r>
      <w:r>
        <w:rPr>
          <w:rFonts w:ascii="Times New Roman" w:hAnsi="Times New Roman" w:eastAsia="方正仿宋_GBK" w:cs="Times New Roman"/>
          <w:color w:val="000000"/>
          <w:sz w:val="32"/>
          <w:szCs w:val="32"/>
        </w:rPr>
        <w:t>两年信用等级为</w:t>
      </w:r>
      <w:r>
        <w:rPr>
          <w:rFonts w:ascii="Times New Roman" w:hAnsi="Times New Roman" w:eastAsia="方正仿宋_GBK" w:cs="Times New Roman"/>
          <w:color w:val="000000"/>
          <w:sz w:val="32"/>
          <w:szCs w:val="32"/>
          <w:lang w:val="en-US" w:eastAsia="zh-CN" w:bidi="en-US"/>
        </w:rPr>
        <w:t>AA</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巡游出租汽车车辆经营权到期后，</w:t>
      </w:r>
      <w:r>
        <w:rPr>
          <w:rFonts w:ascii="Times New Roman" w:hAnsi="Times New Roman" w:eastAsia="方正仿宋_GBK" w:cs="Times New Roman"/>
          <w:color w:val="000000"/>
          <w:sz w:val="32"/>
          <w:szCs w:val="32"/>
          <w:lang w:eastAsia="zh-CN"/>
        </w:rPr>
        <w:t>市、区县（自治县）交通主管部门</w:t>
      </w:r>
      <w:r>
        <w:rPr>
          <w:rFonts w:ascii="Times New Roman" w:hAnsi="Times New Roman" w:eastAsia="方正仿宋_GBK" w:cs="Times New Roman"/>
          <w:color w:val="000000"/>
          <w:sz w:val="32"/>
          <w:szCs w:val="32"/>
        </w:rPr>
        <w:t>审核巡游出租汽车经营者的</w:t>
      </w:r>
      <w:r>
        <w:rPr>
          <w:rFonts w:ascii="Times New Roman" w:hAnsi="Times New Roman" w:eastAsia="方正仿宋_GBK" w:cs="Times New Roman"/>
          <w:color w:val="000000"/>
          <w:sz w:val="32"/>
          <w:szCs w:val="32"/>
          <w:lang w:eastAsia="zh-CN"/>
        </w:rPr>
        <w:t>信用评价</w:t>
      </w:r>
      <w:r>
        <w:rPr>
          <w:rFonts w:ascii="Times New Roman" w:hAnsi="Times New Roman" w:eastAsia="方正仿宋_GBK" w:cs="Times New Roman"/>
          <w:color w:val="000000"/>
          <w:sz w:val="32"/>
          <w:szCs w:val="32"/>
        </w:rPr>
        <w:t>结果</w:t>
      </w:r>
      <w:r>
        <w:rPr>
          <w:rFonts w:ascii="Times New Roman" w:hAnsi="Times New Roman" w:eastAsia="方正仿宋_GBK" w:cs="Times New Roman"/>
          <w:color w:val="000000"/>
          <w:sz w:val="32"/>
          <w:szCs w:val="32"/>
          <w:lang w:eastAsia="zh-CN"/>
        </w:rPr>
        <w:t>（安全服务质量考核结果、服务质量信誉考核结果可按照本实施细则第九条规定进行对应后确认）</w:t>
      </w:r>
      <w:r>
        <w:rPr>
          <w:rFonts w:ascii="Times New Roman" w:hAnsi="Times New Roman" w:eastAsia="方正仿宋_GBK" w:cs="Times New Roman"/>
          <w:color w:val="000000"/>
          <w:sz w:val="32"/>
          <w:szCs w:val="32"/>
        </w:rPr>
        <w:t>，按照以下规定处理：</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（一）考核等级在经营期限内有</w:t>
      </w:r>
      <w:r>
        <w:rPr>
          <w:rFonts w:ascii="Times New Roman" w:hAnsi="Times New Roman" w:eastAsia="方正仿宋_GBK" w:cs="Times New Roman"/>
          <w:color w:val="000000"/>
          <w:sz w:val="32"/>
          <w:szCs w:val="32"/>
          <w:lang w:val="en-US" w:eastAsia="zh-CN"/>
        </w:rPr>
        <w:t>C</w:t>
      </w:r>
      <w:r>
        <w:rPr>
          <w:rFonts w:ascii="Times New Roman" w:hAnsi="Times New Roman" w:eastAsia="方正仿宋_GBK" w:cs="Times New Roman"/>
          <w:color w:val="000000"/>
          <w:sz w:val="32"/>
          <w:szCs w:val="32"/>
        </w:rPr>
        <w:t>级的，应当督促其加强内部管理，整改合格后准许其继续经营；</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lang w:eastAsia="zh-CN"/>
        </w:rPr>
        <w:t>评价</w:t>
      </w:r>
      <w:r>
        <w:rPr>
          <w:rFonts w:ascii="Times New Roman" w:hAnsi="Times New Roman" w:eastAsia="方正仿宋_GBK" w:cs="Times New Roman"/>
          <w:color w:val="000000"/>
          <w:sz w:val="32"/>
          <w:szCs w:val="32"/>
        </w:rPr>
        <w:t>等级在经营期限内有</w:t>
      </w:r>
      <w:r>
        <w:rPr>
          <w:rFonts w:ascii="Times New Roman" w:hAnsi="Times New Roman" w:eastAsia="方正仿宋_GBK" w:cs="Times New Roman"/>
          <w:color w:val="000000"/>
          <w:sz w:val="32"/>
          <w:szCs w:val="32"/>
          <w:lang w:val="en-US" w:eastAsia="zh-CN"/>
        </w:rPr>
        <w:t>D</w:t>
      </w:r>
      <w:r>
        <w:rPr>
          <w:rFonts w:ascii="Times New Roman" w:hAnsi="Times New Roman" w:eastAsia="方正仿宋_GBK" w:cs="Times New Roman"/>
          <w:color w:val="000000"/>
          <w:sz w:val="32"/>
          <w:szCs w:val="32"/>
        </w:rPr>
        <w:t>级或者一半以上为</w:t>
      </w:r>
      <w:r>
        <w:rPr>
          <w:rFonts w:ascii="Times New Roman" w:hAnsi="Times New Roman" w:eastAsia="方正仿宋_GBK" w:cs="Times New Roman"/>
          <w:color w:val="000000"/>
          <w:sz w:val="32"/>
          <w:szCs w:val="32"/>
          <w:lang w:val="en-US" w:eastAsia="zh-CN"/>
        </w:rPr>
        <w:t>C</w:t>
      </w:r>
      <w:r>
        <w:rPr>
          <w:rFonts w:ascii="Times New Roman" w:hAnsi="Times New Roman" w:eastAsia="方正仿宋_GBK" w:cs="Times New Roman"/>
          <w:color w:val="000000"/>
          <w:sz w:val="32"/>
          <w:szCs w:val="32"/>
        </w:rPr>
        <w:t>级的，可视情况适当核减车辆经营权；</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eastAsia="zh-CN"/>
        </w:rPr>
        <w:t>三</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eastAsia="zh-CN"/>
        </w:rPr>
        <w:t>评价</w:t>
      </w:r>
      <w:r>
        <w:rPr>
          <w:rFonts w:ascii="Times New Roman" w:hAnsi="Times New Roman" w:eastAsia="方正仿宋_GBK" w:cs="Times New Roman"/>
          <w:color w:val="000000"/>
          <w:sz w:val="32"/>
          <w:szCs w:val="32"/>
        </w:rPr>
        <w:t>等级在经营期限内有一半以上为</w:t>
      </w:r>
      <w:r>
        <w:rPr>
          <w:rFonts w:ascii="Times New Roman" w:hAnsi="Times New Roman" w:eastAsia="方正仿宋_GBK" w:cs="Times New Roman"/>
          <w:color w:val="000000"/>
          <w:sz w:val="32"/>
          <w:szCs w:val="32"/>
          <w:lang w:val="en-US" w:eastAsia="zh-CN"/>
        </w:rPr>
        <w:t>D</w:t>
      </w:r>
      <w:r>
        <w:rPr>
          <w:rFonts w:ascii="Times New Roman" w:hAnsi="Times New Roman" w:eastAsia="方正仿宋_GBK" w:cs="Times New Roman"/>
          <w:color w:val="000000"/>
          <w:sz w:val="32"/>
          <w:szCs w:val="32"/>
        </w:rPr>
        <w:t>级的，应当收回车辆经营权。</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  附  则</w:t>
      </w:r>
    </w:p>
    <w:p>
      <w:pPr>
        <w:pStyle w:val="17"/>
        <w:keepNext w:val="0"/>
        <w:keepLines w:val="0"/>
        <w:pageBreakBefore w:val="0"/>
        <w:widowControl w:val="0"/>
        <w:kinsoku/>
        <w:overflowPunct/>
        <w:topLinePunct w:val="0"/>
        <w:autoSpaceDE/>
        <w:autoSpaceDN/>
        <w:bidi w:val="0"/>
        <w:adjustRightInd/>
        <w:spacing w:line="570" w:lineRule="exact"/>
        <w:ind w:left="0" w:leftChars="0" w:firstLine="643" w:firstLineChars="200"/>
        <w:textAlignment w:val="auto"/>
        <w:rPr>
          <w:rFonts w:ascii="Times New Roman" w:hAnsi="Times New Roman" w:eastAsia="方正仿宋_GBK" w:cs="Times New Roman"/>
          <w:b/>
          <w:bCs/>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第三十二条 </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本实施细则下列用语含义：</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道路运输子行业是指道路旅客运输、道路货物运输（包含普通货物道路运输和危险货物道路运输）、出租汽车客运（包含巡游出租汽车和网约预约出租汽车）、公共汽车客运、机动车维修、机动车驾驶员培训、汽车租赁、道路旅客运输站和道路运输从业人员等行业（类别），以及与公共交通相关的城市轨道交通运营行业。</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（二）安全生产责任事故，是指道路运输和道路运输相关业务经营者或者从业人员在从事道路运输或者道路运输相关业务经营中发生负同等及以上责任的事故。</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污染责任事故是指由于经营者原因，造成有毒有害物质泄露、丢失、燃烧、爆炸等，对社会环境造成污染，造成国家和社会公众财产损失。造成较大污染，造成较大财产损失的为较大污染责任事故，造成重大及以上污染，造成重大及以上财产损失的为重大以上污染责任事故。</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服务质量事件是指由于经营者或者从业人员原因，对服务对象造成人身伤害或者财产损失，或者在社会上造成恶劣影响的服务质量事件。受到区县级政府或者市级政府相关部门通报的为重大服务质量事件，受到市级以上政府或者国家部委通报的为特大服务质量事件。</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第三十三条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道路运输从业人员信用评价等级对应交通运输部《道路运输驾驶员诚信考核办法》（交运规〔2022〕6号）诚信考核等级、《出租汽车服务质量信誉考核办法》（交运规〔2022〕2号）服务质量信誉考核等级如下：信用评价等级AA级对应诚信考核等级AAA级、服务质量信誉考核等级AAA级；信用评价A级对应诚信考核等级AA级、服务质量信誉考核等级AA级；信用评价等级B级对应诚信考核等级A级、服务质量信誉考核等级A级；信用评价等级C、D级对应诚信考核等级B级、服务质量信誉考核等级B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第三十四条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自20</w:t>
      </w:r>
      <w:r>
        <w:rPr>
          <w:rFonts w:ascii="Times New Roman" w:hAnsi="Times New Roman" w:eastAsia="方正仿宋_GBK" w:cs="Times New Roman"/>
          <w:color w:val="000000"/>
          <w:sz w:val="32"/>
          <w:szCs w:val="32"/>
          <w:lang w:val="en-US" w:eastAsia="zh-CN"/>
        </w:rPr>
        <w:t>24</w:t>
      </w:r>
      <w:r>
        <w:rPr>
          <w:rFonts w:ascii="Times New Roman" w:hAnsi="Times New Roman" w:eastAsia="方正仿宋_GBK" w:cs="Times New Roman"/>
          <w:color w:val="000000"/>
          <w:sz w:val="32"/>
          <w:szCs w:val="32"/>
        </w:rPr>
        <w:t>年</w:t>
      </w:r>
      <w:r>
        <w:rPr>
          <w:rFonts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月</w:t>
      </w:r>
      <w:r>
        <w:rPr>
          <w:rFonts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日起施行。</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附件：1-1</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重庆市道路旅客运输经营者信用评价标准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1-2</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重庆市普通货物道路运输经营者信用评价标准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1-3</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重庆市危险货物道路运输经营者信用评价标准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1-4</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重庆市公共汽车客运企业信用评价标准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1-5</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重庆市巡游出租汽车经营者信用评价标准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1-6</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重庆市网络预约出租汽车经营者（平台公司）信用评价标准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1-7</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重庆市城市轨道交通运营企业信用评价标准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1-8</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重庆市汽车客运站经营者信用评价标准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1-9</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重庆市机动车驾驶员培训机构信用评价标准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1-10</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重庆市机动车维修企业信用评价标准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1-11</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重庆市汽车租赁经营者（企业）信用评价标准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jc w:val="left"/>
        <w:textAlignment w:val="auto"/>
        <w:rPr>
          <w:rFonts w:ascii="Times New Roman" w:hAnsi="Times New Roman" w:eastAsia="方正仿宋_GBK" w:cs="Times New Roman"/>
          <w:color w:val="000000"/>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ascii="Times New Roman" w:hAnsi="Times New Roman" w:eastAsia="方正仿宋_GBK" w:cs="Times New Roman"/>
          <w:color w:val="000000"/>
          <w:sz w:val="32"/>
          <w:szCs w:val="32"/>
          <w:lang w:val="en-US" w:eastAsia="zh-CN"/>
        </w:rPr>
        <w:t>1-12</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重庆市道路运输从业人员（驾驶员）信用评价（诚信考核）标准</w:t>
      </w:r>
    </w:p>
    <w:p>
      <w:pPr>
        <w:jc w:val="left"/>
        <w:rPr>
          <w:rFonts w:eastAsia="方正小标宋_GBK"/>
          <w:bCs/>
          <w:color w:val="000000"/>
          <w:kern w:val="0"/>
          <w:sz w:val="44"/>
          <w:szCs w:val="44"/>
          <w:lang w:bidi="ar"/>
        </w:rPr>
      </w:pPr>
      <w:r>
        <w:rPr>
          <w:rFonts w:eastAsia="方正黑体_GBK"/>
          <w:color w:val="000000"/>
          <w:sz w:val="32"/>
          <w:szCs w:val="32"/>
        </w:rPr>
        <w:t>附件1-1</w:t>
      </w:r>
    </w:p>
    <w:p>
      <w:pPr>
        <w:spacing w:line="600" w:lineRule="exact"/>
        <w:jc w:val="center"/>
        <w:rPr>
          <w:rFonts w:eastAsia="方正小标宋_GBK"/>
          <w:bCs/>
          <w:color w:val="000000"/>
          <w:kern w:val="0"/>
          <w:sz w:val="44"/>
          <w:szCs w:val="44"/>
          <w:lang w:bidi="ar"/>
        </w:rPr>
      </w:pPr>
      <w:r>
        <w:rPr>
          <w:rFonts w:eastAsia="方正小标宋_GBK"/>
          <w:bCs/>
          <w:color w:val="000000"/>
          <w:kern w:val="0"/>
          <w:sz w:val="44"/>
          <w:szCs w:val="44"/>
          <w:lang w:bidi="ar"/>
        </w:rPr>
        <w:t>重庆市道路旅客运输经营者信用评价标准</w:t>
      </w:r>
    </w:p>
    <w:p>
      <w:pPr>
        <w:spacing w:line="600" w:lineRule="exact"/>
        <w:ind w:firstLine="280" w:firstLineChars="100"/>
        <w:jc w:val="left"/>
        <w:rPr>
          <w:bCs/>
          <w:color w:val="000000"/>
          <w:kern w:val="0"/>
          <w:sz w:val="32"/>
          <w:szCs w:val="32"/>
          <w:lang w:bidi="ar"/>
        </w:rPr>
      </w:pPr>
      <w:r>
        <w:rPr>
          <w:rFonts w:eastAsia="方正仿宋_GBK"/>
          <w:bCs/>
          <w:color w:val="000000"/>
          <w:kern w:val="0"/>
          <w:sz w:val="28"/>
          <w:szCs w:val="28"/>
          <w:lang w:bidi="ar"/>
        </w:rPr>
        <w:t>被评价企业：                                                            评价年度：</w:t>
      </w:r>
    </w:p>
    <w:p>
      <w:pPr>
        <w:pStyle w:val="2"/>
        <w:ind w:left="0" w:leftChars="0" w:firstLine="0" w:firstLineChars="0"/>
        <w:rPr>
          <w:rFonts w:hint="default"/>
          <w:lang w:val="en-US" w:eastAsia="zh-CN"/>
        </w:rPr>
      </w:pPr>
    </w:p>
    <w:tbl>
      <w:tblPr>
        <w:tblStyle w:val="11"/>
        <w:tblW w:w="13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59"/>
        <w:gridCol w:w="1299"/>
        <w:gridCol w:w="735"/>
        <w:gridCol w:w="5143"/>
        <w:gridCol w:w="610"/>
        <w:gridCol w:w="1196"/>
        <w:gridCol w:w="1744"/>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721" w:type="dxa"/>
            <w:noWrap w:val="0"/>
            <w:vAlign w:val="center"/>
          </w:tcPr>
          <w:p>
            <w:pPr>
              <w:spacing w:line="240" w:lineRule="exact"/>
              <w:jc w:val="center"/>
              <w:textAlignment w:val="center"/>
              <w:rPr>
                <w:rFonts w:eastAsia="黑体"/>
                <w:bCs/>
                <w:color w:val="000000"/>
                <w:kern w:val="0"/>
                <w:sz w:val="24"/>
                <w:lang w:bidi="ar"/>
              </w:rPr>
            </w:pPr>
            <w:r>
              <w:rPr>
                <w:rFonts w:eastAsia="黑体"/>
                <w:bCs/>
                <w:color w:val="000000"/>
                <w:kern w:val="0"/>
                <w:sz w:val="24"/>
                <w:lang w:bidi="ar"/>
              </w:rPr>
              <w:t>序号</w:t>
            </w:r>
          </w:p>
        </w:tc>
        <w:tc>
          <w:tcPr>
            <w:tcW w:w="1259" w:type="dxa"/>
            <w:noWrap w:val="0"/>
            <w:vAlign w:val="center"/>
          </w:tcPr>
          <w:p>
            <w:pPr>
              <w:spacing w:line="240" w:lineRule="exact"/>
              <w:jc w:val="center"/>
              <w:textAlignment w:val="center"/>
              <w:rPr>
                <w:rFonts w:eastAsia="黑体"/>
                <w:bCs/>
                <w:color w:val="000000"/>
                <w:kern w:val="0"/>
                <w:sz w:val="24"/>
                <w:lang w:bidi="ar"/>
              </w:rPr>
            </w:pPr>
            <w:r>
              <w:rPr>
                <w:rFonts w:eastAsia="黑体"/>
                <w:bCs/>
                <w:color w:val="000000"/>
                <w:kern w:val="0"/>
                <w:sz w:val="24"/>
                <w:lang w:bidi="ar"/>
              </w:rPr>
              <w:t>一级指标及分值</w:t>
            </w:r>
          </w:p>
        </w:tc>
        <w:tc>
          <w:tcPr>
            <w:tcW w:w="1299" w:type="dxa"/>
            <w:noWrap/>
            <w:vAlign w:val="center"/>
          </w:tcPr>
          <w:p>
            <w:pPr>
              <w:spacing w:line="240" w:lineRule="exact"/>
              <w:jc w:val="center"/>
              <w:textAlignment w:val="center"/>
              <w:rPr>
                <w:rFonts w:hint="eastAsia" w:eastAsia="黑体"/>
                <w:bCs/>
                <w:color w:val="000000"/>
                <w:kern w:val="0"/>
                <w:sz w:val="24"/>
                <w:lang w:bidi="ar"/>
              </w:rPr>
            </w:pPr>
            <w:r>
              <w:rPr>
                <w:rFonts w:eastAsia="黑体"/>
                <w:bCs/>
                <w:color w:val="000000"/>
                <w:kern w:val="0"/>
                <w:sz w:val="24"/>
                <w:lang w:bidi="ar"/>
              </w:rPr>
              <w:t>二级</w:t>
            </w:r>
          </w:p>
          <w:p>
            <w:pPr>
              <w:spacing w:line="240" w:lineRule="exact"/>
              <w:jc w:val="center"/>
              <w:textAlignment w:val="center"/>
              <w:rPr>
                <w:rFonts w:eastAsia="黑体"/>
                <w:bCs/>
                <w:color w:val="000000"/>
                <w:kern w:val="0"/>
                <w:sz w:val="24"/>
                <w:lang w:bidi="ar"/>
              </w:rPr>
            </w:pPr>
            <w:r>
              <w:rPr>
                <w:rFonts w:eastAsia="黑体"/>
                <w:bCs/>
                <w:color w:val="000000"/>
                <w:kern w:val="0"/>
                <w:sz w:val="24"/>
                <w:lang w:bidi="ar"/>
              </w:rPr>
              <w:t>指标</w:t>
            </w:r>
          </w:p>
        </w:tc>
        <w:tc>
          <w:tcPr>
            <w:tcW w:w="735" w:type="dxa"/>
            <w:noWrap/>
            <w:vAlign w:val="center"/>
          </w:tcPr>
          <w:p>
            <w:pPr>
              <w:spacing w:line="240" w:lineRule="exact"/>
              <w:jc w:val="center"/>
              <w:textAlignment w:val="center"/>
              <w:rPr>
                <w:rFonts w:eastAsia="黑体"/>
                <w:bCs/>
                <w:color w:val="000000"/>
                <w:kern w:val="0"/>
                <w:sz w:val="24"/>
                <w:lang w:bidi="ar"/>
              </w:rPr>
            </w:pPr>
            <w:r>
              <w:rPr>
                <w:rFonts w:eastAsia="黑体"/>
                <w:bCs/>
                <w:color w:val="000000"/>
                <w:kern w:val="0"/>
                <w:sz w:val="24"/>
                <w:lang w:bidi="ar"/>
              </w:rPr>
              <w:t>分值</w:t>
            </w:r>
          </w:p>
        </w:tc>
        <w:tc>
          <w:tcPr>
            <w:tcW w:w="5753" w:type="dxa"/>
            <w:gridSpan w:val="2"/>
            <w:noWrap w:val="0"/>
            <w:vAlign w:val="center"/>
          </w:tcPr>
          <w:p>
            <w:pPr>
              <w:spacing w:line="240" w:lineRule="exact"/>
              <w:jc w:val="center"/>
              <w:textAlignment w:val="center"/>
              <w:rPr>
                <w:rFonts w:eastAsia="黑体"/>
                <w:bCs/>
                <w:color w:val="000000"/>
                <w:kern w:val="0"/>
                <w:sz w:val="24"/>
                <w:lang w:bidi="ar"/>
              </w:rPr>
            </w:pPr>
            <w:r>
              <w:rPr>
                <w:rFonts w:eastAsia="黑体"/>
                <w:bCs/>
                <w:color w:val="000000"/>
                <w:kern w:val="0"/>
                <w:sz w:val="24"/>
                <w:lang w:bidi="ar"/>
              </w:rPr>
              <w:t>评分标准</w:t>
            </w:r>
          </w:p>
        </w:tc>
        <w:tc>
          <w:tcPr>
            <w:tcW w:w="2940" w:type="dxa"/>
            <w:gridSpan w:val="2"/>
            <w:noWrap/>
            <w:vAlign w:val="center"/>
          </w:tcPr>
          <w:p>
            <w:pPr>
              <w:spacing w:line="240" w:lineRule="exact"/>
              <w:jc w:val="center"/>
              <w:textAlignment w:val="center"/>
              <w:rPr>
                <w:rFonts w:eastAsia="黑体"/>
                <w:bCs/>
                <w:color w:val="000000"/>
                <w:kern w:val="0"/>
                <w:sz w:val="24"/>
                <w:lang w:bidi="ar"/>
              </w:rPr>
            </w:pPr>
            <w:r>
              <w:rPr>
                <w:rFonts w:eastAsia="黑体"/>
                <w:bCs/>
                <w:color w:val="000000"/>
                <w:kern w:val="0"/>
                <w:sz w:val="24"/>
                <w:lang w:bidi="ar"/>
              </w:rPr>
              <w:t>数据来源</w:t>
            </w:r>
          </w:p>
        </w:tc>
        <w:tc>
          <w:tcPr>
            <w:tcW w:w="695" w:type="dxa"/>
            <w:noWrap/>
            <w:vAlign w:val="center"/>
          </w:tcPr>
          <w:p>
            <w:pPr>
              <w:spacing w:line="240" w:lineRule="exact"/>
              <w:jc w:val="center"/>
              <w:textAlignment w:val="center"/>
              <w:rPr>
                <w:rFonts w:eastAsia="黑体"/>
                <w:bCs/>
                <w:color w:val="000000"/>
                <w:kern w:val="0"/>
                <w:sz w:val="24"/>
                <w:lang w:val="en" w:bidi="ar"/>
              </w:rPr>
            </w:pPr>
            <w:r>
              <w:rPr>
                <w:rFonts w:eastAsia="黑体"/>
                <w:bCs/>
                <w:color w:val="000000"/>
                <w:kern w:val="0"/>
                <w:sz w:val="24"/>
                <w:lang w:val="e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w:t>
            </w:r>
          </w:p>
        </w:tc>
        <w:tc>
          <w:tcPr>
            <w:tcW w:w="1259" w:type="dxa"/>
            <w:vMerge w:val="restart"/>
            <w:noWrap w:val="0"/>
            <w:vAlign w:val="center"/>
          </w:tcPr>
          <w:p>
            <w:pPr>
              <w:spacing w:line="240" w:lineRule="exact"/>
              <w:jc w:val="center"/>
              <w:textAlignment w:val="center"/>
              <w:rPr>
                <w:rStyle w:val="18"/>
              </w:rPr>
            </w:pPr>
            <w:r>
              <w:rPr>
                <w:rStyle w:val="18"/>
              </w:rPr>
              <w:t>经营管理</w:t>
            </w:r>
          </w:p>
          <w:p>
            <w:pPr>
              <w:spacing w:line="240" w:lineRule="exact"/>
              <w:jc w:val="center"/>
              <w:textAlignment w:val="center"/>
              <w:rPr>
                <w:rFonts w:eastAsia="方正楷体_GBK"/>
                <w:b/>
                <w:bCs/>
                <w:color w:val="000000"/>
                <w:kern w:val="0"/>
                <w:sz w:val="22"/>
                <w:szCs w:val="22"/>
                <w:lang w:bidi="ar"/>
              </w:rPr>
            </w:pPr>
            <w:r>
              <w:rPr>
                <w:rStyle w:val="18"/>
              </w:rPr>
              <w:t>（30分）</w:t>
            </w: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年度安全生产目标</w:t>
            </w:r>
          </w:p>
        </w:tc>
        <w:tc>
          <w:tcPr>
            <w:tcW w:w="735" w:type="dxa"/>
            <w:vMerge w:val="restart"/>
            <w:noWrap w:val="0"/>
            <w:vAlign w:val="center"/>
          </w:tcPr>
          <w:p>
            <w:pPr>
              <w:spacing w:line="240" w:lineRule="exact"/>
              <w:jc w:val="center"/>
              <w:textAlignment w:val="center"/>
              <w:rPr>
                <w:rFonts w:eastAsia="方正楷体_GBK"/>
                <w:color w:val="000000"/>
                <w:kern w:val="0"/>
                <w:sz w:val="24"/>
                <w:lang w:bidi="ar"/>
              </w:rPr>
            </w:pPr>
            <w:r>
              <w:rPr>
                <w:rFonts w:eastAsia="方正楷体_GBK"/>
                <w:color w:val="000000"/>
                <w:kern w:val="0"/>
                <w:sz w:val="24"/>
                <w:lang w:bidi="ar"/>
              </w:rPr>
              <w:t>并项记分</w:t>
            </w: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企业应当制定年度安全生产目标，未制定扣5分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top"/>
          </w:tcPr>
          <w:p>
            <w:pPr>
              <w:spacing w:line="240" w:lineRule="exact"/>
              <w:ind w:firstLine="241" w:firstLineChars="100"/>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安全目标考核</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企业应当依照年度安全生产目标中的规定，对各部门、各岗位人员进行安全目标考核，未公布考核结果及奖惩情况扣5分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ind w:firstLine="241" w:firstLineChars="100"/>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安全生产目标责任书</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企业应当与驾驶员签订安全生产责任书，每缺一人扣1分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4</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安全生产领导机构</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企业应当依法设置安全生产领导机构，未设置扣5分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ind w:firstLine="241" w:firstLineChars="100"/>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5</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安全生产管理机构</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企业应当依法设置安全生产管理机构或者配备专职安全生产管理人员，未设置并且未配备扣10分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top"/>
          </w:tcPr>
          <w:p>
            <w:pPr>
              <w:pStyle w:val="4"/>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6</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车辆技术管理机构</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20辆（含）以上客运车辆的客运企业应当设置车辆技术管理机构，未设置扣5分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top"/>
          </w:tcPr>
          <w:p>
            <w:pPr>
              <w:pStyle w:val="2"/>
              <w:spacing w:after="0" w:line="240" w:lineRule="exact"/>
              <w:ind w:left="0" w:leftChars="0"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7</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动态监控人员</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企业应当配备不低于2人的专职动态监控人员，未配备扣2分，每缺1人扣1分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8</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车辆技术管理人员</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企业应当配备车辆技术管理人员，每50辆/人，最低不少于1人，未配备扣5分，每缺1人扣1分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9</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安全生产工作会议</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企业应当定期召开安全生产工作会议，未召开扣1分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10</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安全例会</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企业应当定期召开安全例会，未召开扣1分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11</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机动车交通事故责任强制保险</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企业应当投保机动车交通事故责任强制保险，每缺一车扣1分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12</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承运人责任险</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企业应当按法规要求，为营运车辆投保承运人责任险，每缺一车扣1分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13</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安全费用提取记录</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企业应当以上年度实际营业收入为计提依据，按照1.5%标准平均逐月提取和使用安全费用，未编制年度安全费用提取记录扣1分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14</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安全费用使用记录</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企业按要求提取和使用安全费用，未编制安全费用使用台账使用记录扣1分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15</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应急救援预案</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企业制定应急救援预案，未制定扣5分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16</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应急预案演练</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企业应当定期组织应急演练，每年至少一次综合应急预案演练或者专项应急预案演练，每半年至少组织一次现场处置方案演练，每缺少1次扣1分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17</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隐患排查治理档案</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企业应当编制隐患排查治理档案，未编制扣1分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18</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从业资格证</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从业人员应当经考试合格，取得从业资格证才能上岗，每缺一人扣1分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19</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机动车驾驶证</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从业人员应当经考试合格，取得相应车型机动车驾驶证才能上岗，每缺一人扣1分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20</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岗前培训</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从业人员岗前培训不少于24学时，每缺1人扣1分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21</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安全教育培训</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驾驶员每月安全教育培训不少于3小时，每缺1人扣1分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22</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教育培训档案</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企业应当编制教育培训档案，每缺1人扣1分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23</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从业行为定期考核</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企业应当每3个月对驾驶员进行从业行为定期考核，每缺1人扣1分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24</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驾驶员信息档案</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企业应应当制定驾驶员信息档案，每缺一人扣1分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25</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车辆营运证</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机动车应当有合法有效的车辆营运证，每缺一车扣1分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26</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车辆技术</w:t>
            </w:r>
          </w:p>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档案</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企业应当制定车辆技术档案，每缺一车扣1分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27</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车辆二级</w:t>
            </w:r>
          </w:p>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维护</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企业应当按规定对车辆进行二级维护，每缺一车扣1分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28</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综合性能</w:t>
            </w:r>
          </w:p>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检测</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企业应当每年当对车辆进行综合性能检测，每缺一车扣1分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29</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客运线路信息台账</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企业应当编制客运线路信息台账，未编制扣1分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30</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动态监控</w:t>
            </w:r>
          </w:p>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台账</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企业应当编制动态监控台账，未编制扣1分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31</w:t>
            </w:r>
          </w:p>
        </w:tc>
        <w:tc>
          <w:tcPr>
            <w:tcW w:w="1259" w:type="dxa"/>
            <w:vMerge w:val="restart"/>
            <w:noWrap w:val="0"/>
            <w:vAlign w:val="center"/>
          </w:tcPr>
          <w:p>
            <w:pPr>
              <w:spacing w:line="240" w:lineRule="exact"/>
              <w:jc w:val="center"/>
              <w:textAlignment w:val="center"/>
              <w:rPr>
                <w:rStyle w:val="18"/>
              </w:rPr>
            </w:pPr>
            <w:r>
              <w:rPr>
                <w:rStyle w:val="18"/>
              </w:rPr>
              <w:t>安全生产</w:t>
            </w:r>
          </w:p>
          <w:p>
            <w:pPr>
              <w:spacing w:line="240" w:lineRule="exact"/>
              <w:jc w:val="center"/>
              <w:textAlignment w:val="center"/>
              <w:rPr>
                <w:rFonts w:eastAsia="方正楷体_GBK"/>
                <w:b/>
                <w:bCs/>
                <w:color w:val="000000"/>
                <w:sz w:val="22"/>
                <w:szCs w:val="22"/>
              </w:rPr>
            </w:pPr>
            <w:r>
              <w:rPr>
                <w:rStyle w:val="18"/>
              </w:rPr>
              <w:t>（30分）</w:t>
            </w: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挂牌督办</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5分</w:t>
            </w: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考核周期内被列为中央、国家相关部门挂牌督办的，信用评价为C级，被市级相关部门挂牌督办的扣2.5分，被区（县）级相关部门挂牌督办的扣1分。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正式通报、文件通知</w:t>
            </w:r>
          </w:p>
        </w:tc>
        <w:tc>
          <w:tcPr>
            <w:tcW w:w="695" w:type="dxa"/>
            <w:noWrap w:val="0"/>
            <w:vAlign w:val="center"/>
          </w:tcPr>
          <w:p>
            <w:pPr>
              <w:spacing w:line="240" w:lineRule="exact"/>
              <w:ind w:firstLine="241" w:firstLineChars="100"/>
              <w:jc w:val="left"/>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32</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行政处罚情况</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15分</w:t>
            </w:r>
          </w:p>
        </w:tc>
        <w:tc>
          <w:tcPr>
            <w:tcW w:w="5753" w:type="dxa"/>
            <w:gridSpan w:val="2"/>
            <w:noWrap/>
            <w:vAlign w:val="center"/>
          </w:tcPr>
          <w:p>
            <w:pPr>
              <w:spacing w:line="240" w:lineRule="exact"/>
              <w:jc w:val="left"/>
              <w:textAlignment w:val="center"/>
              <w:rPr>
                <w:rFonts w:eastAsia="方正仿宋_GBK"/>
                <w:color w:val="000000"/>
                <w:spacing w:val="-4"/>
                <w:kern w:val="0"/>
                <w:sz w:val="22"/>
                <w:szCs w:val="22"/>
                <w:lang w:bidi="ar"/>
              </w:rPr>
            </w:pPr>
            <w:r>
              <w:rPr>
                <w:rFonts w:eastAsia="方正仿宋_GBK"/>
                <w:color w:val="000000"/>
                <w:kern w:val="0"/>
                <w:sz w:val="22"/>
                <w:szCs w:val="22"/>
                <w:lang w:bidi="ar"/>
              </w:rPr>
              <w:t>企</w:t>
            </w:r>
            <w:r>
              <w:rPr>
                <w:rFonts w:eastAsia="方正仿宋_GBK"/>
                <w:color w:val="000000"/>
                <w:spacing w:val="-4"/>
                <w:kern w:val="0"/>
                <w:sz w:val="22"/>
                <w:szCs w:val="22"/>
                <w:lang w:bidi="ar"/>
              </w:rPr>
              <w:t>业营运客车交通违法率，每达到0.01次/车，扣0.5分；</w:t>
            </w:r>
          </w:p>
          <w:p>
            <w:pPr>
              <w:spacing w:line="240" w:lineRule="exact"/>
              <w:jc w:val="left"/>
              <w:textAlignment w:val="center"/>
              <w:rPr>
                <w:rFonts w:eastAsia="方正仿宋_GBK"/>
                <w:color w:val="000000"/>
                <w:kern w:val="0"/>
                <w:sz w:val="22"/>
                <w:szCs w:val="22"/>
                <w:lang w:bidi="ar"/>
              </w:rPr>
            </w:pPr>
            <w:r>
              <w:rPr>
                <w:rFonts w:eastAsia="方正仿宋_GBK"/>
                <w:color w:val="000000"/>
                <w:spacing w:val="-4"/>
                <w:kern w:val="0"/>
                <w:sz w:val="22"/>
                <w:szCs w:val="22"/>
                <w:lang w:bidi="ar"/>
              </w:rPr>
              <w:t>在考核周期届满时，存在未履行交通运输行政处罚决定的，按照该交通运输行政处罚信用扣分标准，再次扣除相应分数。</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日常检查，日常信息收集，投诉信息汇总或数据信息共享</w:t>
            </w:r>
          </w:p>
        </w:tc>
        <w:tc>
          <w:tcPr>
            <w:tcW w:w="695" w:type="dxa"/>
            <w:noWrap w:val="0"/>
            <w:vAlign w:val="top"/>
          </w:tcPr>
          <w:p>
            <w:pPr>
              <w:spacing w:line="240" w:lineRule="exact"/>
              <w:ind w:firstLine="241" w:firstLineChars="100"/>
              <w:jc w:val="left"/>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33</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责任事故情况</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10分</w:t>
            </w: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发生道路旅客运输交通责任事故的（同等责任及以上），事故率每达到0.01次/车，扣2分。企业发生道路旅客运输亡人责任事故（同等责任及以上），死亡率每达到0.01人/车扣5分，发生拖延报告亡人事故的，每次扣1分；存在瞒报、谎报亡人事故的，每次扣2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日常检查，日常信息收集，投诉信息汇总或数据信息共享</w:t>
            </w:r>
          </w:p>
        </w:tc>
        <w:tc>
          <w:tcPr>
            <w:tcW w:w="695" w:type="dxa"/>
            <w:noWrap w:val="0"/>
            <w:vAlign w:val="top"/>
          </w:tcPr>
          <w:p>
            <w:pPr>
              <w:spacing w:line="240" w:lineRule="exact"/>
              <w:ind w:firstLine="241" w:firstLineChars="100"/>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1" w:type="dxa"/>
            <w:noWrap/>
            <w:vAlign w:val="center"/>
          </w:tcPr>
          <w:p>
            <w:pPr>
              <w:spacing w:line="240" w:lineRule="exact"/>
              <w:jc w:val="center"/>
              <w:textAlignment w:val="center"/>
              <w:rPr>
                <w:color w:val="000000"/>
                <w:sz w:val="22"/>
                <w:szCs w:val="22"/>
              </w:rPr>
            </w:pPr>
            <w:r>
              <w:rPr>
                <w:color w:val="000000"/>
                <w:kern w:val="0"/>
                <w:sz w:val="22"/>
                <w:szCs w:val="22"/>
                <w:lang w:bidi="ar"/>
              </w:rPr>
              <w:t>34</w:t>
            </w:r>
          </w:p>
        </w:tc>
        <w:tc>
          <w:tcPr>
            <w:tcW w:w="1259" w:type="dxa"/>
            <w:vMerge w:val="restart"/>
            <w:noWrap w:val="0"/>
            <w:vAlign w:val="center"/>
          </w:tcPr>
          <w:p>
            <w:pPr>
              <w:spacing w:line="240" w:lineRule="exact"/>
              <w:jc w:val="center"/>
              <w:textAlignment w:val="center"/>
              <w:rPr>
                <w:rStyle w:val="18"/>
              </w:rPr>
            </w:pPr>
            <w:r>
              <w:rPr>
                <w:rStyle w:val="18"/>
              </w:rPr>
              <w:t>服务质量</w:t>
            </w:r>
          </w:p>
          <w:p>
            <w:pPr>
              <w:spacing w:line="240" w:lineRule="exact"/>
              <w:jc w:val="center"/>
              <w:textAlignment w:val="center"/>
              <w:rPr>
                <w:rFonts w:eastAsia="方正楷体_GBK"/>
                <w:b/>
                <w:bCs/>
                <w:color w:val="000000"/>
                <w:kern w:val="0"/>
                <w:sz w:val="22"/>
                <w:szCs w:val="22"/>
                <w:lang w:bidi="ar"/>
              </w:rPr>
            </w:pPr>
            <w:r>
              <w:rPr>
                <w:rStyle w:val="18"/>
              </w:rPr>
              <w:t>（30分）</w:t>
            </w: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服务质量</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有责投诉率</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10分</w:t>
            </w:r>
          </w:p>
        </w:tc>
        <w:tc>
          <w:tcPr>
            <w:tcW w:w="5753"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企业服务质量有责投诉率每增加0.01次/车，扣2分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95" w:type="dxa"/>
            <w:noWrap w:val="0"/>
            <w:vAlign w:val="center"/>
          </w:tcPr>
          <w:p>
            <w:pPr>
              <w:spacing w:line="240" w:lineRule="exact"/>
              <w:jc w:val="center"/>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35</w:t>
            </w:r>
          </w:p>
        </w:tc>
        <w:tc>
          <w:tcPr>
            <w:tcW w:w="1259" w:type="dxa"/>
            <w:vMerge w:val="continue"/>
            <w:noWrap w:val="0"/>
            <w:vAlign w:val="center"/>
          </w:tcPr>
          <w:p>
            <w:pPr>
              <w:spacing w:line="240" w:lineRule="exact"/>
              <w:jc w:val="center"/>
              <w:rPr>
                <w:rFonts w:eastAsia="方正楷体_GBK"/>
                <w:b/>
                <w:bCs/>
                <w:color w:val="000000"/>
                <w:sz w:val="22"/>
                <w:szCs w:val="22"/>
              </w:rPr>
            </w:pP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服务事件</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20分</w:t>
            </w:r>
          </w:p>
        </w:tc>
        <w:tc>
          <w:tcPr>
            <w:tcW w:w="5753"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企业在道路旅客运输过程中，发生服务事件被辖区有关部门通报的，每次扣5分。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95" w:type="dxa"/>
            <w:noWrap w:val="0"/>
            <w:vAlign w:val="top"/>
          </w:tcPr>
          <w:p>
            <w:pPr>
              <w:spacing w:line="240" w:lineRule="exact"/>
              <w:ind w:firstLine="210" w:firstLineChars="1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36</w:t>
            </w:r>
          </w:p>
        </w:tc>
        <w:tc>
          <w:tcPr>
            <w:tcW w:w="1259" w:type="dxa"/>
            <w:vMerge w:val="restart"/>
            <w:noWrap w:val="0"/>
            <w:vAlign w:val="center"/>
          </w:tcPr>
          <w:p>
            <w:pPr>
              <w:spacing w:line="240" w:lineRule="exact"/>
              <w:jc w:val="center"/>
              <w:textAlignment w:val="center"/>
              <w:rPr>
                <w:rFonts w:eastAsia="方正楷体_GBK"/>
                <w:b/>
                <w:bCs/>
                <w:color w:val="000000"/>
                <w:kern w:val="0"/>
                <w:sz w:val="22"/>
                <w:szCs w:val="22"/>
                <w:lang w:bidi="ar"/>
              </w:rPr>
            </w:pPr>
            <w:r>
              <w:rPr>
                <w:rStyle w:val="18"/>
              </w:rPr>
              <w:t>社会责任（10分）</w:t>
            </w: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行业稳定维护情况</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6分</w:t>
            </w: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因经营行为引发集访的，每次扣2分；引发行业稳定的，每次扣6分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行业信息收集</w:t>
            </w:r>
          </w:p>
        </w:tc>
        <w:tc>
          <w:tcPr>
            <w:tcW w:w="695" w:type="dxa"/>
            <w:noWrap w:val="0"/>
            <w:vAlign w:val="center"/>
          </w:tcPr>
          <w:p>
            <w:pPr>
              <w:spacing w:line="24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37</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 xml:space="preserve">落实行业管理要求 </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4分</w:t>
            </w: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不按照行业管理的要求或者行业自律安排，在落实工作责任或者维护行业运营秩序方面存在问题，被交通行业管理部门通报的，轻微事项的每次扣0.5分，情形严重的每次扣1分；被行政部门约谈的，每次加扣1分，约谈后仍不整改的，每次加扣2分。未按要求落实双重预防机制的，每次扣2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行业信息收集</w:t>
            </w:r>
          </w:p>
        </w:tc>
        <w:tc>
          <w:tcPr>
            <w:tcW w:w="695" w:type="dxa"/>
            <w:noWrap w:val="0"/>
            <w:vAlign w:val="center"/>
          </w:tcPr>
          <w:p>
            <w:pPr>
              <w:spacing w:line="240" w:lineRule="exact"/>
              <w:ind w:firstLine="200" w:firstLineChars="100"/>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38</w:t>
            </w:r>
          </w:p>
        </w:tc>
        <w:tc>
          <w:tcPr>
            <w:tcW w:w="1259" w:type="dxa"/>
            <w:vMerge w:val="restart"/>
            <w:noWrap w:val="0"/>
            <w:vAlign w:val="center"/>
          </w:tcPr>
          <w:p>
            <w:pPr>
              <w:spacing w:line="240" w:lineRule="exact"/>
              <w:jc w:val="center"/>
              <w:rPr>
                <w:rFonts w:eastAsia="方正楷体_GBK"/>
                <w:b/>
                <w:bCs/>
                <w:color w:val="000000"/>
                <w:sz w:val="22"/>
                <w:szCs w:val="22"/>
              </w:rPr>
            </w:pPr>
            <w:r>
              <w:rPr>
                <w:rStyle w:val="18"/>
              </w:rPr>
              <w:t>加分项</w:t>
            </w: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行业正面典型及荣誉表彰情况</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p>
        </w:tc>
        <w:tc>
          <w:tcPr>
            <w:tcW w:w="5753"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经营过程中获得了荣誉或通报表彰的，国家级每次加2分；部级或市级政府每次加1分；市级部门或区县政府级加0.5分；区县部门级加0.2分。同一行为多层次表彰的，以最高级别奖励的标准加分。（最高不超过2.5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企业提交资料</w:t>
            </w:r>
          </w:p>
        </w:tc>
        <w:tc>
          <w:tcPr>
            <w:tcW w:w="695" w:type="dxa"/>
            <w:noWrap w:val="0"/>
            <w:vAlign w:val="center"/>
          </w:tcPr>
          <w:p>
            <w:pPr>
              <w:spacing w:line="24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39</w:t>
            </w:r>
          </w:p>
        </w:tc>
        <w:tc>
          <w:tcPr>
            <w:tcW w:w="1259" w:type="dxa"/>
            <w:vMerge w:val="continue"/>
            <w:noWrap w:val="0"/>
            <w:vAlign w:val="center"/>
          </w:tcPr>
          <w:p>
            <w:pPr>
              <w:spacing w:line="240" w:lineRule="exact"/>
              <w:jc w:val="center"/>
              <w:rPr>
                <w:rFonts w:eastAsia="方正楷体_GBK"/>
                <w:b/>
                <w:bCs/>
                <w:color w:val="000000"/>
                <w:sz w:val="22"/>
                <w:szCs w:val="22"/>
              </w:rPr>
            </w:pP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新闻媒体正面报道</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p>
        </w:tc>
        <w:tc>
          <w:tcPr>
            <w:tcW w:w="5753"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企业工作人员出现好人好事被新闻媒体报道的，国家级每件次加0.5分；市级每件次加0.3分；区县级每件次加0.1分。同一事迹多层次报道的，以最高级别媒体报道的标准加分。（最高不超过2.5分）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企业提交资料</w:t>
            </w:r>
          </w:p>
        </w:tc>
        <w:tc>
          <w:tcPr>
            <w:tcW w:w="695" w:type="dxa"/>
            <w:noWrap w:val="0"/>
            <w:vAlign w:val="center"/>
          </w:tcPr>
          <w:p>
            <w:pPr>
              <w:spacing w:line="24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21" w:type="dxa"/>
            <w:noWrap/>
            <w:vAlign w:val="center"/>
          </w:tcPr>
          <w:p>
            <w:pPr>
              <w:spacing w:line="240" w:lineRule="exact"/>
              <w:jc w:val="center"/>
              <w:rPr>
                <w:rFonts w:eastAsia="方正楷体_GBK"/>
                <w:b/>
                <w:bCs/>
                <w:color w:val="000000"/>
                <w:sz w:val="22"/>
                <w:szCs w:val="22"/>
              </w:rPr>
            </w:pPr>
            <w:r>
              <w:rPr>
                <w:rFonts w:eastAsia="方正楷体_GBK"/>
                <w:b/>
                <w:bCs/>
                <w:color w:val="000000"/>
                <w:sz w:val="22"/>
                <w:szCs w:val="22"/>
              </w:rPr>
              <w:t>合计</w:t>
            </w:r>
          </w:p>
        </w:tc>
        <w:tc>
          <w:tcPr>
            <w:tcW w:w="1259" w:type="dxa"/>
            <w:noWrap w:val="0"/>
            <w:vAlign w:val="center"/>
          </w:tcPr>
          <w:p>
            <w:pPr>
              <w:spacing w:line="240" w:lineRule="exact"/>
              <w:jc w:val="center"/>
              <w:rPr>
                <w:rFonts w:eastAsia="方正楷体_GBK"/>
                <w:b/>
                <w:bCs/>
                <w:color w:val="000000"/>
                <w:sz w:val="22"/>
                <w:szCs w:val="22"/>
              </w:rPr>
            </w:pPr>
            <w:r>
              <w:rPr>
                <w:rFonts w:eastAsia="方正楷体_GBK"/>
                <w:b/>
                <w:bCs/>
                <w:color w:val="000000"/>
                <w:sz w:val="22"/>
                <w:szCs w:val="22"/>
              </w:rPr>
              <w:t>100分</w:t>
            </w:r>
          </w:p>
        </w:tc>
        <w:tc>
          <w:tcPr>
            <w:tcW w:w="1299" w:type="dxa"/>
            <w:noWrap w:val="0"/>
            <w:vAlign w:val="center"/>
          </w:tcPr>
          <w:p>
            <w:pPr>
              <w:spacing w:line="240" w:lineRule="exact"/>
              <w:jc w:val="center"/>
              <w:textAlignment w:val="center"/>
              <w:rPr>
                <w:rFonts w:eastAsia="方正仿宋_GBK"/>
                <w:color w:val="000000"/>
                <w:kern w:val="0"/>
                <w:sz w:val="22"/>
                <w:szCs w:val="22"/>
                <w:lang w:bidi="ar"/>
              </w:rPr>
            </w:pPr>
          </w:p>
        </w:tc>
        <w:tc>
          <w:tcPr>
            <w:tcW w:w="735"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100分</w:t>
            </w:r>
          </w:p>
        </w:tc>
        <w:tc>
          <w:tcPr>
            <w:tcW w:w="5753" w:type="dxa"/>
            <w:gridSpan w:val="2"/>
            <w:noWrap w:val="0"/>
            <w:vAlign w:val="center"/>
          </w:tcPr>
          <w:p>
            <w:pPr>
              <w:spacing w:line="240" w:lineRule="exact"/>
              <w:jc w:val="left"/>
              <w:textAlignment w:val="center"/>
              <w:rPr>
                <w:rFonts w:eastAsia="方正仿宋_GBK"/>
                <w:color w:val="000000"/>
                <w:kern w:val="0"/>
                <w:sz w:val="22"/>
                <w:szCs w:val="22"/>
                <w:lang w:bidi="ar"/>
              </w:rPr>
            </w:pP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p>
        </w:tc>
        <w:tc>
          <w:tcPr>
            <w:tcW w:w="695" w:type="dxa"/>
            <w:noWrap w:val="0"/>
            <w:vAlign w:val="center"/>
          </w:tcPr>
          <w:p>
            <w:pPr>
              <w:spacing w:line="24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980" w:type="dxa"/>
            <w:gridSpan w:val="2"/>
            <w:vMerge w:val="restart"/>
            <w:noWrap/>
            <w:vAlign w:val="center"/>
          </w:tcPr>
          <w:p>
            <w:pPr>
              <w:spacing w:line="240" w:lineRule="exact"/>
              <w:jc w:val="center"/>
              <w:rPr>
                <w:rFonts w:eastAsia="方正楷体_GBK"/>
                <w:b/>
                <w:bCs/>
                <w:color w:val="000000"/>
                <w:sz w:val="22"/>
                <w:szCs w:val="22"/>
              </w:rPr>
            </w:pPr>
            <w:r>
              <w:rPr>
                <w:rFonts w:eastAsia="方正楷体_GBK"/>
                <w:b/>
                <w:bCs/>
                <w:color w:val="000000"/>
                <w:sz w:val="22"/>
                <w:szCs w:val="22"/>
              </w:rPr>
              <w:t>评价结论</w:t>
            </w: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123" w:type="dxa"/>
            <w:gridSpan w:val="6"/>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80" w:type="dxa"/>
            <w:gridSpan w:val="2"/>
            <w:vMerge w:val="continue"/>
            <w:noWrap/>
            <w:vAlign w:val="center"/>
          </w:tcPr>
          <w:p>
            <w:pPr>
              <w:spacing w:line="240" w:lineRule="exact"/>
              <w:jc w:val="center"/>
              <w:rPr>
                <w:rFonts w:eastAsia="方正楷体_GBK"/>
                <w:b/>
                <w:bCs/>
                <w:color w:val="000000"/>
                <w:sz w:val="22"/>
                <w:szCs w:val="22"/>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10123" w:type="dxa"/>
            <w:gridSpan w:val="6"/>
            <w:noWrap w:val="0"/>
            <w:vAlign w:val="center"/>
          </w:tcPr>
          <w:p>
            <w:pPr>
              <w:spacing w:line="24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80" w:type="dxa"/>
            <w:gridSpan w:val="2"/>
            <w:vMerge w:val="continue"/>
            <w:noWrap/>
            <w:vAlign w:val="center"/>
          </w:tcPr>
          <w:p>
            <w:pPr>
              <w:spacing w:line="240" w:lineRule="exact"/>
              <w:jc w:val="center"/>
              <w:rPr>
                <w:rFonts w:eastAsia="方正楷体_GBK"/>
                <w:b/>
                <w:bCs/>
                <w:color w:val="000000"/>
                <w:sz w:val="22"/>
                <w:szCs w:val="22"/>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878" w:type="dxa"/>
            <w:gridSpan w:val="2"/>
            <w:noWrap w:val="0"/>
            <w:vAlign w:val="center"/>
          </w:tcPr>
          <w:p>
            <w:pPr>
              <w:spacing w:line="240" w:lineRule="exact"/>
              <w:jc w:val="center"/>
              <w:textAlignment w:val="center"/>
              <w:rPr>
                <w:rFonts w:eastAsia="方正仿宋_GBK"/>
                <w:color w:val="000000"/>
                <w:kern w:val="0"/>
                <w:sz w:val="22"/>
                <w:szCs w:val="22"/>
                <w:lang w:bidi="ar"/>
              </w:rPr>
            </w:pPr>
          </w:p>
        </w:tc>
        <w:tc>
          <w:tcPr>
            <w:tcW w:w="1806"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2439" w:type="dxa"/>
            <w:gridSpan w:val="2"/>
            <w:noWrap w:val="0"/>
            <w:vAlign w:val="center"/>
          </w:tcPr>
          <w:p>
            <w:pPr>
              <w:spacing w:line="240" w:lineRule="exact"/>
              <w:jc w:val="center"/>
              <w:rPr>
                <w:rFonts w:eastAsia="仿宋_GB2312"/>
                <w:color w:val="000000"/>
                <w:sz w:val="20"/>
              </w:rPr>
            </w:pPr>
            <w:r>
              <w:rPr>
                <w:rFonts w:eastAsia="仿宋_GB2312"/>
                <w:color w:val="000000"/>
                <w:sz w:val="20"/>
              </w:rPr>
              <w:t xml:space="preserve">         年    月    日</w:t>
            </w:r>
          </w:p>
        </w:tc>
      </w:tr>
    </w:tbl>
    <w:p>
      <w:pPr>
        <w:pStyle w:val="4"/>
        <w:rPr>
          <w:rFonts w:hint="default"/>
          <w:lang w:val="en-US" w:eastAsia="zh-CN"/>
        </w:rPr>
      </w:pPr>
    </w:p>
    <w:p>
      <w:pPr>
        <w:pStyle w:val="4"/>
        <w:rPr>
          <w:rFonts w:hint="default"/>
          <w:lang w:val="en-US" w:eastAsia="zh-CN"/>
        </w:rPr>
        <w:sectPr>
          <w:pgSz w:w="16838" w:h="11906" w:orient="landscape"/>
          <w:pgMar w:top="1587" w:right="1962" w:bottom="1474" w:left="1848" w:header="567" w:footer="340" w:gutter="0"/>
          <w:pgNumType w:fmt="numberInDash"/>
          <w:cols w:space="0" w:num="1"/>
          <w:docGrid w:type="lines" w:linePitch="316" w:charSpace="0"/>
        </w:sectPr>
      </w:pPr>
    </w:p>
    <w:p>
      <w:pPr>
        <w:jc w:val="left"/>
        <w:rPr>
          <w:rFonts w:eastAsia="方正黑体_GBK"/>
          <w:bCs/>
          <w:color w:val="000000"/>
          <w:kern w:val="0"/>
          <w:sz w:val="44"/>
          <w:szCs w:val="44"/>
          <w:lang w:bidi="ar"/>
        </w:rPr>
      </w:pPr>
      <w:r>
        <w:rPr>
          <w:rFonts w:eastAsia="方正黑体_GBK"/>
          <w:color w:val="000000"/>
          <w:sz w:val="32"/>
          <w:szCs w:val="32"/>
        </w:rPr>
        <w:t>附件1-2</w:t>
      </w:r>
    </w:p>
    <w:p>
      <w:pPr>
        <w:spacing w:line="600" w:lineRule="exact"/>
        <w:jc w:val="center"/>
        <w:rPr>
          <w:rStyle w:val="20"/>
          <w:rFonts w:hint="default" w:ascii="Times New Roman" w:hAnsi="Times New Roman" w:cs="Times New Roman"/>
          <w:b/>
          <w:bCs/>
          <w:sz w:val="44"/>
          <w:szCs w:val="44"/>
        </w:rPr>
      </w:pPr>
      <w:r>
        <w:rPr>
          <w:rFonts w:eastAsia="方正小标宋_GBK"/>
          <w:color w:val="000000"/>
          <w:kern w:val="0"/>
          <w:sz w:val="44"/>
          <w:szCs w:val="44"/>
          <w:lang w:bidi="ar"/>
        </w:rPr>
        <w:t>重庆市普通货物道路运输经营者信用评价标准</w:t>
      </w:r>
    </w:p>
    <w:p>
      <w:pPr>
        <w:widowControl/>
        <w:spacing w:line="600" w:lineRule="exact"/>
        <w:jc w:val="left"/>
        <w:textAlignment w:val="center"/>
        <w:rPr>
          <w:rStyle w:val="20"/>
          <w:rFonts w:hint="default" w:ascii="Times New Roman" w:hAnsi="Times New Roman" w:cs="Times New Roman"/>
        </w:rPr>
      </w:pPr>
      <w:r>
        <w:rPr>
          <w:rStyle w:val="20"/>
          <w:rFonts w:hint="default" w:ascii="Times New Roman" w:hAnsi="Times New Roman" w:cs="Times New Roman"/>
        </w:rPr>
        <w:t>被评价企业（业户）：                                                   评价年度：</w:t>
      </w:r>
    </w:p>
    <w:tbl>
      <w:tblPr>
        <w:tblStyle w:val="11"/>
        <w:tblW w:w="13430" w:type="dxa"/>
        <w:jc w:val="center"/>
        <w:tblLayout w:type="autofit"/>
        <w:tblCellMar>
          <w:top w:w="0" w:type="dxa"/>
          <w:left w:w="0" w:type="dxa"/>
          <w:bottom w:w="0" w:type="dxa"/>
          <w:right w:w="0" w:type="dxa"/>
        </w:tblCellMar>
      </w:tblPr>
      <w:tblGrid>
        <w:gridCol w:w="667"/>
        <w:gridCol w:w="1130"/>
        <w:gridCol w:w="1795"/>
        <w:gridCol w:w="663"/>
        <w:gridCol w:w="5669"/>
        <w:gridCol w:w="2670"/>
        <w:gridCol w:w="836"/>
      </w:tblGrid>
      <w:tr>
        <w:tblPrEx>
          <w:tblCellMar>
            <w:top w:w="0" w:type="dxa"/>
            <w:left w:w="0" w:type="dxa"/>
            <w:bottom w:w="0" w:type="dxa"/>
            <w:right w:w="0" w:type="dxa"/>
          </w:tblCellMar>
        </w:tblPrEx>
        <w:trPr>
          <w:trHeight w:val="394" w:hRule="atLeast"/>
          <w:tblHeader/>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left"/>
              <w:textAlignment w:val="center"/>
              <w:rPr>
                <w:rFonts w:eastAsia="黑体"/>
                <w:color w:val="000000"/>
                <w:sz w:val="24"/>
              </w:rPr>
            </w:pPr>
            <w:r>
              <w:rPr>
                <w:rStyle w:val="21"/>
                <w:rFonts w:hint="default" w:ascii="Times New Roman" w:hAnsi="Times New Roman" w:eastAsia="黑体" w:cs="Times New Roman"/>
                <w:color w:val="000000"/>
              </w:rPr>
              <w:t>序号</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21"/>
                <w:rFonts w:hint="default" w:ascii="Times New Roman" w:hAnsi="Times New Roman" w:eastAsia="黑体" w:cs="Times New Roman"/>
                <w:color w:val="000000"/>
              </w:rPr>
              <w:t>一级指标及分值</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21"/>
                <w:rFonts w:hint="default" w:ascii="Times New Roman" w:hAnsi="Times New Roman" w:eastAsia="黑体" w:cs="Times New Roman"/>
                <w:color w:val="000000"/>
              </w:rPr>
              <w:t>二级指标</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21"/>
                <w:rFonts w:hint="default" w:ascii="Times New Roman" w:hAnsi="Times New Roman" w:eastAsia="黑体" w:cs="Times New Roman"/>
                <w:color w:val="000000"/>
              </w:rPr>
              <w:t>分值</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21"/>
                <w:rFonts w:hint="default" w:ascii="Times New Roman" w:hAnsi="Times New Roman" w:eastAsia="黑体" w:cs="Times New Roman"/>
                <w:color w:val="000000"/>
              </w:rPr>
              <w:t>评分标准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22"/>
                <w:rFonts w:hint="default" w:ascii="Times New Roman" w:hAnsi="Times New Roman" w:eastAsia="黑体" w:cs="Times New Roman"/>
                <w:color w:val="000000"/>
              </w:rPr>
              <w:t>数据来源</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eastAsia="黑体"/>
                <w:color w:val="000000"/>
                <w:sz w:val="24"/>
              </w:rPr>
            </w:pPr>
            <w:r>
              <w:rPr>
                <w:rFonts w:eastAsia="方正黑体_GBK"/>
                <w:szCs w:val="21"/>
              </w:rPr>
              <w:t>得分</w:t>
            </w: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w:t>
            </w:r>
          </w:p>
        </w:tc>
        <w:tc>
          <w:tcPr>
            <w:tcW w:w="11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Style w:val="18"/>
              </w:rPr>
            </w:pPr>
            <w:r>
              <w:rPr>
                <w:rStyle w:val="18"/>
              </w:rPr>
              <w:t>经营管理</w:t>
            </w:r>
          </w:p>
          <w:p>
            <w:pPr>
              <w:widowControl/>
              <w:spacing w:line="260" w:lineRule="exact"/>
              <w:jc w:val="center"/>
              <w:textAlignment w:val="center"/>
              <w:rPr>
                <w:rFonts w:eastAsia="方正楷体_GBK"/>
                <w:color w:val="000000"/>
                <w:sz w:val="22"/>
                <w:szCs w:val="22"/>
              </w:rPr>
            </w:pPr>
            <w:r>
              <w:rPr>
                <w:rStyle w:val="18"/>
              </w:rPr>
              <w:t>（55分）</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车辆审验超期率</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大于0且小于等于0.01的，扣2分，每增加0.01，加扣0.5分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重庆道路运输综合管理与服务系统自动统计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2</w:t>
            </w:r>
          </w:p>
        </w:tc>
        <w:tc>
          <w:tcPr>
            <w:tcW w:w="113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eastAsia="方正楷体_GBK"/>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车辆动态监管情况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考核周期内动态监督管理考核月平均分÷100×本项分值</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重庆道路运输综合管理与服务系统自动统计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1085"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3</w:t>
            </w:r>
          </w:p>
        </w:tc>
        <w:tc>
          <w:tcPr>
            <w:tcW w:w="113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eastAsia="方正楷体_GBK"/>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行政处罚情况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2"/>
              <w:spacing w:after="0" w:line="260" w:lineRule="exact"/>
              <w:ind w:left="0" w:leftChars="0" w:firstLine="0" w:firstLineChars="0"/>
              <w:rPr>
                <w:rStyle w:val="23"/>
                <w:rFonts w:hint="default" w:ascii="Times New Roman" w:hAnsi="Times New Roman" w:cs="Times New Roman"/>
              </w:rPr>
            </w:pPr>
            <w:r>
              <w:rPr>
                <w:rStyle w:val="23"/>
                <w:rFonts w:hint="default" w:ascii="Times New Roman" w:hAnsi="Times New Roman" w:cs="Times New Roman"/>
              </w:rPr>
              <w:t>违法违规率：大于0且小于等于0.01次/车的，扣2分，每增加0.01次/车，加扣0.5分;</w:t>
            </w:r>
          </w:p>
          <w:p>
            <w:pPr>
              <w:pStyle w:val="2"/>
              <w:spacing w:after="0" w:line="260" w:lineRule="exact"/>
              <w:ind w:left="0" w:leftChars="0" w:firstLine="0" w:firstLineChars="0"/>
              <w:rPr>
                <w:rStyle w:val="23"/>
                <w:rFonts w:hint="default" w:ascii="Times New Roman" w:hAnsi="Times New Roman" w:cs="Times New Roman"/>
              </w:rPr>
            </w:pPr>
            <w:r>
              <w:rPr>
                <w:rStyle w:val="23"/>
                <w:rFonts w:hint="default" w:ascii="Times New Roman" w:hAnsi="Times New Roman" w:cs="Times New Roman"/>
              </w:rPr>
              <w:t>在考核周期届满时，存在未履行交通运输行政处罚决定的，按照该交通运输行政处罚信用扣分标准，再次扣除相应分数。</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交通、公安部门执法数据共享或日常收集统计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260" w:lineRule="exact"/>
              <w:rPr>
                <w:b/>
                <w:bCs/>
                <w:color w:val="000000"/>
                <w:sz w:val="22"/>
                <w:szCs w:val="22"/>
              </w:rPr>
            </w:pPr>
          </w:p>
        </w:tc>
      </w:tr>
      <w:tr>
        <w:tblPrEx>
          <w:tblCellMar>
            <w:top w:w="0" w:type="dxa"/>
            <w:left w:w="0" w:type="dxa"/>
            <w:bottom w:w="0" w:type="dxa"/>
            <w:right w:w="0" w:type="dxa"/>
          </w:tblCellMar>
        </w:tblPrEx>
        <w:trPr>
          <w:trHeight w:val="407"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4</w:t>
            </w:r>
          </w:p>
        </w:tc>
        <w:tc>
          <w:tcPr>
            <w:tcW w:w="113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eastAsia="方正楷体_GBK"/>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车辆维护情况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未按规定进行维护的，大于0且小于等于0.01次/车的，扣2分，每增加0.01次/车，加扣0.5分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交通部门检查日常收集统计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32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113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eastAsia="方正楷体_GBK"/>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车辆超标排放比例情况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超标排放车辆占货运车辆总数10%以上的，扣5分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市生态环境部门数据共享</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6</w:t>
            </w:r>
          </w:p>
        </w:tc>
        <w:tc>
          <w:tcPr>
            <w:tcW w:w="113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eastAsia="方正楷体_GBK"/>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车辆超标排放抽测情况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存在3次抽测超标车辆的，扣0.5分/车</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市生态环境部门数据共享</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37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7</w:t>
            </w:r>
          </w:p>
        </w:tc>
        <w:tc>
          <w:tcPr>
            <w:tcW w:w="113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18"/>
              </w:rPr>
              <w:t>安全生产（ 35分）</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安全隐患排查情况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eastAsia="方正仿宋_GBK"/>
                <w:color w:val="000000"/>
                <w:sz w:val="22"/>
                <w:szCs w:val="22"/>
              </w:rPr>
            </w:pPr>
            <w:r>
              <w:rPr>
                <w:rStyle w:val="23"/>
                <w:rFonts w:hint="default" w:ascii="Times New Roman" w:hAnsi="Times New Roman" w:cs="Times New Roman"/>
              </w:rPr>
              <w:t>每发现1起一般安全隐患的，扣0.5分，较大安全隐患扣1分，重大安全隐患扣3分；未按要求落实双重预防机制，扣2分。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Fonts w:eastAsia="方正仿宋_GBK"/>
                <w:color w:val="000000"/>
                <w:sz w:val="22"/>
                <w:szCs w:val="22"/>
              </w:rPr>
              <w:t>交通部门检查日常收集统计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ind w:firstLine="221" w:firstLineChars="100"/>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8</w:t>
            </w:r>
          </w:p>
        </w:tc>
        <w:tc>
          <w:tcPr>
            <w:tcW w:w="1130" w:type="dxa"/>
            <w:vMerge w:val="continue"/>
            <w:tcBorders>
              <w:left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交通责任事故死亡率</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大于0且小于等于0.01人/车的，扣2分，每增加0.01人/车，加扣1分。发生拖延报告亡人事故的，每次扣1分；存在瞒报、谎报亡人事故的，每次扣2分。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公安部门数据共享或行业管理日常收集统计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ind w:firstLine="221" w:firstLineChars="100"/>
              <w:jc w:val="left"/>
              <w:rPr>
                <w:b/>
                <w:bCs/>
                <w:color w:val="000000"/>
                <w:sz w:val="22"/>
                <w:szCs w:val="22"/>
              </w:rPr>
            </w:pPr>
          </w:p>
        </w:tc>
      </w:tr>
      <w:tr>
        <w:tblPrEx>
          <w:tblCellMar>
            <w:top w:w="0" w:type="dxa"/>
            <w:left w:w="0" w:type="dxa"/>
            <w:bottom w:w="0" w:type="dxa"/>
            <w:right w:w="0"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9</w:t>
            </w:r>
          </w:p>
        </w:tc>
        <w:tc>
          <w:tcPr>
            <w:tcW w:w="1130" w:type="dxa"/>
            <w:vMerge w:val="continue"/>
            <w:tcBorders>
              <w:left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交通责任事故伤人率</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大于0且小于等于0.01人/车的，扣1分，每增加0.01人/车，加扣0.5分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公安部门数据共享或行业管理日常收集统计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453"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113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eastAsia="方正黑体_GBK"/>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挂牌督办</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每出现一次挂牌督办的，扣1分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行业管理日常收集统计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ind w:firstLine="220" w:firstLineChars="100"/>
              <w:jc w:val="left"/>
              <w:rPr>
                <w:color w:val="000000"/>
                <w:sz w:val="22"/>
                <w:szCs w:val="22"/>
              </w:rPr>
            </w:pPr>
          </w:p>
        </w:tc>
      </w:tr>
      <w:tr>
        <w:tblPrEx>
          <w:tblCellMar>
            <w:top w:w="0" w:type="dxa"/>
            <w:left w:w="0" w:type="dxa"/>
            <w:bottom w:w="0" w:type="dxa"/>
            <w:right w:w="0" w:type="dxa"/>
          </w:tblCellMar>
        </w:tblPrEx>
        <w:trPr>
          <w:trHeight w:val="37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11</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Style w:val="18"/>
              </w:rPr>
            </w:pPr>
            <w:r>
              <w:rPr>
                <w:rStyle w:val="18"/>
              </w:rPr>
              <w:t>服务质量</w:t>
            </w:r>
          </w:p>
          <w:p>
            <w:pPr>
              <w:widowControl/>
              <w:spacing w:line="260" w:lineRule="exact"/>
              <w:jc w:val="center"/>
              <w:textAlignment w:val="center"/>
              <w:rPr>
                <w:color w:val="000000"/>
                <w:sz w:val="22"/>
                <w:szCs w:val="22"/>
              </w:rPr>
            </w:pPr>
            <w:r>
              <w:rPr>
                <w:rStyle w:val="18"/>
              </w:rPr>
              <w:t>（5分）</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有责投诉</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每出现1次有责投诉的，扣0.5分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行业管理日常收集统计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ind w:firstLine="221" w:firstLineChars="100"/>
              <w:jc w:val="left"/>
              <w:rPr>
                <w:b/>
                <w:bCs/>
                <w:color w:val="000000"/>
                <w:sz w:val="22"/>
                <w:szCs w:val="22"/>
              </w:rPr>
            </w:pPr>
          </w:p>
        </w:tc>
      </w:tr>
      <w:tr>
        <w:tblPrEx>
          <w:tblCellMar>
            <w:top w:w="0" w:type="dxa"/>
            <w:left w:w="0" w:type="dxa"/>
            <w:bottom w:w="0" w:type="dxa"/>
            <w:right w:w="0" w:type="dxa"/>
          </w:tblCellMar>
        </w:tblPrEx>
        <w:trPr>
          <w:trHeight w:val="638"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12</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社会责任 （5分）</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企业稳定情况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由于企业管理原因，导致发生违反《信访工作条例》规定、出现过激行为，情节不严重的，每次扣1分。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信访、公安等部门数据共享或行业管理日常收集统计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ind w:firstLine="220" w:firstLineChars="100"/>
              <w:jc w:val="left"/>
              <w:rPr>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13</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4"/>
                <w:rFonts w:hint="default" w:ascii="Times New Roman" w:hAnsi="Times New Roman" w:cs="Times New Roman"/>
                <w:color w:val="000000"/>
              </w:rPr>
              <w:t>加分项目</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政府指令性运输任务完成情况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对完成指令性应急运输任务达到政府指令要求且未出现安全责任事故的，加5分（最高不超过5分）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5"/>
                <w:rFonts w:hint="default" w:ascii="Times New Roman" w:hAnsi="Times New Roman" w:cs="Times New Roman"/>
                <w:color w:val="000000"/>
              </w:rPr>
              <w:t>行业管理日常收集统计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37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left"/>
              <w:textAlignment w:val="center"/>
              <w:rPr>
                <w:rFonts w:eastAsia="方正楷体_GBK"/>
                <w:color w:val="000000"/>
                <w:sz w:val="22"/>
                <w:szCs w:val="22"/>
              </w:rPr>
            </w:pPr>
            <w:r>
              <w:rPr>
                <w:rFonts w:eastAsia="方正楷体_GBK"/>
                <w:color w:val="000000"/>
                <w:sz w:val="22"/>
                <w:szCs w:val="22"/>
              </w:rPr>
              <w:t>合计</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6"/>
              </w:rPr>
              <w:t>100</w:t>
            </w:r>
            <w:r>
              <w:rPr>
                <w:rStyle w:val="27"/>
                <w:rFonts w:hint="default" w:ascii="Times New Roman" w:hAnsi="Times New Roman" w:cs="Times New Roman"/>
                <w:color w:val="000000"/>
              </w:rPr>
              <w:t>分</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2"/>
                <w:szCs w:val="22"/>
              </w:rPr>
            </w:pP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6"/>
              </w:rPr>
              <w:t>100</w:t>
            </w:r>
            <w:r>
              <w:rPr>
                <w:rStyle w:val="27"/>
                <w:rFonts w:hint="default" w:ascii="Times New Roman" w:hAnsi="Times New Roman" w:cs="Times New Roman"/>
                <w:color w:val="000000"/>
              </w:rPr>
              <w:t>分</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color w:val="000000"/>
                <w:sz w:val="22"/>
                <w:szCs w:val="22"/>
              </w:rPr>
            </w:pP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color w:val="000000"/>
                <w:sz w:val="22"/>
                <w:szCs w:val="22"/>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color w:val="000000"/>
                <w:sz w:val="22"/>
                <w:szCs w:val="22"/>
              </w:rPr>
            </w:pPr>
          </w:p>
        </w:tc>
      </w:tr>
      <w:tr>
        <w:tblPrEx>
          <w:tblCellMar>
            <w:top w:w="0" w:type="dxa"/>
            <w:left w:w="0" w:type="dxa"/>
            <w:bottom w:w="0" w:type="dxa"/>
            <w:right w:w="0" w:type="dxa"/>
          </w:tblCellMar>
        </w:tblPrEx>
        <w:trPr>
          <w:trHeight w:val="284" w:hRule="atLeast"/>
          <w:jc w:val="center"/>
        </w:trPr>
        <w:tc>
          <w:tcPr>
            <w:tcW w:w="179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4"/>
              </w:rPr>
            </w:pPr>
            <w:r>
              <w:rPr>
                <w:rStyle w:val="21"/>
                <w:rFonts w:hint="default" w:ascii="Times New Roman" w:hAnsi="Times New Roman" w:cs="Times New Roman"/>
              </w:rPr>
              <w:t>评价结论</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8"/>
                <w:rFonts w:hint="default" w:ascii="Times New Roman" w:hAnsi="Times New Roman" w:cs="Times New Roman"/>
                <w:color w:val="000000"/>
              </w:rPr>
              <w:t>考核等级</w:t>
            </w:r>
          </w:p>
        </w:tc>
        <w:tc>
          <w:tcPr>
            <w:tcW w:w="9838"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AA□                  A□                 B□                 C□                     D□</w:t>
            </w:r>
          </w:p>
        </w:tc>
      </w:tr>
      <w:tr>
        <w:tblPrEx>
          <w:tblCellMar>
            <w:top w:w="0" w:type="dxa"/>
            <w:left w:w="0" w:type="dxa"/>
            <w:bottom w:w="0" w:type="dxa"/>
            <w:right w:w="0" w:type="dxa"/>
          </w:tblCellMar>
        </w:tblPrEx>
        <w:trPr>
          <w:trHeight w:val="284" w:hRule="atLeast"/>
          <w:jc w:val="center"/>
        </w:trPr>
        <w:tc>
          <w:tcPr>
            <w:tcW w:w="1797"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4"/>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8"/>
                <w:rFonts w:hint="default" w:ascii="Times New Roman" w:hAnsi="Times New Roman" w:cs="Times New Roman"/>
                <w:color w:val="000000"/>
              </w:rPr>
              <w:t>评价机构名称</w:t>
            </w:r>
          </w:p>
        </w:tc>
        <w:tc>
          <w:tcPr>
            <w:tcW w:w="9838"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2"/>
                <w:szCs w:val="22"/>
              </w:rPr>
            </w:pPr>
          </w:p>
        </w:tc>
      </w:tr>
      <w:tr>
        <w:tblPrEx>
          <w:tblCellMar>
            <w:top w:w="0" w:type="dxa"/>
            <w:left w:w="0" w:type="dxa"/>
            <w:bottom w:w="0" w:type="dxa"/>
            <w:right w:w="0" w:type="dxa"/>
          </w:tblCellMar>
        </w:tblPrEx>
        <w:trPr>
          <w:trHeight w:val="284" w:hRule="atLeast"/>
          <w:jc w:val="center"/>
        </w:trPr>
        <w:tc>
          <w:tcPr>
            <w:tcW w:w="1797"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4"/>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8"/>
                <w:rFonts w:hint="default" w:ascii="Times New Roman" w:hAnsi="Times New Roman" w:cs="Times New Roman"/>
                <w:color w:val="000000"/>
              </w:rPr>
              <w:t>经办人</w:t>
            </w:r>
          </w:p>
        </w:tc>
        <w:tc>
          <w:tcPr>
            <w:tcW w:w="633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2"/>
                <w:szCs w:val="22"/>
              </w:rPr>
            </w:pP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8"/>
                <w:rFonts w:hint="default" w:ascii="Times New Roman" w:hAnsi="Times New Roman" w:cs="Times New Roman"/>
                <w:color w:val="000000"/>
              </w:rPr>
              <w:t>评价日期</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2"/>
                <w:szCs w:val="22"/>
              </w:rPr>
            </w:pPr>
          </w:p>
        </w:tc>
      </w:tr>
    </w:tbl>
    <w:p>
      <w:pPr>
        <w:spacing w:line="260" w:lineRule="exact"/>
        <w:ind w:firstLine="480" w:firstLineChars="200"/>
        <w:rPr>
          <w:rStyle w:val="29"/>
          <w:rFonts w:hint="default" w:ascii="Times New Roman" w:hAnsi="Times New Roman" w:cs="Times New Roman"/>
          <w:color w:val="000000"/>
        </w:rPr>
      </w:pPr>
      <w:r>
        <w:rPr>
          <w:rStyle w:val="29"/>
          <w:rFonts w:hint="default" w:ascii="Times New Roman" w:hAnsi="Times New Roman" w:cs="Times New Roman"/>
          <w:color w:val="000000"/>
        </w:rPr>
        <w:t>备注（相关指标释义）：</w:t>
      </w:r>
    </w:p>
    <w:p>
      <w:pPr>
        <w:spacing w:line="260" w:lineRule="exact"/>
        <w:ind w:firstLine="480" w:firstLineChars="200"/>
        <w:rPr>
          <w:rStyle w:val="29"/>
          <w:rFonts w:hint="default" w:ascii="Times New Roman" w:hAnsi="Times New Roman" w:cs="Times New Roman"/>
          <w:color w:val="000000"/>
        </w:rPr>
      </w:pPr>
      <w:r>
        <w:rPr>
          <w:rStyle w:val="29"/>
          <w:rFonts w:hint="default" w:ascii="Times New Roman" w:hAnsi="Times New Roman" w:cs="Times New Roman"/>
          <w:color w:val="000000"/>
        </w:rPr>
        <w:t>一、道路运输机构需建立的信用档案包括：《重庆道路货物运输经营者信用考核综合评价表》、表内非系统自动统计数据记录的相关佐证材料、区县道路运输机构在日常管理工作中收集的普通货物道路运输经营者（以下简称货运经营者）信用考核相关信息（资料）等。信用考核档案保存期限不少于3年。</w:t>
      </w:r>
    </w:p>
    <w:p>
      <w:pPr>
        <w:spacing w:line="260" w:lineRule="exact"/>
        <w:ind w:firstLine="480" w:firstLineChars="200"/>
        <w:rPr>
          <w:rStyle w:val="29"/>
          <w:rFonts w:hint="default" w:ascii="Times New Roman" w:hAnsi="Times New Roman" w:cs="Times New Roman"/>
          <w:color w:val="000000"/>
        </w:rPr>
      </w:pPr>
      <w:r>
        <w:rPr>
          <w:rStyle w:val="29"/>
          <w:rFonts w:hint="default" w:ascii="Times New Roman" w:hAnsi="Times New Roman" w:cs="Times New Roman"/>
          <w:color w:val="000000"/>
        </w:rPr>
        <w:t>二、违法违规指：货运经营者、货运从业人员违反道路交通安全及道路运输相关法律法规的规定，受到行政处罚的行为。</w:t>
      </w:r>
    </w:p>
    <w:p>
      <w:pPr>
        <w:spacing w:line="260" w:lineRule="exact"/>
        <w:ind w:firstLine="480" w:firstLineChars="200"/>
        <w:rPr>
          <w:rStyle w:val="29"/>
          <w:rFonts w:hint="default" w:ascii="Times New Roman" w:hAnsi="Times New Roman" w:cs="Times New Roman"/>
          <w:color w:val="000000"/>
        </w:rPr>
      </w:pPr>
      <w:r>
        <w:rPr>
          <w:rStyle w:val="29"/>
          <w:rFonts w:hint="default" w:ascii="Times New Roman" w:hAnsi="Times New Roman" w:cs="Times New Roman"/>
          <w:color w:val="000000"/>
        </w:rPr>
        <w:t>三、交通责任事故指：考核周期内货运经营者承担同责及同责以上、有人员伤亡的交通事故。</w:t>
      </w:r>
    </w:p>
    <w:p>
      <w:pPr>
        <w:pStyle w:val="5"/>
        <w:rPr>
          <w:rStyle w:val="29"/>
          <w:rFonts w:hint="default" w:ascii="Times New Roman" w:hAnsi="Times New Roman" w:cs="Times New Roman"/>
          <w:color w:val="000000"/>
        </w:rPr>
      </w:pPr>
      <w:r>
        <w:rPr>
          <w:rStyle w:val="29"/>
          <w:rFonts w:hint="default" w:ascii="Times New Roman" w:hAnsi="Times New Roman" w:cs="Times New Roman"/>
          <w:color w:val="000000"/>
        </w:rPr>
        <w:t>四、有责投诉指：货运经营者、货运从业人员违反有关规定，损害他人正当权益，货主、其他相关人向交通行业管理部门进行投诉，或者新闻媒体对经营者的服务质量事件曝光，经查证，属于货运经营者或者从业人员责任的。</w:t>
      </w:r>
    </w:p>
    <w:p>
      <w:pPr>
        <w:rPr>
          <w:rStyle w:val="29"/>
          <w:rFonts w:hint="default" w:ascii="Times New Roman" w:hAnsi="Times New Roman" w:cs="Times New Roman"/>
          <w:color w:val="000000"/>
        </w:rPr>
      </w:pPr>
      <w:r>
        <w:rPr>
          <w:rStyle w:val="29"/>
          <w:rFonts w:hint="default" w:ascii="Times New Roman" w:hAnsi="Times New Roman" w:cs="Times New Roman"/>
          <w:color w:val="000000"/>
        </w:rPr>
        <w:br w:type="page"/>
      </w:r>
    </w:p>
    <w:p>
      <w:pPr>
        <w:jc w:val="left"/>
        <w:rPr>
          <w:rFonts w:eastAsia="方正黑体_GBK"/>
          <w:color w:val="000000"/>
          <w:sz w:val="32"/>
          <w:szCs w:val="32"/>
        </w:rPr>
      </w:pPr>
      <w:r>
        <w:rPr>
          <w:rFonts w:eastAsia="方正黑体_GBK"/>
          <w:color w:val="000000"/>
          <w:sz w:val="32"/>
          <w:szCs w:val="32"/>
        </w:rPr>
        <w:t>附件1-3</w:t>
      </w:r>
    </w:p>
    <w:p>
      <w:pPr>
        <w:spacing w:line="600" w:lineRule="exact"/>
        <w:jc w:val="center"/>
        <w:rPr>
          <w:rFonts w:eastAsia="方正黑体_GBK"/>
          <w:color w:val="000000"/>
          <w:sz w:val="44"/>
          <w:szCs w:val="44"/>
        </w:rPr>
      </w:pPr>
      <w:r>
        <w:rPr>
          <w:rFonts w:eastAsia="方正小标宋_GBK"/>
          <w:color w:val="000000"/>
          <w:kern w:val="0"/>
          <w:sz w:val="44"/>
          <w:szCs w:val="44"/>
          <w:lang w:bidi="ar"/>
        </w:rPr>
        <w:t>重庆市危险货物道路运输经营者信用评价标准</w:t>
      </w:r>
    </w:p>
    <w:p>
      <w:pPr>
        <w:widowControl/>
        <w:spacing w:line="600" w:lineRule="exact"/>
        <w:textAlignment w:val="center"/>
        <w:rPr>
          <w:rStyle w:val="30"/>
          <w:rFonts w:hint="default" w:ascii="Times New Roman" w:hAnsi="Times New Roman" w:cs="Times New Roman"/>
          <w:sz w:val="32"/>
          <w:szCs w:val="32"/>
          <w:lang w:bidi="ar"/>
        </w:rPr>
      </w:pPr>
      <w:r>
        <w:rPr>
          <w:rStyle w:val="30"/>
          <w:rFonts w:hint="default" w:ascii="Times New Roman" w:hAnsi="Times New Roman" w:cs="Times New Roman"/>
          <w:lang w:bidi="ar"/>
        </w:rPr>
        <w:t xml:space="preserve">被评价企业：  </w:t>
      </w:r>
      <w:r>
        <w:rPr>
          <w:rStyle w:val="30"/>
          <w:rFonts w:hint="default" w:ascii="Times New Roman" w:hAnsi="Times New Roman" w:cs="Times New Roman"/>
          <w:sz w:val="32"/>
          <w:szCs w:val="32"/>
          <w:lang w:bidi="ar"/>
        </w:rPr>
        <w:t xml:space="preserve">                                                  </w:t>
      </w:r>
      <w:r>
        <w:rPr>
          <w:rStyle w:val="30"/>
          <w:rFonts w:hint="default" w:ascii="Times New Roman" w:hAnsi="Times New Roman" w:cs="Times New Roman"/>
          <w:lang w:bidi="ar"/>
        </w:rPr>
        <w:t xml:space="preserve">   评价年度：</w:t>
      </w:r>
    </w:p>
    <w:tbl>
      <w:tblPr>
        <w:tblStyle w:val="11"/>
        <w:tblW w:w="13310" w:type="dxa"/>
        <w:jc w:val="center"/>
        <w:tblLayout w:type="autofit"/>
        <w:tblCellMar>
          <w:top w:w="0" w:type="dxa"/>
          <w:left w:w="108" w:type="dxa"/>
          <w:bottom w:w="0" w:type="dxa"/>
          <w:right w:w="108" w:type="dxa"/>
        </w:tblCellMar>
      </w:tblPr>
      <w:tblGrid>
        <w:gridCol w:w="696"/>
        <w:gridCol w:w="1292"/>
        <w:gridCol w:w="1349"/>
        <w:gridCol w:w="764"/>
        <w:gridCol w:w="5330"/>
        <w:gridCol w:w="3150"/>
        <w:gridCol w:w="729"/>
      </w:tblGrid>
      <w:tr>
        <w:tblPrEx>
          <w:tblCellMar>
            <w:top w:w="0" w:type="dxa"/>
            <w:left w:w="108" w:type="dxa"/>
            <w:bottom w:w="0" w:type="dxa"/>
            <w:right w:w="108" w:type="dxa"/>
          </w:tblCellMar>
        </w:tblPrEx>
        <w:trPr>
          <w:trHeight w:val="90" w:hRule="atLeast"/>
          <w:tblHeader/>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黑体"/>
                <w:color w:val="000000"/>
                <w:sz w:val="24"/>
              </w:rPr>
            </w:pPr>
            <w:r>
              <w:rPr>
                <w:rStyle w:val="31"/>
                <w:rFonts w:ascii="Times New Roman" w:hAnsi="Times New Roman" w:eastAsia="黑体" w:cs="Times New Roman"/>
                <w:lang w:bidi="ar"/>
              </w:rPr>
              <w:t>序号</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Style w:val="31"/>
                <w:rFonts w:ascii="Times New Roman" w:hAnsi="Times New Roman" w:eastAsia="黑体" w:cs="Times New Roman"/>
                <w:lang w:bidi="ar"/>
              </w:rPr>
            </w:pPr>
            <w:r>
              <w:rPr>
                <w:rStyle w:val="31"/>
                <w:rFonts w:ascii="Times New Roman" w:hAnsi="Times New Roman" w:eastAsia="黑体" w:cs="Times New Roman"/>
                <w:lang w:bidi="ar"/>
              </w:rPr>
              <w:t>一级指标及分值</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Style w:val="31"/>
                <w:rFonts w:ascii="Times New Roman" w:hAnsi="Times New Roman" w:eastAsia="黑体" w:cs="Times New Roman"/>
                <w:lang w:bidi="ar"/>
              </w:rPr>
            </w:pPr>
            <w:r>
              <w:rPr>
                <w:rStyle w:val="31"/>
                <w:rFonts w:ascii="Times New Roman" w:hAnsi="Times New Roman" w:eastAsia="黑体" w:cs="Times New Roman"/>
                <w:lang w:bidi="ar"/>
              </w:rPr>
              <w:t>二级指标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Style w:val="31"/>
                <w:rFonts w:ascii="Times New Roman" w:hAnsi="Times New Roman" w:eastAsia="黑体" w:cs="Times New Roman"/>
                <w:lang w:bidi="ar"/>
              </w:rPr>
            </w:pPr>
            <w:r>
              <w:rPr>
                <w:rStyle w:val="31"/>
                <w:rFonts w:ascii="Times New Roman" w:hAnsi="Times New Roman" w:eastAsia="黑体" w:cs="Times New Roman"/>
                <w:lang w:bidi="ar"/>
              </w:rPr>
              <w:t>分值</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Style w:val="31"/>
                <w:rFonts w:ascii="Times New Roman" w:hAnsi="Times New Roman" w:eastAsia="黑体" w:cs="Times New Roman"/>
                <w:lang w:bidi="ar"/>
              </w:rPr>
            </w:pPr>
            <w:r>
              <w:rPr>
                <w:rStyle w:val="31"/>
                <w:rFonts w:ascii="Times New Roman" w:hAnsi="Times New Roman" w:eastAsia="黑体" w:cs="Times New Roman"/>
                <w:lang w:bidi="ar"/>
              </w:rPr>
              <w:t>评分标准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Style w:val="31"/>
                <w:rFonts w:ascii="Times New Roman" w:hAnsi="Times New Roman" w:eastAsia="黑体" w:cs="Times New Roman"/>
                <w:lang w:bidi="ar"/>
              </w:rPr>
            </w:pPr>
            <w:r>
              <w:rPr>
                <w:rStyle w:val="31"/>
                <w:rFonts w:ascii="Times New Roman" w:hAnsi="Times New Roman" w:eastAsia="黑体" w:cs="Times New Roman"/>
                <w:lang w:bidi="ar"/>
              </w:rPr>
              <w:t>数据来源</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Style w:val="31"/>
                <w:rFonts w:ascii="Times New Roman" w:hAnsi="Times New Roman" w:eastAsia="黑体" w:cs="Times New Roman"/>
                <w:lang w:bidi="ar"/>
              </w:rPr>
            </w:pPr>
            <w:r>
              <w:rPr>
                <w:rFonts w:eastAsia="方正黑体_GBK"/>
                <w:szCs w:val="21"/>
              </w:rPr>
              <w:t>得分</w:t>
            </w: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w:t>
            </w: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经营管理（</w:t>
            </w:r>
            <w:r>
              <w:rPr>
                <w:rStyle w:val="26"/>
                <w:rFonts w:eastAsia="仿宋"/>
                <w:lang w:bidi="ar"/>
              </w:rPr>
              <w:t>53</w:t>
            </w:r>
            <w:r>
              <w:rPr>
                <w:rStyle w:val="33"/>
                <w:rFonts w:hint="default" w:ascii="Times New Roman" w:hAnsi="Times New Roman" w:eastAsia="仿宋" w:cs="Times New Roman"/>
                <w:sz w:val="24"/>
                <w:szCs w:val="24"/>
                <w:lang w:bidi="ar"/>
              </w:rPr>
              <w:t>分）</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车辆审验超期率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9</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大于</w:t>
            </w:r>
            <w:r>
              <w:rPr>
                <w:rStyle w:val="18"/>
                <w:rFonts w:eastAsia="仿宋"/>
                <w:sz w:val="24"/>
                <w:szCs w:val="24"/>
                <w:lang w:bidi="ar"/>
              </w:rPr>
              <w:t>0</w:t>
            </w:r>
            <w:r>
              <w:rPr>
                <w:rStyle w:val="34"/>
                <w:rFonts w:hint="default" w:ascii="Times New Roman" w:hAnsi="Times New Roman" w:eastAsia="仿宋" w:cs="Times New Roman"/>
                <w:sz w:val="24"/>
                <w:szCs w:val="24"/>
                <w:lang w:bidi="ar"/>
              </w:rPr>
              <w:t>且小于等于</w:t>
            </w:r>
            <w:r>
              <w:rPr>
                <w:rStyle w:val="18"/>
                <w:rFonts w:eastAsia="仿宋"/>
                <w:sz w:val="24"/>
                <w:szCs w:val="24"/>
                <w:lang w:bidi="ar"/>
              </w:rPr>
              <w:t>0.01</w:t>
            </w:r>
            <w:r>
              <w:rPr>
                <w:rStyle w:val="34"/>
                <w:rFonts w:hint="default" w:ascii="Times New Roman" w:hAnsi="Times New Roman" w:eastAsia="仿宋" w:cs="Times New Roman"/>
                <w:sz w:val="24"/>
                <w:szCs w:val="24"/>
                <w:lang w:bidi="ar"/>
              </w:rPr>
              <w:t>的，扣</w:t>
            </w:r>
            <w:r>
              <w:rPr>
                <w:rStyle w:val="18"/>
                <w:rFonts w:eastAsia="仿宋"/>
                <w:sz w:val="24"/>
                <w:szCs w:val="24"/>
                <w:lang w:bidi="ar"/>
              </w:rPr>
              <w:t>3</w:t>
            </w:r>
            <w:r>
              <w:rPr>
                <w:rStyle w:val="34"/>
                <w:rFonts w:hint="default" w:ascii="Times New Roman" w:hAnsi="Times New Roman" w:eastAsia="仿宋" w:cs="Times New Roman"/>
                <w:sz w:val="24"/>
                <w:szCs w:val="24"/>
                <w:lang w:bidi="ar"/>
              </w:rPr>
              <w:t>分，每增加</w:t>
            </w:r>
            <w:r>
              <w:rPr>
                <w:rStyle w:val="18"/>
                <w:rFonts w:eastAsia="仿宋"/>
                <w:sz w:val="24"/>
                <w:szCs w:val="24"/>
                <w:lang w:bidi="ar"/>
              </w:rPr>
              <w:t>0.01</w:t>
            </w:r>
            <w:r>
              <w:rPr>
                <w:rStyle w:val="34"/>
                <w:rFonts w:hint="default" w:ascii="Times New Roman" w:hAnsi="Times New Roman" w:eastAsia="仿宋" w:cs="Times New Roman"/>
                <w:sz w:val="24"/>
                <w:szCs w:val="24"/>
                <w:lang w:bidi="ar"/>
              </w:rPr>
              <w:t>，加扣</w:t>
            </w:r>
            <w:r>
              <w:rPr>
                <w:rStyle w:val="18"/>
                <w:rFonts w:eastAsia="仿宋"/>
                <w:sz w:val="24"/>
                <w:szCs w:val="24"/>
                <w:lang w:bidi="ar"/>
              </w:rPr>
              <w:t>1</w:t>
            </w:r>
            <w:r>
              <w:rPr>
                <w:rStyle w:val="34"/>
                <w:rFonts w:hint="default" w:ascii="Times New Roman" w:hAnsi="Times New Roman" w:eastAsia="仿宋" w:cs="Times New Roman"/>
                <w:sz w:val="24"/>
                <w:szCs w:val="24"/>
                <w:lang w:bidi="ar"/>
              </w:rPr>
              <w:t>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kern w:val="0"/>
                <w:sz w:val="24"/>
                <w:lang w:bidi="ar"/>
              </w:rPr>
              <w:t>重庆道路运输综合管理与服务系统自动统计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2</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车辆动态监管考核情况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10</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考核周期内动态监督管理考核月平均分÷100×本项分值</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kern w:val="0"/>
                <w:sz w:val="24"/>
                <w:lang w:bidi="ar"/>
              </w:rPr>
              <w:t>重庆道路运输综合管理与服务系统自动统计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3</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电子运单使用情况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10</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考核周期内电子运单使用考核月平均轨迹匹配率×本项得分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kern w:val="0"/>
                <w:sz w:val="24"/>
                <w:lang w:bidi="ar"/>
              </w:rPr>
              <w:t>重庆道路运输综合管理与服务系统自动统计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4</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行政处罚情况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15</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违法违规率：大于0且小于等于0.01次/车的，扣 1分，每增加0.01次/车，加扣0.5分；</w:t>
            </w:r>
          </w:p>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在考核周期届满时，存在未履行交通运输行政处罚决定的，按照该交通运输行政处罚信用扣分标准，再次扣除相应分数。</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交通、公安部门执法数据共享或日常收集统计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ind w:firstLine="210" w:firstLineChars="100"/>
              <w:rPr>
                <w:rFonts w:eastAsia="方正仿宋_GBK"/>
                <w:color w:val="000000"/>
                <w:szCs w:val="21"/>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5</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车辆技术管理情况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5</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每发现一起隐患的，扣0.5分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6</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车辆动态监管制度及落实情况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每发现一起隐患的，扣0.5分。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40" w:firstLineChars="100"/>
              <w:jc w:val="left"/>
              <w:rPr>
                <w:rFonts w:eastAsia="仿宋"/>
                <w:color w:val="000000"/>
                <w:sz w:val="24"/>
              </w:rPr>
            </w:pPr>
          </w:p>
        </w:tc>
      </w:tr>
      <w:tr>
        <w:tblPrEx>
          <w:tblCellMar>
            <w:top w:w="0" w:type="dxa"/>
            <w:left w:w="108" w:type="dxa"/>
            <w:bottom w:w="0" w:type="dxa"/>
            <w:right w:w="108" w:type="dxa"/>
          </w:tblCellMar>
        </w:tblPrEx>
        <w:trPr>
          <w:trHeight w:val="86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7</w:t>
            </w: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安全生产（ 30分）</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交通责任事故死亡率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5</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大于0且小于等于0.01人/车的，扣2分，每增加0.01人/车，加扣0.5分。发生拖延报告亡人事故的，每次扣0.5分；存在瞒报、谎报亡人事故的，每次扣1分。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公安部门数据共享或日常收集统计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10" w:firstLineChars="100"/>
              <w:jc w:val="left"/>
              <w:rPr>
                <w:rFonts w:eastAsia="黑体"/>
                <w:szCs w:val="21"/>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8</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交通责任事故伤人率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3</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大于0且小于等于0.01人/车的，扣 1分，每增加0.01人/车，加扣0.2分。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公安部门数据共享或日常收集统计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786"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9</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安全风险辨识评估情况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3</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每发现一起隐患的，扣0.5分，未按要求落实双重预防机制，扣2分。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81"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10</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日周月隐患排查工作落实情况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每发现一处隐患的，扣0.5分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1106"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11</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安全生产费用提取制度及落实情况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3</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每发现一处隐患的，扣0.5分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12</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企业安全部门、人员设置及履职情况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3</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每发现一处隐患的，扣0.5分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13</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从业人员教育培训计划及落实情况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Fonts w:eastAsia="仿宋"/>
                <w:color w:val="000000"/>
                <w:sz w:val="24"/>
              </w:rPr>
              <w:t>每发现一处隐患的，扣0.5分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5"/>
                <w:rFonts w:hint="default" w:ascii="Times New Roman" w:hAnsi="Times New Roman" w:eastAsia="仿宋" w:cs="Times New Roman"/>
                <w:color w:val="000000"/>
                <w:sz w:val="24"/>
                <w:szCs w:val="24"/>
                <w:lang w:bidi="ar"/>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106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黑体_GBK"/>
                <w:color w:val="000000"/>
                <w:sz w:val="24"/>
              </w:rPr>
            </w:pPr>
            <w:r>
              <w:rPr>
                <w:rFonts w:eastAsia="仿宋"/>
                <w:color w:val="000000"/>
                <w:kern w:val="0"/>
                <w:sz w:val="24"/>
                <w:lang w:bidi="ar"/>
              </w:rPr>
              <w:t>14</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黑体_GBK"/>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挂牌督办</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5</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每出现一次挂牌督办的，扣1分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黑体_GBK"/>
                <w:color w:val="000000"/>
                <w:sz w:val="24"/>
              </w:rPr>
            </w:pPr>
            <w:r>
              <w:rPr>
                <w:rFonts w:eastAsia="仿宋"/>
                <w:color w:val="000000"/>
                <w:kern w:val="0"/>
                <w:sz w:val="24"/>
                <w:lang w:bidi="ar"/>
              </w:rPr>
              <w:t>行业管理日常收集统计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40" w:firstLineChars="100"/>
              <w:jc w:val="left"/>
              <w:rPr>
                <w:rFonts w:eastAsia="黑体"/>
                <w:color w:val="000000"/>
                <w:sz w:val="24"/>
              </w:rPr>
            </w:pPr>
          </w:p>
        </w:tc>
      </w:tr>
      <w:tr>
        <w:tblPrEx>
          <w:tblCellMar>
            <w:top w:w="0" w:type="dxa"/>
            <w:left w:w="108" w:type="dxa"/>
            <w:bottom w:w="0" w:type="dxa"/>
            <w:right w:w="108" w:type="dxa"/>
          </w:tblCellMar>
        </w:tblPrEx>
        <w:trPr>
          <w:trHeight w:val="69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15</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服务质量（</w:t>
            </w:r>
            <w:r>
              <w:rPr>
                <w:rStyle w:val="26"/>
                <w:rFonts w:eastAsia="仿宋"/>
                <w:lang w:bidi="ar"/>
              </w:rPr>
              <w:t>5</w:t>
            </w:r>
            <w:r>
              <w:rPr>
                <w:rStyle w:val="33"/>
                <w:rFonts w:hint="default" w:ascii="Times New Roman" w:hAnsi="Times New Roman" w:eastAsia="仿宋" w:cs="Times New Roman"/>
                <w:sz w:val="24"/>
                <w:szCs w:val="24"/>
                <w:lang w:bidi="ar"/>
              </w:rPr>
              <w:t>分）</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有责投诉</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5</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每出现1次有责投诉的，扣0.5分。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kern w:val="0"/>
                <w:sz w:val="24"/>
                <w:lang w:bidi="ar"/>
              </w:rPr>
              <w:t>行业管理日常收集统计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40" w:firstLineChars="100"/>
              <w:jc w:val="left"/>
              <w:rPr>
                <w:rFonts w:eastAsia="黑体"/>
                <w:color w:val="000000"/>
                <w:sz w:val="24"/>
              </w:rPr>
            </w:pPr>
          </w:p>
        </w:tc>
      </w:tr>
      <w:tr>
        <w:tblPrEx>
          <w:tblCellMar>
            <w:top w:w="0" w:type="dxa"/>
            <w:left w:w="108" w:type="dxa"/>
            <w:bottom w:w="0" w:type="dxa"/>
            <w:right w:w="108" w:type="dxa"/>
          </w:tblCellMar>
        </w:tblPrEx>
        <w:trPr>
          <w:trHeight w:val="78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16</w:t>
            </w:r>
          </w:p>
          <w:p>
            <w:pPr>
              <w:pStyle w:val="2"/>
              <w:widowControl/>
              <w:spacing w:after="0" w:line="260" w:lineRule="exact"/>
            </w:pP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社会责任（</w:t>
            </w:r>
            <w:r>
              <w:rPr>
                <w:rStyle w:val="26"/>
                <w:rFonts w:eastAsia="仿宋"/>
                <w:lang w:bidi="ar"/>
              </w:rPr>
              <w:t>12</w:t>
            </w:r>
            <w:r>
              <w:rPr>
                <w:rStyle w:val="33"/>
                <w:rFonts w:hint="default" w:ascii="Times New Roman" w:hAnsi="Times New Roman" w:eastAsia="仿宋" w:cs="Times New Roman"/>
                <w:sz w:val="24"/>
                <w:szCs w:val="24"/>
                <w:lang w:bidi="ar"/>
              </w:rPr>
              <w:t>分）</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应急预案制定情况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A.未制定的，扣4分；B.未备案的，扣4分；C.有明显瑕疵的，扣3。</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40" w:firstLineChars="100"/>
              <w:jc w:val="left"/>
              <w:rPr>
                <w:rFonts w:eastAsia="黑体"/>
                <w:color w:val="000000"/>
                <w:sz w:val="24"/>
              </w:rPr>
            </w:pPr>
          </w:p>
        </w:tc>
      </w:tr>
      <w:tr>
        <w:tblPrEx>
          <w:tblCellMar>
            <w:top w:w="0" w:type="dxa"/>
            <w:left w:w="108" w:type="dxa"/>
            <w:bottom w:w="0" w:type="dxa"/>
            <w:right w:w="108" w:type="dxa"/>
          </w:tblCellMar>
        </w:tblPrEx>
        <w:trPr>
          <w:trHeight w:val="72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17</w:t>
            </w:r>
          </w:p>
          <w:p>
            <w:pPr>
              <w:pStyle w:val="2"/>
              <w:widowControl/>
              <w:spacing w:after="0" w:line="260" w:lineRule="exact"/>
            </w:pP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应急演练实施情况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A.未实施的，扣4分；B.管理部门现场抽查发现演练不合格的，扣2分。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40" w:firstLineChars="100"/>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18</w:t>
            </w:r>
          </w:p>
          <w:p>
            <w:pPr>
              <w:pStyle w:val="2"/>
              <w:widowControl/>
              <w:spacing w:after="0" w:line="260" w:lineRule="exact"/>
            </w:pP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企业稳定情况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由于企业管理原因，导致发生违反《信访工作条例》规定、出现过激行为，情节不严重的，每次扣1分。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kern w:val="0"/>
                <w:sz w:val="24"/>
                <w:lang w:bidi="ar"/>
              </w:rPr>
              <w:t>信访、公安等部门数据共享或行业管理日常收集统计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40" w:firstLineChars="100"/>
              <w:jc w:val="left"/>
              <w:rPr>
                <w:rFonts w:eastAsia="黑体"/>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19</w:t>
            </w:r>
          </w:p>
          <w:p>
            <w:pPr>
              <w:pStyle w:val="2"/>
              <w:widowControl/>
              <w:spacing w:after="0" w:line="260" w:lineRule="exact"/>
            </w:pP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加分项目</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指令性运输任务和应急演练完成情况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A.完成本区县级人民政府、交通行业管理部门指令性应急运输任务或者应急演练任务的，加1分；B.完成市级以上人民政府、交通行业管理部门指令性应急运输任务或者应急演练任务，加2.5分。（最高不超过2.5分）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6"/>
                <w:rFonts w:hint="default" w:ascii="Times New Roman" w:hAnsi="Times New Roman" w:eastAsia="仿宋" w:cs="Times New Roman"/>
                <w:color w:val="000000"/>
                <w:sz w:val="24"/>
                <w:szCs w:val="24"/>
                <w:lang w:bidi="ar"/>
              </w:rPr>
              <w:t>行业管理日常收集统计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1639"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20</w:t>
            </w:r>
          </w:p>
          <w:p>
            <w:pPr>
              <w:pStyle w:val="2"/>
              <w:widowControl/>
              <w:spacing w:after="0" w:line="260" w:lineRule="exact"/>
            </w:pP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向行业作出重要贡献事项</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A.在市级以上道路运输行业杂志发表危险货物道路运输管理专题文章，加1分（累计不超过2分）；B.向市级道路运输机构提出合理化建议，并被采纳，加2.5分；C.配合行业管理部门参与行业标准制定，加2.5分。（最高不超过2.5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6"/>
                <w:rFonts w:hint="default" w:ascii="Times New Roman" w:hAnsi="Times New Roman" w:eastAsia="仿宋" w:cs="Times New Roman"/>
                <w:color w:val="000000"/>
                <w:sz w:val="24"/>
                <w:szCs w:val="24"/>
                <w:lang w:bidi="ar"/>
              </w:rPr>
              <w:t>行业管理日常收集统计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仿宋"/>
                <w:color w:val="000000"/>
                <w:sz w:val="24"/>
              </w:rPr>
            </w:pPr>
            <w:r>
              <w:rPr>
                <w:rStyle w:val="25"/>
                <w:rFonts w:hint="default" w:ascii="Times New Roman" w:hAnsi="Times New Roman" w:eastAsia="仿宋" w:cs="Times New Roman"/>
                <w:color w:val="000000"/>
                <w:lang w:bidi="ar"/>
              </w:rPr>
              <w:t>合计</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7"/>
                <w:rFonts w:ascii="Times New Roman" w:eastAsia="仿宋" w:cs="Times New Roman"/>
                <w:sz w:val="24"/>
                <w:szCs w:val="24"/>
                <w:lang w:bidi="ar"/>
              </w:rPr>
              <w:t>100</w:t>
            </w:r>
            <w:r>
              <w:rPr>
                <w:rStyle w:val="38"/>
                <w:rFonts w:hint="default" w:ascii="Times New Roman" w:hAnsi="Times New Roman" w:eastAsia="仿宋" w:cs="Times New Roman"/>
                <w:sz w:val="24"/>
                <w:szCs w:val="24"/>
                <w:lang w:bidi="ar"/>
              </w:rPr>
              <w:t>分</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7"/>
                <w:rFonts w:ascii="Times New Roman" w:eastAsia="仿宋" w:cs="Times New Roman"/>
                <w:sz w:val="24"/>
                <w:szCs w:val="24"/>
                <w:lang w:bidi="ar"/>
              </w:rPr>
              <w:t>100</w:t>
            </w:r>
            <w:r>
              <w:rPr>
                <w:rStyle w:val="39"/>
                <w:rFonts w:hint="default" w:ascii="Times New Roman" w:hAnsi="Times New Roman" w:eastAsia="仿宋" w:cs="Times New Roman"/>
                <w:lang w:bidi="ar"/>
              </w:rPr>
              <w:t>分</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eastAsia="仿宋"/>
                <w:color w:val="000000"/>
                <w:sz w:val="24"/>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eastAsia="仿宋"/>
                <w:color w:val="000000"/>
                <w:sz w:val="24"/>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198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25"/>
                <w:rFonts w:hint="default" w:ascii="Times New Roman" w:hAnsi="Times New Roman" w:eastAsia="仿宋" w:cs="Times New Roman"/>
                <w:color w:val="000000"/>
                <w:lang w:bidi="ar"/>
              </w:rPr>
              <w:t>评价结论</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考核等级</w:t>
            </w:r>
          </w:p>
        </w:tc>
        <w:tc>
          <w:tcPr>
            <w:tcW w:w="997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eastAsia="仿宋"/>
                <w:color w:val="000000"/>
                <w:sz w:val="24"/>
              </w:rPr>
            </w:pPr>
            <w:r>
              <w:rPr>
                <w:rFonts w:eastAsia="仿宋"/>
                <w:color w:val="000000"/>
                <w:kern w:val="0"/>
                <w:sz w:val="24"/>
                <w:lang w:bidi="ar"/>
              </w:rPr>
              <w:t>AA□          A□                B□                C□                D□</w:t>
            </w:r>
          </w:p>
        </w:tc>
      </w:tr>
      <w:tr>
        <w:tblPrEx>
          <w:tblCellMar>
            <w:top w:w="0" w:type="dxa"/>
            <w:left w:w="108" w:type="dxa"/>
            <w:bottom w:w="0" w:type="dxa"/>
            <w:right w:w="108" w:type="dxa"/>
          </w:tblCellMar>
        </w:tblPrEx>
        <w:trPr>
          <w:trHeight w:val="90" w:hRule="atLeast"/>
          <w:jc w:val="center"/>
        </w:trPr>
        <w:tc>
          <w:tcPr>
            <w:tcW w:w="19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评价机构名称</w:t>
            </w:r>
          </w:p>
        </w:tc>
        <w:tc>
          <w:tcPr>
            <w:tcW w:w="997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19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经办人</w:t>
            </w:r>
          </w:p>
        </w:tc>
        <w:tc>
          <w:tcPr>
            <w:tcW w:w="609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
                <w:color w:val="000000"/>
                <w:sz w:val="24"/>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评价日期</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
                <w:color w:val="000000"/>
                <w:sz w:val="24"/>
              </w:rPr>
            </w:pPr>
          </w:p>
        </w:tc>
      </w:tr>
    </w:tbl>
    <w:p>
      <w:pPr>
        <w:spacing w:line="280" w:lineRule="exact"/>
        <w:ind w:firstLine="480" w:firstLineChars="200"/>
        <w:rPr>
          <w:rStyle w:val="40"/>
          <w:rFonts w:hint="default" w:ascii="Times New Roman" w:hAnsi="Times New Roman" w:cs="Times New Roman"/>
          <w:color w:val="000000"/>
          <w:lang w:bidi="ar"/>
        </w:rPr>
      </w:pPr>
      <w:r>
        <w:rPr>
          <w:rStyle w:val="40"/>
          <w:rFonts w:hint="default" w:ascii="Times New Roman" w:hAnsi="Times New Roman" w:cs="Times New Roman"/>
          <w:color w:val="000000"/>
          <w:lang w:bidi="ar"/>
        </w:rPr>
        <w:t>备注（指标释义）：</w:t>
      </w:r>
    </w:p>
    <w:p>
      <w:pPr>
        <w:spacing w:line="280" w:lineRule="exact"/>
        <w:ind w:firstLine="480" w:firstLineChars="200"/>
        <w:rPr>
          <w:rStyle w:val="40"/>
          <w:rFonts w:hint="default" w:ascii="Times New Roman" w:hAnsi="Times New Roman" w:cs="Times New Roman"/>
          <w:color w:val="000000"/>
          <w:lang w:bidi="ar"/>
        </w:rPr>
      </w:pPr>
      <w:r>
        <w:rPr>
          <w:rStyle w:val="40"/>
          <w:rFonts w:hint="default" w:ascii="Times New Roman" w:hAnsi="Times New Roman" w:cs="Times New Roman"/>
          <w:color w:val="000000"/>
          <w:lang w:bidi="ar"/>
        </w:rPr>
        <w:t>一、道路运输机构需建立的信用档案包括：《重庆市危险货物道路运输经营者信用考核综合评价表》、表内非系统自动统计数据记录的相关佐证材料、区县道路运输机构在日常管理工作中收集的危险货物道路运输经营者（以下简称危货经营者）信用考核相关信息（资料）等。信用考核档案保存期限不少于3年。</w:t>
      </w:r>
    </w:p>
    <w:p>
      <w:pPr>
        <w:spacing w:line="280" w:lineRule="exact"/>
        <w:ind w:firstLine="480" w:firstLineChars="200"/>
        <w:rPr>
          <w:rStyle w:val="40"/>
          <w:rFonts w:hint="default" w:ascii="Times New Roman" w:hAnsi="Times New Roman" w:cs="Times New Roman"/>
          <w:color w:val="000000"/>
          <w:lang w:bidi="ar"/>
        </w:rPr>
      </w:pPr>
      <w:r>
        <w:rPr>
          <w:rStyle w:val="40"/>
          <w:rFonts w:hint="default" w:ascii="Times New Roman" w:hAnsi="Times New Roman" w:cs="Times New Roman"/>
          <w:color w:val="000000"/>
          <w:lang w:bidi="ar"/>
        </w:rPr>
        <w:t>二、违法违规指：危货经营者、危货运输从业人员违反道路交通安全及道路运输相关法律法规的规定，受到行政处罚的行为。</w:t>
      </w:r>
    </w:p>
    <w:p>
      <w:pPr>
        <w:spacing w:line="280" w:lineRule="exact"/>
        <w:ind w:firstLine="480" w:firstLineChars="200"/>
        <w:rPr>
          <w:rStyle w:val="40"/>
          <w:rFonts w:hint="default" w:ascii="Times New Roman" w:hAnsi="Times New Roman" w:cs="Times New Roman"/>
          <w:color w:val="000000"/>
          <w:lang w:bidi="ar"/>
        </w:rPr>
      </w:pPr>
      <w:r>
        <w:rPr>
          <w:rStyle w:val="40"/>
          <w:rFonts w:hint="default" w:ascii="Times New Roman" w:hAnsi="Times New Roman" w:cs="Times New Roman"/>
          <w:color w:val="000000"/>
          <w:lang w:bidi="ar"/>
        </w:rPr>
        <w:t>三、交通责任事故指：考核周期内危货经营者承担同责及同责以上、有人员伤亡的交通事故。</w:t>
      </w:r>
    </w:p>
    <w:p>
      <w:pPr>
        <w:pStyle w:val="5"/>
        <w:rPr>
          <w:rStyle w:val="40"/>
          <w:rFonts w:hint="default" w:ascii="Times New Roman" w:hAnsi="Times New Roman" w:cs="Times New Roman"/>
          <w:color w:val="000000"/>
          <w:lang w:bidi="ar"/>
        </w:rPr>
      </w:pPr>
      <w:r>
        <w:rPr>
          <w:rStyle w:val="40"/>
          <w:rFonts w:hint="default" w:ascii="Times New Roman" w:hAnsi="Times New Roman" w:cs="Times New Roman"/>
          <w:color w:val="000000"/>
          <w:lang w:bidi="ar"/>
        </w:rPr>
        <w:t>四、有责投诉指：危货经营者、危货从业人员违反有关规定，损害他人正当权益，货主、其他相关人向交通行业管理部门进行投诉，或者新闻媒体对经营者的服务质量事件曝光，经查证，属于危货经营者或者危货从业人员责任的。</w:t>
      </w:r>
    </w:p>
    <w:p>
      <w:pPr>
        <w:rPr>
          <w:rStyle w:val="40"/>
          <w:rFonts w:hint="default" w:ascii="Times New Roman" w:hAnsi="Times New Roman" w:cs="Times New Roman"/>
          <w:color w:val="000000"/>
          <w:lang w:bidi="ar"/>
        </w:rPr>
      </w:pPr>
      <w:r>
        <w:rPr>
          <w:rStyle w:val="40"/>
          <w:rFonts w:hint="default" w:ascii="Times New Roman" w:hAnsi="Times New Roman" w:cs="Times New Roman"/>
          <w:color w:val="000000"/>
          <w:lang w:bidi="ar"/>
        </w:rPr>
        <w:br w:type="page"/>
      </w:r>
    </w:p>
    <w:p>
      <w:pPr>
        <w:jc w:val="left"/>
        <w:rPr>
          <w:rFonts w:hint="eastAsia" w:eastAsia="方正黑体_GBK"/>
          <w:color w:val="000000"/>
          <w:sz w:val="32"/>
          <w:szCs w:val="32"/>
        </w:rPr>
      </w:pPr>
      <w:r>
        <w:rPr>
          <w:rFonts w:eastAsia="方正黑体_GBK"/>
          <w:color w:val="000000"/>
          <w:sz w:val="32"/>
          <w:szCs w:val="32"/>
        </w:rPr>
        <w:t>附件1-4</w:t>
      </w:r>
    </w:p>
    <w:p>
      <w:pPr>
        <w:pStyle w:val="2"/>
        <w:rPr>
          <w:rFonts w:hint="eastAsia"/>
        </w:rPr>
      </w:pPr>
    </w:p>
    <w:p>
      <w:pPr>
        <w:snapToGrid w:val="0"/>
        <w:spacing w:line="560" w:lineRule="exact"/>
        <w:jc w:val="center"/>
        <w:rPr>
          <w:rFonts w:eastAsia="方正小标宋_GBK"/>
          <w:color w:val="000000"/>
          <w:sz w:val="44"/>
          <w:szCs w:val="44"/>
        </w:rPr>
      </w:pPr>
      <w:r>
        <w:rPr>
          <w:rFonts w:eastAsia="方正小标宋_GBK"/>
          <w:color w:val="000000"/>
          <w:sz w:val="44"/>
          <w:szCs w:val="44"/>
        </w:rPr>
        <w:t>重庆市公共汽车客运企业信用评价标准</w:t>
      </w:r>
    </w:p>
    <w:p>
      <w:pPr>
        <w:snapToGrid w:val="0"/>
        <w:spacing w:line="560" w:lineRule="exact"/>
        <w:ind w:firstLine="560" w:firstLineChars="200"/>
        <w:rPr>
          <w:rFonts w:eastAsia="方正仿宋_GBK"/>
          <w:color w:val="000000"/>
          <w:sz w:val="30"/>
          <w:szCs w:val="30"/>
        </w:rPr>
      </w:pPr>
      <w:r>
        <w:rPr>
          <w:rFonts w:eastAsia="方正仿宋_GBK"/>
          <w:color w:val="000000"/>
          <w:sz w:val="28"/>
          <w:szCs w:val="28"/>
        </w:rPr>
        <w:t>被评价企业：                                                      评价年度：</w:t>
      </w:r>
    </w:p>
    <w:tbl>
      <w:tblPr>
        <w:tblStyle w:val="11"/>
        <w:tblpPr w:leftFromText="180" w:rightFromText="180" w:vertAnchor="text" w:tblpX="15506" w:tblpY="-23687"/>
        <w:tblOverlap w:val="never"/>
        <w:tblW w:w="0" w:type="auto"/>
        <w:tblInd w:w="0" w:type="dxa"/>
        <w:tblLayout w:type="fixed"/>
        <w:tblCellMar>
          <w:top w:w="0" w:type="dxa"/>
          <w:left w:w="108" w:type="dxa"/>
          <w:bottom w:w="0" w:type="dxa"/>
          <w:right w:w="108" w:type="dxa"/>
        </w:tblCellMar>
      </w:tblPr>
      <w:tblGrid>
        <w:gridCol w:w="1970"/>
      </w:tblGrid>
      <w:tr>
        <w:tblPrEx>
          <w:tblCellMar>
            <w:top w:w="0" w:type="dxa"/>
            <w:left w:w="108" w:type="dxa"/>
            <w:bottom w:w="0" w:type="dxa"/>
            <w:right w:w="108" w:type="dxa"/>
          </w:tblCellMar>
        </w:tblPrEx>
        <w:trPr>
          <w:trHeight w:val="30" w:hRule="atLeast"/>
        </w:trPr>
        <w:tc>
          <w:tcPr>
            <w:tcW w:w="1970" w:type="dxa"/>
            <w:noWrap w:val="0"/>
            <w:vAlign w:val="top"/>
          </w:tcPr>
          <w:p>
            <w:pPr>
              <w:spacing w:line="560" w:lineRule="exact"/>
              <w:rPr>
                <w:rFonts w:eastAsia="方正仿宋_GBK"/>
                <w:color w:val="000000"/>
                <w:szCs w:val="21"/>
              </w:rPr>
            </w:pPr>
          </w:p>
        </w:tc>
      </w:tr>
      <w:tr>
        <w:tblPrEx>
          <w:tblCellMar>
            <w:top w:w="0" w:type="dxa"/>
            <w:left w:w="108" w:type="dxa"/>
            <w:bottom w:w="0" w:type="dxa"/>
            <w:right w:w="108" w:type="dxa"/>
          </w:tblCellMar>
        </w:tblPrEx>
        <w:trPr>
          <w:trHeight w:val="30" w:hRule="atLeast"/>
        </w:trPr>
        <w:tc>
          <w:tcPr>
            <w:tcW w:w="1970" w:type="dxa"/>
            <w:noWrap w:val="0"/>
            <w:vAlign w:val="top"/>
          </w:tcPr>
          <w:p>
            <w:pPr>
              <w:spacing w:line="560" w:lineRule="exact"/>
              <w:rPr>
                <w:rFonts w:eastAsia="方正仿宋_GBK"/>
                <w:color w:val="000000"/>
                <w:szCs w:val="21"/>
              </w:rPr>
            </w:pPr>
          </w:p>
        </w:tc>
      </w:tr>
    </w:tbl>
    <w:tbl>
      <w:tblPr>
        <w:tblStyle w:val="11"/>
        <w:tblW w:w="48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94"/>
        <w:gridCol w:w="1278"/>
        <w:gridCol w:w="600"/>
        <w:gridCol w:w="4644"/>
        <w:gridCol w:w="74"/>
        <w:gridCol w:w="1271"/>
        <w:gridCol w:w="2484"/>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16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黑体"/>
                <w:bCs/>
                <w:color w:val="000000"/>
                <w:sz w:val="24"/>
              </w:rPr>
              <w:t>序号</w:t>
            </w:r>
          </w:p>
        </w:tc>
        <w:tc>
          <w:tcPr>
            <w:tcW w:w="46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黑体"/>
                <w:bCs/>
                <w:color w:val="000000"/>
                <w:sz w:val="24"/>
              </w:rPr>
              <w:t>一级指标及分值</w:t>
            </w: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黑体"/>
                <w:bCs/>
                <w:color w:val="000000"/>
                <w:sz w:val="24"/>
              </w:rPr>
              <w:t>二级指标</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黑体"/>
                <w:bCs/>
                <w:color w:val="000000"/>
                <w:sz w:val="24"/>
              </w:rPr>
              <w:t>分值</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黑体"/>
                <w:bCs/>
                <w:color w:val="000000"/>
                <w:sz w:val="24"/>
              </w:rPr>
              <w:t>评分标准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黑体"/>
                <w:bCs/>
                <w:color w:val="000000"/>
                <w:sz w:val="24"/>
              </w:rPr>
              <w:t>数据来源</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方正黑体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w:t>
            </w:r>
          </w:p>
        </w:tc>
        <w:tc>
          <w:tcPr>
            <w:tcW w:w="46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经营管理</w:t>
            </w:r>
          </w:p>
          <w:p>
            <w:pPr>
              <w:spacing w:line="260" w:lineRule="exact"/>
              <w:jc w:val="center"/>
              <w:rPr>
                <w:rFonts w:eastAsia="方正仿宋_GBK"/>
                <w:color w:val="000000"/>
                <w:szCs w:val="21"/>
              </w:rPr>
            </w:pPr>
            <w:r>
              <w:rPr>
                <w:rFonts w:eastAsia="方正仿宋_GBK"/>
                <w:color w:val="000000"/>
                <w:szCs w:val="21"/>
              </w:rPr>
              <w:t>（ 25分）</w:t>
            </w:r>
          </w:p>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bCs/>
                <w:color w:val="000000"/>
                <w:szCs w:val="21"/>
              </w:rPr>
            </w:pPr>
            <w:r>
              <w:rPr>
                <w:rFonts w:eastAsia="方正仿宋_GBK"/>
                <w:bCs/>
                <w:color w:val="000000"/>
                <w:szCs w:val="21"/>
              </w:rPr>
              <w:t>决策执行</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5</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未贯彻落实市、区县党委政府及交通主管部门决策部署，未完成下达的工作任务的，根据落实和完成情况综合评分。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市、区县交通主管部门记录。</w:t>
            </w:r>
          </w:p>
        </w:tc>
        <w:tc>
          <w:tcPr>
            <w:tcW w:w="301" w:type="pct"/>
            <w:tcBorders>
              <w:top w:val="single" w:color="auto" w:sz="4" w:space="0"/>
              <w:left w:val="single" w:color="auto" w:sz="4" w:space="0"/>
              <w:bottom w:val="single" w:color="auto" w:sz="4" w:space="0"/>
              <w:right w:val="single" w:color="auto" w:sz="4" w:space="0"/>
            </w:tcBorders>
            <w:noWrap w:val="0"/>
            <w:vAlign w:val="center"/>
          </w:tcPr>
          <w:p>
            <w:pPr>
              <w:pStyle w:val="4"/>
              <w:spacing w:line="260" w:lineRule="exact"/>
              <w:ind w:firstLine="24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2</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color w:val="000000"/>
                <w:szCs w:val="21"/>
              </w:rPr>
            </w:pPr>
            <w:r>
              <w:rPr>
                <w:rFonts w:eastAsia="方正仿宋_GBK"/>
                <w:bCs/>
                <w:color w:val="000000"/>
                <w:szCs w:val="21"/>
              </w:rPr>
              <w:t>行政处罚情况</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 xml:space="preserve"> 15</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违法违规率每达到0.01次/辆的，扣0.5分；</w:t>
            </w:r>
          </w:p>
          <w:p>
            <w:pPr>
              <w:spacing w:line="260" w:lineRule="exact"/>
              <w:rPr>
                <w:rFonts w:eastAsia="方正仿宋_GBK"/>
                <w:color w:val="000000"/>
                <w:szCs w:val="21"/>
              </w:rPr>
            </w:pPr>
            <w:r>
              <w:rPr>
                <w:rFonts w:eastAsia="方正仿宋_GBK"/>
                <w:color w:val="000000"/>
                <w:szCs w:val="21"/>
              </w:rPr>
              <w:t>在考核周期届满时，存在未履行交通运输行政处罚决定的，按照该交通运输行政处罚信用扣分标准，再次扣除相应分数。</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交通运输行政执法机构、公安交通管理部门处罚记录或共享数据、企业报表。违法违规率=违法违规次数/企业年末在册公交车辆数。</w:t>
            </w:r>
          </w:p>
        </w:tc>
        <w:tc>
          <w:tcPr>
            <w:tcW w:w="301" w:type="pct"/>
            <w:tcBorders>
              <w:top w:val="single" w:color="auto" w:sz="4" w:space="0"/>
              <w:left w:val="single" w:color="auto" w:sz="4" w:space="0"/>
              <w:bottom w:val="single" w:color="auto" w:sz="4" w:space="0"/>
              <w:right w:val="single" w:color="auto" w:sz="4" w:space="0"/>
            </w:tcBorders>
            <w:noWrap w:val="0"/>
            <w:vAlign w:val="center"/>
          </w:tcPr>
          <w:p>
            <w:pPr>
              <w:pStyle w:val="4"/>
              <w:spacing w:line="260" w:lineRule="exact"/>
              <w:ind w:firstLine="240" w:firstLineChars="100"/>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6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3</w:t>
            </w:r>
          </w:p>
        </w:tc>
        <w:tc>
          <w:tcPr>
            <w:tcW w:w="46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color w:val="000000"/>
                <w:szCs w:val="21"/>
              </w:rPr>
            </w:pPr>
            <w:r>
              <w:rPr>
                <w:rFonts w:eastAsia="方正仿宋_GBK"/>
                <w:color w:val="000000"/>
                <w:szCs w:val="21"/>
              </w:rPr>
              <w:t>诚信经营</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5</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违反线路特许经营协议约定运营服务要求的，每次扣0.5分；无故擅自暂停、终止线路运营，或者未取得线路特许经营权擅自开行线路的，每次扣1分。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市、区县交通主管部门日常抽查记录。</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left"/>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4</w:t>
            </w:r>
          </w:p>
        </w:tc>
        <w:tc>
          <w:tcPr>
            <w:tcW w:w="469" w:type="pct"/>
            <w:vMerge w:val="restar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p>
            <w:pPr>
              <w:spacing w:line="260" w:lineRule="exact"/>
              <w:jc w:val="center"/>
              <w:rPr>
                <w:rFonts w:eastAsia="方正仿宋_GBK"/>
                <w:color w:val="000000"/>
                <w:szCs w:val="21"/>
              </w:rPr>
            </w:pPr>
            <w:r>
              <w:rPr>
                <w:rFonts w:eastAsia="方正仿宋_GBK"/>
                <w:color w:val="000000"/>
                <w:szCs w:val="21"/>
              </w:rPr>
              <w:t>安全生产</w:t>
            </w:r>
          </w:p>
          <w:p>
            <w:pPr>
              <w:spacing w:line="260" w:lineRule="exact"/>
              <w:jc w:val="center"/>
              <w:rPr>
                <w:rFonts w:eastAsia="方正仿宋_GBK"/>
                <w:color w:val="000000"/>
                <w:szCs w:val="21"/>
              </w:rPr>
            </w:pPr>
            <w:r>
              <w:rPr>
                <w:rFonts w:eastAsia="方正仿宋_GBK"/>
                <w:color w:val="000000"/>
                <w:szCs w:val="21"/>
              </w:rPr>
              <w:t>（25分）</w:t>
            </w:r>
          </w:p>
        </w:tc>
        <w:tc>
          <w:tcPr>
            <w:tcW w:w="502"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仿宋_GBK"/>
                <w:sz w:val="21"/>
                <w:szCs w:val="21"/>
              </w:rPr>
            </w:pPr>
            <w:r>
              <w:rPr>
                <w:rFonts w:eastAsia="方正仿宋_GBK"/>
                <w:sz w:val="21"/>
                <w:szCs w:val="21"/>
              </w:rPr>
              <w:t>制度落实</w:t>
            </w:r>
          </w:p>
        </w:tc>
        <w:tc>
          <w:tcPr>
            <w:tcW w:w="236"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仿宋_GBK"/>
                <w:bCs w:val="0"/>
                <w:iCs w:val="0"/>
                <w:kern w:val="2"/>
                <w:sz w:val="21"/>
                <w:szCs w:val="21"/>
              </w:rPr>
            </w:pPr>
            <w:r>
              <w:rPr>
                <w:rFonts w:eastAsia="方正仿宋_GBK"/>
                <w:bCs w:val="0"/>
                <w:iCs w:val="0"/>
                <w:kern w:val="2"/>
                <w:sz w:val="21"/>
                <w:szCs w:val="21"/>
              </w:rPr>
              <w:t>10</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仿宋_GBK"/>
                <w:bCs w:val="0"/>
                <w:iCs w:val="0"/>
                <w:kern w:val="2"/>
                <w:sz w:val="21"/>
                <w:szCs w:val="21"/>
              </w:rPr>
            </w:pPr>
            <w:r>
              <w:rPr>
                <w:rFonts w:eastAsia="方正仿宋_GBK"/>
                <w:bCs w:val="0"/>
                <w:iCs w:val="0"/>
                <w:kern w:val="2"/>
                <w:sz w:val="21"/>
                <w:szCs w:val="21"/>
              </w:rPr>
              <w:t>安全生产责任制、车辆维护保养、动态监控、从业人员聘用与教育培训、应急管理、双重预防机制等各项安全生产管理制度未落实的，每项次扣0.2分。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市、区县交通主管部门及综合执法机构检查记录或共享数据。</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left"/>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5</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黑体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黑体_GBK"/>
                <w:sz w:val="21"/>
                <w:szCs w:val="21"/>
              </w:rPr>
            </w:pPr>
            <w:r>
              <w:rPr>
                <w:rFonts w:eastAsia="方正仿宋_GBK"/>
                <w:sz w:val="21"/>
                <w:szCs w:val="21"/>
              </w:rPr>
              <w:t>挂牌督办</w:t>
            </w:r>
          </w:p>
        </w:tc>
        <w:tc>
          <w:tcPr>
            <w:tcW w:w="236"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jc w:val="center"/>
              <w:rPr>
                <w:rFonts w:eastAsia="方正仿宋_GBK"/>
                <w:bCs w:val="0"/>
                <w:iCs w:val="0"/>
                <w:kern w:val="2"/>
                <w:sz w:val="21"/>
                <w:szCs w:val="21"/>
              </w:rPr>
            </w:pPr>
            <w:r>
              <w:rPr>
                <w:rFonts w:eastAsia="方正仿宋_GBK"/>
                <w:bCs w:val="0"/>
                <w:iCs w:val="0"/>
                <w:kern w:val="2"/>
                <w:sz w:val="21"/>
                <w:szCs w:val="21"/>
              </w:rPr>
              <w:t>5</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仿宋_GBK"/>
                <w:bCs w:val="0"/>
                <w:iCs w:val="0"/>
                <w:kern w:val="2"/>
                <w:sz w:val="21"/>
                <w:szCs w:val="21"/>
              </w:rPr>
            </w:pPr>
            <w:r>
              <w:rPr>
                <w:rFonts w:eastAsia="方正仿宋_GBK"/>
                <w:bCs w:val="0"/>
                <w:iCs w:val="0"/>
                <w:kern w:val="2"/>
                <w:sz w:val="21"/>
                <w:szCs w:val="21"/>
              </w:rPr>
              <w:t>区县级挂牌督办的，每次扣1分，市级挂牌督办的，每次扣2.5分，国家部委级挂牌督办的，每次扣5分。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相关职能部门通报或共享数据、企业报表。</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left"/>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6</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仿宋_GBK"/>
                <w:sz w:val="21"/>
                <w:szCs w:val="21"/>
              </w:rPr>
            </w:pPr>
            <w:r>
              <w:rPr>
                <w:rFonts w:eastAsia="方正仿宋_GBK"/>
                <w:sz w:val="21"/>
                <w:szCs w:val="21"/>
              </w:rPr>
              <w:t>责任事故</w:t>
            </w:r>
          </w:p>
        </w:tc>
        <w:tc>
          <w:tcPr>
            <w:tcW w:w="236"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jc w:val="center"/>
              <w:rPr>
                <w:rFonts w:eastAsia="方正仿宋_GBK"/>
                <w:bCs w:val="0"/>
                <w:iCs w:val="0"/>
                <w:kern w:val="2"/>
                <w:sz w:val="21"/>
                <w:szCs w:val="21"/>
              </w:rPr>
            </w:pPr>
            <w:r>
              <w:rPr>
                <w:rFonts w:eastAsia="方正仿宋_GBK"/>
                <w:bCs w:val="0"/>
                <w:iCs w:val="0"/>
                <w:kern w:val="2"/>
                <w:sz w:val="21"/>
                <w:szCs w:val="21"/>
              </w:rPr>
              <w:t>10</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仿宋_GBK"/>
                <w:bCs w:val="0"/>
                <w:iCs w:val="0"/>
                <w:kern w:val="2"/>
                <w:sz w:val="21"/>
                <w:szCs w:val="21"/>
              </w:rPr>
            </w:pPr>
            <w:r>
              <w:rPr>
                <w:rFonts w:eastAsia="方正仿宋_GBK"/>
                <w:bCs w:val="0"/>
                <w:iCs w:val="0"/>
                <w:kern w:val="2"/>
                <w:sz w:val="21"/>
                <w:szCs w:val="21"/>
              </w:rPr>
              <w:t>公共汽车责任事故死亡率在0.03-0.06人/百万公里之间的，扣5分，大于0.06人/百万公里的，扣10分。存在瞒报、谎报或者拖延报告亡人责任事故的，每次扣3分。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公安交通管理部门安全事故统计信息、企业报表。责任事故指：公交客运企业承担同等及以上责任的交通安全事故。公共汽车责任事故死亡率=年度责任事故死亡人数/年度实际载客总里程。</w:t>
            </w:r>
          </w:p>
        </w:tc>
        <w:tc>
          <w:tcPr>
            <w:tcW w:w="301" w:type="pct"/>
            <w:tcBorders>
              <w:top w:val="single" w:color="auto" w:sz="4" w:space="0"/>
              <w:left w:val="single" w:color="auto" w:sz="4" w:space="0"/>
              <w:bottom w:val="single" w:color="auto" w:sz="4" w:space="0"/>
              <w:right w:val="single" w:color="auto" w:sz="4" w:space="0"/>
            </w:tcBorders>
            <w:noWrap w:val="0"/>
            <w:vAlign w:val="center"/>
          </w:tcPr>
          <w:p>
            <w:pPr>
              <w:pStyle w:val="4"/>
              <w:spacing w:line="260" w:lineRule="exact"/>
              <w:ind w:firstLine="24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7</w:t>
            </w:r>
          </w:p>
        </w:tc>
        <w:tc>
          <w:tcPr>
            <w:tcW w:w="469" w:type="pct"/>
            <w:vMerge w:val="restar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p>
            <w:pPr>
              <w:spacing w:line="260" w:lineRule="exact"/>
              <w:jc w:val="center"/>
              <w:rPr>
                <w:rFonts w:eastAsia="方正仿宋_GBK"/>
                <w:color w:val="000000"/>
                <w:szCs w:val="21"/>
              </w:rPr>
            </w:pPr>
            <w:r>
              <w:rPr>
                <w:rFonts w:eastAsia="方正仿宋_GBK"/>
                <w:color w:val="000000"/>
                <w:szCs w:val="21"/>
              </w:rPr>
              <w:t>服务质量</w:t>
            </w:r>
          </w:p>
          <w:p>
            <w:pPr>
              <w:spacing w:line="260" w:lineRule="exact"/>
              <w:jc w:val="center"/>
              <w:rPr>
                <w:rFonts w:eastAsia="方正仿宋_GBK"/>
                <w:color w:val="000000"/>
                <w:szCs w:val="21"/>
              </w:rPr>
            </w:pPr>
            <w:r>
              <w:rPr>
                <w:rFonts w:eastAsia="方正仿宋_GBK"/>
                <w:color w:val="000000"/>
                <w:szCs w:val="21"/>
              </w:rPr>
              <w:t>（30分）</w:t>
            </w: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color w:val="000000"/>
                <w:szCs w:val="21"/>
              </w:rPr>
            </w:pPr>
            <w:r>
              <w:rPr>
                <w:rFonts w:eastAsia="方正仿宋_GBK"/>
                <w:bCs/>
                <w:iCs/>
                <w:color w:val="000000"/>
                <w:kern w:val="0"/>
                <w:szCs w:val="21"/>
              </w:rPr>
              <w:t>有责投诉</w:t>
            </w:r>
            <w:r>
              <w:rPr>
                <w:rFonts w:eastAsia="方正仿宋_GBK"/>
                <w:color w:val="000000"/>
                <w:szCs w:val="21"/>
              </w:rPr>
              <w:t>率</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10</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有责投诉率高于13件/百万人次(中心城区以外各区县为18件/百万人次)的，每高1件/百万人次扣0.5分，扣完为止。</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市、区县交通主管部门通过市民服务热线12345、交通运输执法等投诉方式受理的有责投诉记录。有责投诉率=年度受理有责投诉件数/年度客运量。</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left"/>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8</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color w:val="000000"/>
                <w:szCs w:val="21"/>
              </w:rPr>
            </w:pPr>
            <w:r>
              <w:rPr>
                <w:rFonts w:eastAsia="方正仿宋_GBK"/>
                <w:color w:val="000000"/>
                <w:szCs w:val="21"/>
              </w:rPr>
              <w:t>数据报送</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10</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未按交通行业管理部门要求，按时报送（传输）运营信息、统计报表等资料，或者报送质量不符合要求，未在规定时限内补报的，每次扣0.5分。存在虚报、瞒报、造假等严重情形的，每次扣3分。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市、区县道路运输事务机构日常记录。</w:t>
            </w:r>
          </w:p>
        </w:tc>
        <w:tc>
          <w:tcPr>
            <w:tcW w:w="301" w:type="pct"/>
            <w:tcBorders>
              <w:top w:val="single" w:color="auto" w:sz="4" w:space="0"/>
              <w:left w:val="single" w:color="auto" w:sz="4" w:space="0"/>
              <w:bottom w:val="single" w:color="auto" w:sz="4" w:space="0"/>
              <w:right w:val="single" w:color="auto" w:sz="4" w:space="0"/>
            </w:tcBorders>
            <w:noWrap w:val="0"/>
            <w:vAlign w:val="center"/>
          </w:tcPr>
          <w:p>
            <w:pPr>
              <w:pStyle w:val="4"/>
              <w:spacing w:line="260" w:lineRule="exact"/>
              <w:ind w:firstLine="24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9</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color w:val="000000"/>
                <w:szCs w:val="21"/>
              </w:rPr>
            </w:pPr>
            <w:r>
              <w:rPr>
                <w:rFonts w:eastAsia="方正仿宋_GBK"/>
                <w:color w:val="000000"/>
                <w:szCs w:val="21"/>
              </w:rPr>
              <w:t>负面事件</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10</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发生有责服务质量事件，被报刊负面报道</w:t>
            </w:r>
            <w:r>
              <w:rPr>
                <w:rFonts w:eastAsia="方正黑体_GBK"/>
                <w:color w:val="000000"/>
                <w:szCs w:val="21"/>
              </w:rPr>
              <w:t>的</w:t>
            </w:r>
            <w:r>
              <w:rPr>
                <w:rFonts w:eastAsia="方正仿宋_GBK"/>
                <w:color w:val="000000"/>
                <w:szCs w:val="21"/>
              </w:rPr>
              <w:t>，</w:t>
            </w:r>
            <w:r>
              <w:rPr>
                <w:rFonts w:eastAsia="方正黑体_GBK"/>
                <w:szCs w:val="21"/>
              </w:rPr>
              <w:t>国家级媒体曝光扣2分，市级媒体曝光扣1分，</w:t>
            </w:r>
            <w:r>
              <w:rPr>
                <w:rFonts w:eastAsia="方正仿宋_GBK"/>
                <w:color w:val="000000"/>
                <w:szCs w:val="21"/>
              </w:rPr>
              <w:t>同一事件被不同媒体多次报道的，只取最高扣分，不重复计算。</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市、区县道路运输机构收集记录。中央、市内主流媒体限人民日报、新华社、中央电视台以及重庆电视台、重庆日报、重庆商报、重庆晨报、上游新闻等主流媒体。</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69" w:type="pct"/>
            <w:tcBorders>
              <w:top w:val="single" w:color="auto" w:sz="4" w:space="0"/>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10</w:t>
            </w:r>
          </w:p>
        </w:tc>
        <w:tc>
          <w:tcPr>
            <w:tcW w:w="469" w:type="pct"/>
            <w:vMerge w:val="restart"/>
            <w:tcBorders>
              <w:top w:val="single" w:color="auto" w:sz="4" w:space="0"/>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社会责任</w:t>
            </w:r>
          </w:p>
          <w:p>
            <w:pPr>
              <w:spacing w:line="260" w:lineRule="exact"/>
              <w:jc w:val="center"/>
              <w:rPr>
                <w:rFonts w:eastAsia="方正仿宋_GBK"/>
                <w:color w:val="000000"/>
                <w:szCs w:val="21"/>
              </w:rPr>
            </w:pPr>
            <w:r>
              <w:rPr>
                <w:rFonts w:eastAsia="方正仿宋_GBK"/>
                <w:color w:val="000000"/>
                <w:szCs w:val="21"/>
              </w:rPr>
              <w:t>（20分）</w:t>
            </w: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bCs/>
                <w:iCs/>
                <w:color w:val="000000"/>
                <w:kern w:val="0"/>
                <w:szCs w:val="21"/>
              </w:rPr>
            </w:pPr>
            <w:r>
              <w:rPr>
                <w:rFonts w:eastAsia="方正仿宋_GBK"/>
                <w:bCs/>
                <w:iCs/>
                <w:color w:val="000000"/>
                <w:kern w:val="0"/>
                <w:szCs w:val="21"/>
              </w:rPr>
              <w:t>应急运输</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bCs/>
                <w:color w:val="000000"/>
                <w:szCs w:val="21"/>
              </w:rPr>
              <w:t>8</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未保质保量完成指令性、突发性运输任务重要时段、重大公共活动的运力供给和集疏运任务的，每次扣2分。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市、区县交通主管部门运输调度记录。</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11</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bCs/>
                <w:iCs/>
                <w:color w:val="000000"/>
                <w:kern w:val="0"/>
                <w:szCs w:val="21"/>
              </w:rPr>
            </w:pPr>
            <w:r>
              <w:rPr>
                <w:rFonts w:eastAsia="方正仿宋_GBK"/>
                <w:bCs/>
                <w:iCs/>
                <w:color w:val="000000"/>
                <w:kern w:val="0"/>
                <w:szCs w:val="21"/>
              </w:rPr>
              <w:t>信访稳定</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bCs/>
                <w:color w:val="000000"/>
                <w:szCs w:val="21"/>
              </w:rPr>
              <w:t>6</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组织或者引发5-9人集访的，每次扣1分；组织或者引发10人（含）以上集访的，每次扣2分；以拦车、堵路、损坏公共设施等非正当方式破坏客运秩序的，每次扣3分。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市、区县交通主管部门记录、相关职能部门通报。</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12</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bCs/>
                <w:color w:val="000000"/>
                <w:szCs w:val="21"/>
              </w:rPr>
            </w:pPr>
            <w:r>
              <w:rPr>
                <w:rFonts w:eastAsia="方正仿宋_GBK"/>
                <w:bCs/>
                <w:color w:val="000000"/>
                <w:szCs w:val="21"/>
              </w:rPr>
              <w:t>新能源应用</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bCs/>
                <w:color w:val="000000"/>
                <w:szCs w:val="21"/>
              </w:rPr>
              <w:t>6</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年度新增（更新）公交车新能源车占比（新能源公交车应用率）未达80%的，每低1个百分点扣0.5分。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企业报表或共享数据。新能源公交车应用率=年度新增（更新）新能源公交车辆数/年度新增（更新）公交车总数*100%。</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13</w:t>
            </w:r>
          </w:p>
        </w:tc>
        <w:tc>
          <w:tcPr>
            <w:tcW w:w="469" w:type="pct"/>
            <w:vMerge w:val="restar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加分项目</w:t>
            </w:r>
          </w:p>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表彰奖励</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企业及从业人员安全生产、文明服务等方面成绩突出，受到交通运输部或者市政府以上表彰的，每次加1分；受到市交通主管部门（含道路运输机构）或者区县政府表彰的，每次加0.5分。累计加分不超过3分。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企业提供的获奖证明。</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14</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正面宣传</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运营服务中涌现的好人好事被各级主流新闻媒体报道的，国家级每件次加1分，市级每件次加0.5分。同一事迹多层次报道的，按最高级媒体报道的标准加分，累计加分不超过2分。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企业提供的证明材料。</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合计</w:t>
            </w:r>
          </w:p>
        </w:tc>
        <w:tc>
          <w:tcPr>
            <w:tcW w:w="4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100分</w:t>
            </w: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100分</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38" w:type="pct"/>
            <w:gridSpan w:val="2"/>
            <w:vMerge w:val="restar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楷体_GBK"/>
                <w:b/>
                <w:bCs/>
                <w:color w:val="000000"/>
                <w:sz w:val="22"/>
                <w:szCs w:val="22"/>
              </w:rPr>
              <w:t>评价结论</w:t>
            </w:r>
          </w:p>
        </w:tc>
        <w:tc>
          <w:tcPr>
            <w:tcW w:w="738"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3624" w:type="pct"/>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38" w:type="pct"/>
            <w:gridSpan w:val="2"/>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738"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3624" w:type="pct"/>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38" w:type="pct"/>
            <w:gridSpan w:val="2"/>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738"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1850" w:type="pct"/>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kern w:val="0"/>
                <w:sz w:val="22"/>
                <w:szCs w:val="22"/>
                <w:lang w:bidi="ar"/>
              </w:rPr>
              <w:t>评价日期</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仿宋_GB2312"/>
                <w:color w:val="000000"/>
                <w:sz w:val="20"/>
              </w:rPr>
              <w:t xml:space="preserve">     年    月    日</w:t>
            </w:r>
          </w:p>
        </w:tc>
      </w:tr>
    </w:tbl>
    <w:p>
      <w:pPr>
        <w:pStyle w:val="5"/>
        <w:rPr>
          <w:rFonts w:eastAsia="方正仿宋_GBK"/>
          <w:color w:val="000000"/>
          <w:szCs w:val="21"/>
        </w:rPr>
      </w:pPr>
      <w:r>
        <w:rPr>
          <w:rFonts w:eastAsia="方正仿宋_GBK"/>
          <w:color w:val="000000"/>
          <w:szCs w:val="21"/>
        </w:rPr>
        <w:t>注：信用记录和得分由企业注册地所在区道路运输机构录入系统，其他相关区道路运输机构和市道路运输机构应将掌握的企业信用记录抄送企业注册地所在区县道路运输机构。</w:t>
      </w:r>
    </w:p>
    <w:p>
      <w:pPr>
        <w:rPr>
          <w:rFonts w:eastAsia="方正仿宋_GBK"/>
          <w:color w:val="000000"/>
          <w:szCs w:val="21"/>
        </w:rPr>
      </w:pPr>
      <w:r>
        <w:rPr>
          <w:rFonts w:eastAsia="方正仿宋_GBK"/>
          <w:color w:val="000000"/>
          <w:szCs w:val="21"/>
        </w:rPr>
        <w:br w:type="page"/>
      </w:r>
    </w:p>
    <w:p>
      <w:pPr>
        <w:jc w:val="left"/>
        <w:rPr>
          <w:rFonts w:eastAsia="方正黑体_GBK"/>
          <w:sz w:val="32"/>
          <w:szCs w:val="32"/>
        </w:rPr>
      </w:pPr>
      <w:r>
        <w:rPr>
          <w:rFonts w:eastAsia="方正黑体_GBK"/>
          <w:color w:val="000000"/>
          <w:sz w:val="32"/>
          <w:szCs w:val="32"/>
        </w:rPr>
        <w:t>附件1-5</w:t>
      </w:r>
    </w:p>
    <w:p>
      <w:pPr>
        <w:spacing w:line="600" w:lineRule="exact"/>
        <w:jc w:val="center"/>
        <w:rPr>
          <w:rFonts w:eastAsia="方正小标宋_GBK"/>
          <w:bCs/>
          <w:kern w:val="0"/>
          <w:sz w:val="44"/>
          <w:szCs w:val="44"/>
          <w:lang w:bidi="ar"/>
        </w:rPr>
      </w:pPr>
      <w:r>
        <w:rPr>
          <w:rFonts w:eastAsia="方正小标宋_GBK"/>
          <w:bCs/>
          <w:kern w:val="0"/>
          <w:sz w:val="44"/>
          <w:szCs w:val="44"/>
          <w:lang w:bidi="ar"/>
        </w:rPr>
        <w:t>重庆市巡游出租汽车经营者信用评价标准</w:t>
      </w:r>
    </w:p>
    <w:p>
      <w:pPr>
        <w:spacing w:line="600" w:lineRule="exact"/>
        <w:jc w:val="left"/>
        <w:rPr>
          <w:bCs/>
          <w:kern w:val="0"/>
          <w:sz w:val="32"/>
          <w:szCs w:val="32"/>
          <w:lang w:bidi="ar"/>
        </w:rPr>
      </w:pPr>
      <w:r>
        <w:rPr>
          <w:rFonts w:eastAsia="方正仿宋_GBK"/>
          <w:bCs/>
          <w:kern w:val="0"/>
          <w:sz w:val="28"/>
          <w:szCs w:val="28"/>
          <w:lang w:bidi="ar"/>
        </w:rPr>
        <w:t>被评价企业：                                                            评价年度：</w:t>
      </w:r>
    </w:p>
    <w:tbl>
      <w:tblPr>
        <w:tblStyle w:val="11"/>
        <w:tblW w:w="13719" w:type="dxa"/>
        <w:jc w:val="center"/>
        <w:tblLayout w:type="fixed"/>
        <w:tblCellMar>
          <w:top w:w="0" w:type="dxa"/>
          <w:left w:w="108" w:type="dxa"/>
          <w:bottom w:w="0" w:type="dxa"/>
          <w:right w:w="108" w:type="dxa"/>
        </w:tblCellMar>
      </w:tblPr>
      <w:tblGrid>
        <w:gridCol w:w="555"/>
        <w:gridCol w:w="1306"/>
        <w:gridCol w:w="1155"/>
        <w:gridCol w:w="877"/>
        <w:gridCol w:w="5148"/>
        <w:gridCol w:w="1306"/>
        <w:gridCol w:w="241"/>
        <w:gridCol w:w="1544"/>
        <w:gridCol w:w="1587"/>
      </w:tblGrid>
      <w:tr>
        <w:tblPrEx>
          <w:tblCellMar>
            <w:top w:w="0" w:type="dxa"/>
            <w:left w:w="108" w:type="dxa"/>
            <w:bottom w:w="0" w:type="dxa"/>
            <w:right w:w="108" w:type="dxa"/>
          </w:tblCellMar>
        </w:tblPrEx>
        <w:trPr>
          <w:trHeight w:val="702" w:hRule="atLeast"/>
          <w:tblHeader/>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序号</w:t>
            </w:r>
          </w:p>
        </w:tc>
        <w:tc>
          <w:tcPr>
            <w:tcW w:w="1306"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一级指标及分值</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eastAsia="方正黑体_GBK"/>
                <w:bCs/>
                <w:kern w:val="0"/>
                <w:sz w:val="24"/>
                <w:lang w:bidi="ar"/>
              </w:rPr>
            </w:pPr>
            <w:r>
              <w:rPr>
                <w:rFonts w:eastAsia="方正黑体_GBK"/>
                <w:bCs/>
                <w:kern w:val="0"/>
                <w:sz w:val="24"/>
                <w:lang w:bidi="ar"/>
              </w:rPr>
              <w:t>二级</w:t>
            </w:r>
          </w:p>
          <w:p>
            <w:pPr>
              <w:widowControl/>
              <w:spacing w:line="240" w:lineRule="exact"/>
              <w:jc w:val="center"/>
              <w:textAlignment w:val="center"/>
              <w:rPr>
                <w:rFonts w:eastAsia="方正黑体_GBK"/>
                <w:bCs/>
                <w:kern w:val="0"/>
                <w:sz w:val="24"/>
                <w:lang w:bidi="ar"/>
              </w:rPr>
            </w:pPr>
            <w:r>
              <w:rPr>
                <w:rFonts w:eastAsia="方正黑体_GBK"/>
                <w:bCs/>
                <w:kern w:val="0"/>
                <w:sz w:val="24"/>
                <w:lang w:bidi="ar"/>
              </w:rPr>
              <w:t>指标</w:t>
            </w:r>
          </w:p>
        </w:tc>
        <w:tc>
          <w:tcPr>
            <w:tcW w:w="87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分值</w:t>
            </w: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评分标准</w:t>
            </w:r>
          </w:p>
        </w:tc>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数据来源</w:t>
            </w:r>
          </w:p>
        </w:tc>
        <w:tc>
          <w:tcPr>
            <w:tcW w:w="1587" w:type="dxa"/>
            <w:tcBorders>
              <w:top w:val="single" w:color="000000" w:sz="4" w:space="0"/>
              <w:left w:val="nil"/>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得分</w:t>
            </w:r>
          </w:p>
        </w:tc>
      </w:tr>
      <w:tr>
        <w:tblPrEx>
          <w:tblCellMar>
            <w:top w:w="0" w:type="dxa"/>
            <w:left w:w="108" w:type="dxa"/>
            <w:bottom w:w="0" w:type="dxa"/>
            <w:right w:w="108" w:type="dxa"/>
          </w:tblCellMar>
        </w:tblPrEx>
        <w:trPr>
          <w:trHeight w:val="1025" w:hRule="atLeast"/>
          <w:jc w:val="center"/>
        </w:trPr>
        <w:tc>
          <w:tcPr>
            <w:tcW w:w="555"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1</w:t>
            </w:r>
          </w:p>
        </w:tc>
        <w:tc>
          <w:tcPr>
            <w:tcW w:w="1306" w:type="dxa"/>
            <w:vMerge w:val="restart"/>
            <w:tcBorders>
              <w:left w:val="single" w:color="000000" w:sz="4" w:space="0"/>
              <w:right w:val="single" w:color="000000" w:sz="4" w:space="0"/>
            </w:tcBorders>
            <w:noWrap w:val="0"/>
            <w:vAlign w:val="center"/>
          </w:tcPr>
          <w:p>
            <w:pPr>
              <w:widowControl/>
              <w:spacing w:line="240" w:lineRule="exact"/>
              <w:jc w:val="center"/>
              <w:textAlignment w:val="center"/>
              <w:rPr>
                <w:rFonts w:eastAsia="方正楷体_GBK"/>
                <w:bCs/>
                <w:kern w:val="0"/>
                <w:sz w:val="22"/>
                <w:szCs w:val="22"/>
                <w:lang w:bidi="ar"/>
              </w:rPr>
            </w:pPr>
            <w:r>
              <w:rPr>
                <w:rFonts w:eastAsia="方正楷体_GBK"/>
                <w:bCs/>
                <w:kern w:val="0"/>
                <w:sz w:val="22"/>
                <w:szCs w:val="22"/>
                <w:lang w:bidi="ar"/>
              </w:rPr>
              <w:t>经营管理（20分）</w:t>
            </w:r>
          </w:p>
        </w:tc>
        <w:tc>
          <w:tcPr>
            <w:tcW w:w="115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人员及行车管理</w:t>
            </w:r>
          </w:p>
        </w:tc>
        <w:tc>
          <w:tcPr>
            <w:tcW w:w="87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乘客离车评价中，所属驾驶员离车评价差评率（差评数与总评价数比值）高于1.5%的，每增加0.1%扣0.1分；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所属车辆违反道路交通规定，月均违章率（违章次数与车辆总数比值）高于0.5次/车的，每增加0.1</w:t>
            </w:r>
            <w:r>
              <w:rPr>
                <w:rFonts w:eastAsia="方正仿宋_GBK"/>
                <w:kern w:val="0"/>
                <w:sz w:val="22"/>
                <w:szCs w:val="22"/>
                <w:lang w:val="en" w:bidi="ar"/>
              </w:rPr>
              <w:t>次/车</w:t>
            </w:r>
            <w:r>
              <w:rPr>
                <w:rFonts w:eastAsia="方正仿宋_GBK"/>
                <w:kern w:val="0"/>
                <w:sz w:val="22"/>
                <w:szCs w:val="22"/>
                <w:lang w:bidi="ar"/>
              </w:rPr>
              <w:t>扣0.1分；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未按照管理要求，对纳入管理系统</w:t>
            </w:r>
            <w:r>
              <w:rPr>
                <w:rFonts w:eastAsia="方正仿宋_GBK"/>
                <w:kern w:val="0"/>
                <w:sz w:val="22"/>
                <w:szCs w:val="22"/>
                <w:lang w:val="en" w:bidi="ar"/>
              </w:rPr>
              <w:t>预</w:t>
            </w:r>
            <w:r>
              <w:rPr>
                <w:rFonts w:eastAsia="方正仿宋_GBK"/>
                <w:kern w:val="0"/>
                <w:sz w:val="22"/>
                <w:szCs w:val="22"/>
                <w:lang w:bidi="ar"/>
              </w:rPr>
              <w:t>警的驾驶员（服务监管系统中每月纳入警示提醒的人员）采取有效措施进行处置的，每月驾驶员处置率（已处理驾驶员人员与纳入报警的驾驶员总数）每低1%扣0.5分。</w:t>
            </w:r>
          </w:p>
        </w:tc>
        <w:tc>
          <w:tcPr>
            <w:tcW w:w="178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公安部门数据共享，交通部门统计</w:t>
            </w:r>
          </w:p>
        </w:tc>
        <w:tc>
          <w:tcPr>
            <w:tcW w:w="1587" w:type="dxa"/>
            <w:tcBorders>
              <w:left w:val="nil"/>
              <w:bottom w:val="single" w:color="auto"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631" w:hRule="atLeast"/>
          <w:jc w:val="center"/>
        </w:trPr>
        <w:tc>
          <w:tcPr>
            <w:tcW w:w="555"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2</w:t>
            </w:r>
          </w:p>
        </w:tc>
        <w:tc>
          <w:tcPr>
            <w:tcW w:w="1306" w:type="dxa"/>
            <w:vMerge w:val="continue"/>
            <w:tcBorders>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楷体_GBK"/>
                <w:bCs/>
                <w:kern w:val="0"/>
                <w:sz w:val="22"/>
                <w:szCs w:val="22"/>
                <w:lang w:bidi="ar"/>
              </w:rPr>
            </w:pPr>
          </w:p>
        </w:tc>
        <w:tc>
          <w:tcPr>
            <w:tcW w:w="115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责任落实</w:t>
            </w:r>
          </w:p>
        </w:tc>
        <w:tc>
          <w:tcPr>
            <w:tcW w:w="87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未按照法规规章规定，或者行业管理要求、行业自律安排，落实经营者经营管理责任，以及不履行承诺事项，被交通部门处置（包括但不限于责令整改、通报）的，每次扣0.5分；被交通部门约谈的，每次加扣1分。</w:t>
            </w:r>
          </w:p>
        </w:tc>
        <w:tc>
          <w:tcPr>
            <w:tcW w:w="178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587" w:type="dxa"/>
            <w:tcBorders>
              <w:top w:val="single" w:color="auto" w:sz="4" w:space="0"/>
              <w:left w:val="nil"/>
              <w:bottom w:val="single" w:color="auto"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616" w:hRule="atLeast"/>
          <w:jc w:val="center"/>
        </w:trPr>
        <w:tc>
          <w:tcPr>
            <w:tcW w:w="555"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3</w:t>
            </w:r>
          </w:p>
        </w:tc>
        <w:tc>
          <w:tcPr>
            <w:tcW w:w="1306" w:type="dxa"/>
            <w:vMerge w:val="restart"/>
            <w:tcBorders>
              <w:top w:val="single" w:color="auto" w:sz="4" w:space="0"/>
              <w:left w:val="single" w:color="000000" w:sz="4" w:space="0"/>
              <w:right w:val="nil"/>
            </w:tcBorders>
            <w:noWrap w:val="0"/>
            <w:vAlign w:val="center"/>
          </w:tcPr>
          <w:p>
            <w:pPr>
              <w:widowControl/>
              <w:spacing w:line="240" w:lineRule="exact"/>
              <w:jc w:val="center"/>
              <w:textAlignment w:val="center"/>
              <w:rPr>
                <w:rFonts w:eastAsia="方正楷体_GBK"/>
                <w:bCs/>
                <w:sz w:val="22"/>
                <w:szCs w:val="22"/>
              </w:rPr>
            </w:pPr>
            <w:r>
              <w:rPr>
                <w:rFonts w:eastAsia="方正楷体_GBK"/>
                <w:bCs/>
                <w:kern w:val="0"/>
                <w:sz w:val="22"/>
                <w:szCs w:val="22"/>
                <w:lang w:bidi="ar"/>
              </w:rPr>
              <w:t>安全生产（30分）</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交通责任</w:t>
            </w:r>
          </w:p>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事故亡人情况</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发生交通责任事故（负同责及以上的）致人死亡，每增加0.001人/车.年扣3分（除0值外，不足0.001的，按0.001计，以此类推）；交通责任事故（负同责及以上的）累计死亡2人（含）及以上的，一次性扣完本项分值。</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发生交通亡人事故，存在瞒报、谎报亡人事故情况的，每次扣2分。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公安部门数据共享，交通部门年度统计</w:t>
            </w:r>
          </w:p>
        </w:tc>
        <w:tc>
          <w:tcPr>
            <w:tcW w:w="1587" w:type="dxa"/>
            <w:tcBorders>
              <w:top w:val="single" w:color="000000" w:sz="4" w:space="0"/>
              <w:left w:val="nil"/>
              <w:bottom w:val="single" w:color="auto"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p>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43" w:hRule="atLeast"/>
          <w:jc w:val="center"/>
        </w:trPr>
        <w:tc>
          <w:tcPr>
            <w:tcW w:w="55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4</w:t>
            </w:r>
          </w:p>
        </w:tc>
        <w:tc>
          <w:tcPr>
            <w:tcW w:w="1306" w:type="dxa"/>
            <w:vMerge w:val="continue"/>
            <w:tcBorders>
              <w:left w:val="single" w:color="000000" w:sz="4" w:space="0"/>
              <w:right w:val="nil"/>
            </w:tcBorders>
            <w:noWrap w:val="0"/>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交通事故情况</w:t>
            </w:r>
          </w:p>
        </w:tc>
        <w:tc>
          <w:tcPr>
            <w:tcW w:w="87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所属车辆发生道路交通责任事故（负同责及以上的），事故率（事故次数与车辆总数比值）高于0.5次/车的，每增加0.1次/车扣0.2分。</w:t>
            </w:r>
          </w:p>
        </w:tc>
        <w:tc>
          <w:tcPr>
            <w:tcW w:w="1785"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公安部门数据共享，交通部门统计</w:t>
            </w:r>
          </w:p>
        </w:tc>
        <w:tc>
          <w:tcPr>
            <w:tcW w:w="1587" w:type="dxa"/>
            <w:tcBorders>
              <w:top w:val="single" w:color="auto" w:sz="4" w:space="0"/>
              <w:left w:val="nil"/>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val="en" w:bidi="ar"/>
              </w:rPr>
            </w:pPr>
          </w:p>
        </w:tc>
      </w:tr>
      <w:tr>
        <w:tblPrEx>
          <w:tblCellMar>
            <w:top w:w="0" w:type="dxa"/>
            <w:left w:w="108" w:type="dxa"/>
            <w:bottom w:w="0" w:type="dxa"/>
            <w:right w:w="108" w:type="dxa"/>
          </w:tblCellMar>
        </w:tblPrEx>
        <w:trPr>
          <w:trHeight w:val="319"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5</w:t>
            </w:r>
          </w:p>
        </w:tc>
        <w:tc>
          <w:tcPr>
            <w:tcW w:w="1306" w:type="dxa"/>
            <w:vMerge w:val="continue"/>
            <w:tcBorders>
              <w:left w:val="single" w:color="000000" w:sz="4" w:space="0"/>
              <w:bottom w:val="single" w:color="auto" w:sz="4" w:space="0"/>
              <w:right w:val="nil"/>
            </w:tcBorders>
            <w:noWrap w:val="0"/>
            <w:vAlign w:val="center"/>
          </w:tcPr>
          <w:p>
            <w:pPr>
              <w:widowControl/>
              <w:spacing w:line="240" w:lineRule="exact"/>
              <w:jc w:val="center"/>
              <w:rPr>
                <w:rFonts w:eastAsia="方正楷体_GBK"/>
                <w:bCs/>
                <w:sz w:val="22"/>
                <w:szCs w:val="22"/>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安全生产隐患整顿处置</w:t>
            </w:r>
          </w:p>
        </w:tc>
        <w:tc>
          <w:tcPr>
            <w:tcW w:w="8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日常安全生产检查中，被交通执法部门依法处罚的，每件次扣0.5分。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因存在严重安全生产隐患，被列入重点安全监管名单的，每次扣 3 分，被处以部分停业整顿的，每次扣5分，被处以全部停业整顿的，每次扣10分。</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交通部门（执法）录入、市安办通报数据转入</w:t>
            </w:r>
          </w:p>
        </w:tc>
        <w:tc>
          <w:tcPr>
            <w:tcW w:w="1587" w:type="dxa"/>
            <w:tcBorders>
              <w:top w:val="single" w:color="auto" w:sz="4" w:space="0"/>
              <w:left w:val="nil"/>
              <w:bottom w:val="single" w:color="auto"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490" w:hRule="atLeast"/>
          <w:jc w:val="center"/>
        </w:trPr>
        <w:tc>
          <w:tcPr>
            <w:tcW w:w="555"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6</w:t>
            </w:r>
          </w:p>
        </w:tc>
        <w:tc>
          <w:tcPr>
            <w:tcW w:w="1306" w:type="dxa"/>
            <w:vMerge w:val="restart"/>
            <w:tcBorders>
              <w:top w:val="single" w:color="auto" w:sz="4" w:space="0"/>
              <w:left w:val="single" w:color="000000" w:sz="4" w:space="0"/>
              <w:right w:val="single" w:color="000000" w:sz="4" w:space="0"/>
            </w:tcBorders>
            <w:noWrap w:val="0"/>
            <w:vAlign w:val="center"/>
          </w:tcPr>
          <w:p>
            <w:pPr>
              <w:widowControl/>
              <w:spacing w:line="240" w:lineRule="exact"/>
              <w:jc w:val="center"/>
              <w:textAlignment w:val="center"/>
              <w:rPr>
                <w:rFonts w:eastAsia="方正楷体_GBK"/>
                <w:bCs/>
                <w:kern w:val="0"/>
                <w:sz w:val="22"/>
                <w:szCs w:val="22"/>
                <w:lang w:bidi="ar"/>
              </w:rPr>
            </w:pPr>
            <w:r>
              <w:rPr>
                <w:rFonts w:eastAsia="方正楷体_GBK"/>
                <w:bCs/>
                <w:kern w:val="0"/>
                <w:sz w:val="22"/>
                <w:szCs w:val="22"/>
                <w:lang w:bidi="ar"/>
              </w:rPr>
              <w:t>服务质量（30分）</w:t>
            </w:r>
          </w:p>
        </w:tc>
        <w:tc>
          <w:tcPr>
            <w:tcW w:w="115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社会文明</w:t>
            </w:r>
          </w:p>
        </w:tc>
        <w:tc>
          <w:tcPr>
            <w:tcW w:w="87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5</w:t>
            </w:r>
          </w:p>
        </w:tc>
        <w:tc>
          <w:tcPr>
            <w:tcW w:w="64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驾驶员存在违背公序良俗或社会文明等行为，被交通部门处置（包括但不限于责令整改、通报）的，</w:t>
            </w:r>
            <w:r>
              <w:rPr>
                <w:rFonts w:eastAsia="方正仿宋_GBK"/>
                <w:kern w:val="0"/>
                <w:sz w:val="22"/>
                <w:szCs w:val="22"/>
                <w:lang w:val="en" w:bidi="ar"/>
              </w:rPr>
              <w:t>每增加0.01次/车</w:t>
            </w:r>
            <w:r>
              <w:rPr>
                <w:rFonts w:eastAsia="方正仿宋_GBK"/>
                <w:kern w:val="0"/>
                <w:sz w:val="22"/>
                <w:szCs w:val="22"/>
                <w:lang w:bidi="ar"/>
              </w:rPr>
              <w:t>扣0.5分。</w:t>
            </w:r>
          </w:p>
        </w:tc>
        <w:tc>
          <w:tcPr>
            <w:tcW w:w="178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587" w:type="dxa"/>
            <w:tcBorders>
              <w:top w:val="single" w:color="auto" w:sz="4" w:space="0"/>
              <w:left w:val="nil"/>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90" w:hRule="atLeast"/>
          <w:jc w:val="center"/>
        </w:trPr>
        <w:tc>
          <w:tcPr>
            <w:tcW w:w="555"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7</w:t>
            </w:r>
          </w:p>
        </w:tc>
        <w:tc>
          <w:tcPr>
            <w:tcW w:w="1306" w:type="dxa"/>
            <w:vMerge w:val="continue"/>
            <w:tcBorders>
              <w:left w:val="single" w:color="000000" w:sz="4" w:space="0"/>
              <w:right w:val="single" w:color="000000" w:sz="4" w:space="0"/>
            </w:tcBorders>
            <w:noWrap w:val="0"/>
            <w:vAlign w:val="center"/>
          </w:tcPr>
          <w:p>
            <w:pPr>
              <w:widowControl/>
              <w:spacing w:line="240" w:lineRule="exact"/>
              <w:jc w:val="center"/>
              <w:textAlignment w:val="center"/>
              <w:rPr>
                <w:rFonts w:eastAsia="方正楷体_GBK"/>
                <w:bCs/>
                <w:kern w:val="0"/>
                <w:sz w:val="22"/>
                <w:szCs w:val="22"/>
                <w:lang w:bidi="ar"/>
              </w:rPr>
            </w:pPr>
          </w:p>
        </w:tc>
        <w:tc>
          <w:tcPr>
            <w:tcW w:w="115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负面舆情</w:t>
            </w:r>
          </w:p>
        </w:tc>
        <w:tc>
          <w:tcPr>
            <w:tcW w:w="87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5</w:t>
            </w:r>
          </w:p>
        </w:tc>
        <w:tc>
          <w:tcPr>
            <w:tcW w:w="64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因运营服务、经营管理等原因被新闻媒体曝光造成负面影响的，国家级媒体扣2分，市级媒体扣1.5分，成为社会媒体关注重点被有关部门抄告的扣1分。曝光事项属于经营者经营问题的，按件次对应扣分；曝光事项属于经营者所属车辆问题的，按每增加0.01次/车对应扣分。（同一事件多层曝光的，以最高层级媒体曝光的标准扣分）</w:t>
            </w:r>
          </w:p>
        </w:tc>
        <w:tc>
          <w:tcPr>
            <w:tcW w:w="178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587" w:type="dxa"/>
            <w:tcBorders>
              <w:top w:val="single" w:color="auto" w:sz="4" w:space="0"/>
              <w:left w:val="nil"/>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63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sz w:val="22"/>
                <w:szCs w:val="22"/>
              </w:rPr>
              <w:t>8</w:t>
            </w:r>
          </w:p>
        </w:tc>
        <w:tc>
          <w:tcPr>
            <w:tcW w:w="1306" w:type="dxa"/>
            <w:vMerge w:val="continue"/>
            <w:tcBorders>
              <w:left w:val="single" w:color="000000" w:sz="4" w:space="0"/>
              <w:right w:val="single" w:color="000000" w:sz="4" w:space="0"/>
            </w:tcBorders>
            <w:noWrap w:val="0"/>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有责投诉率</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有责投诉率每增加0.01次/车扣0.1分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交通部门（执法）年度统计，根据数据测算</w:t>
            </w:r>
          </w:p>
        </w:tc>
        <w:tc>
          <w:tcPr>
            <w:tcW w:w="1587" w:type="dxa"/>
            <w:tcBorders>
              <w:top w:val="single" w:color="auto" w:sz="4" w:space="0"/>
              <w:left w:val="nil"/>
              <w:bottom w:val="single" w:color="auto" w:sz="4" w:space="0"/>
              <w:right w:val="single" w:color="000000" w:sz="4" w:space="0"/>
            </w:tcBorders>
            <w:noWrap w:val="0"/>
            <w:vAlign w:val="bottom"/>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1016"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sz w:val="22"/>
                <w:szCs w:val="22"/>
              </w:rPr>
              <w:t>9</w:t>
            </w:r>
          </w:p>
        </w:tc>
        <w:tc>
          <w:tcPr>
            <w:tcW w:w="1306"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运营违规查处</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因发生拒载、故意绕道、甩客等运营违规行为而被执法部门查处的，查处车辆违规率（被查处违规车次与总车辆数比值）每</w:t>
            </w:r>
            <w:r>
              <w:rPr>
                <w:rFonts w:hint="eastAsia" w:eastAsia="方正仿宋_GBK"/>
                <w:kern w:val="0"/>
                <w:sz w:val="22"/>
                <w:szCs w:val="22"/>
                <w:lang w:bidi="ar"/>
              </w:rPr>
              <w:t>增加</w:t>
            </w:r>
            <w:r>
              <w:rPr>
                <w:rFonts w:eastAsia="方正仿宋_GBK"/>
                <w:kern w:val="0"/>
                <w:sz w:val="22"/>
                <w:szCs w:val="22"/>
                <w:lang w:bidi="ar"/>
              </w:rPr>
              <w:t>0.01次/车扣0.2分；在考核周期届满时，存在未履行交通执法部门行政处罚决定的，每件次扣1分。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交通部门（执法）动态录入</w:t>
            </w:r>
          </w:p>
        </w:tc>
        <w:tc>
          <w:tcPr>
            <w:tcW w:w="1587" w:type="dxa"/>
            <w:tcBorders>
              <w:top w:val="single" w:color="auto" w:sz="4" w:space="0"/>
              <w:left w:val="nil"/>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2080"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sz w:val="22"/>
                <w:szCs w:val="22"/>
              </w:rPr>
              <w:t>10</w:t>
            </w:r>
          </w:p>
        </w:tc>
        <w:tc>
          <w:tcPr>
            <w:tcW w:w="1306" w:type="dxa"/>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eastAsia="方正楷体_GBK"/>
                <w:bCs/>
                <w:kern w:val="0"/>
                <w:sz w:val="22"/>
                <w:szCs w:val="22"/>
                <w:lang w:bidi="ar"/>
              </w:rPr>
            </w:pPr>
            <w:r>
              <w:rPr>
                <w:rFonts w:eastAsia="方正楷体_GBK"/>
                <w:bCs/>
                <w:kern w:val="0"/>
                <w:sz w:val="22"/>
                <w:szCs w:val="22"/>
                <w:lang w:bidi="ar"/>
              </w:rPr>
              <w:t>社会责任</w:t>
            </w:r>
          </w:p>
          <w:p>
            <w:pPr>
              <w:widowControl/>
              <w:spacing w:line="240" w:lineRule="exact"/>
              <w:jc w:val="center"/>
              <w:textAlignment w:val="center"/>
              <w:rPr>
                <w:rFonts w:eastAsia="方正楷体_GBK"/>
                <w:bCs/>
                <w:sz w:val="22"/>
                <w:szCs w:val="22"/>
              </w:rPr>
            </w:pPr>
            <w:r>
              <w:rPr>
                <w:rFonts w:eastAsia="方正楷体_GBK"/>
                <w:bCs/>
                <w:kern w:val="0"/>
                <w:sz w:val="22"/>
                <w:szCs w:val="22"/>
                <w:lang w:bidi="ar"/>
              </w:rPr>
              <w:t>（20分）</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责任落实</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20</w:t>
            </w:r>
          </w:p>
        </w:tc>
        <w:tc>
          <w:tcPr>
            <w:tcW w:w="6454"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营者组织或引发了影响社会公共秩序、损害社会公共利益的停运、集访等不稳定事件，出现进京集访或进京非接待场所上访的，每次扣5分，到市集访、区县集访或非接待场所上访的，每次扣3分，20人以上到企业集中反映诉求并由交通部门进行协调处置的，每次扣2分；经交通部门协调，企业不落实协调意见导致集访持续发生、矛盾上行的，每次扣5分；发生部分车辆非正常聚集或停运的扣10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经行政管理部门联合评议，不属于经营者责任或者原因引起的信访，本项不扣分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交通、信访、公安等部门数据共享，动态录入</w:t>
            </w:r>
          </w:p>
        </w:tc>
        <w:tc>
          <w:tcPr>
            <w:tcW w:w="1587" w:type="dxa"/>
            <w:tcBorders>
              <w:top w:val="single" w:color="auto" w:sz="4" w:space="0"/>
              <w:left w:val="nil"/>
              <w:bottom w:val="single" w:color="000000"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7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kern w:val="0"/>
                <w:sz w:val="22"/>
                <w:szCs w:val="22"/>
                <w:lang w:bidi="ar"/>
              </w:rPr>
              <w:t>11</w:t>
            </w:r>
          </w:p>
        </w:tc>
        <w:tc>
          <w:tcPr>
            <w:tcW w:w="13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楷体_GBK"/>
                <w:bCs/>
                <w:sz w:val="22"/>
                <w:szCs w:val="22"/>
              </w:rPr>
            </w:pPr>
            <w:r>
              <w:rPr>
                <w:rFonts w:eastAsia="方正楷体_GBK"/>
                <w:bCs/>
                <w:kern w:val="0"/>
                <w:sz w:val="22"/>
                <w:szCs w:val="22"/>
                <w:lang w:bidi="ar"/>
              </w:rPr>
              <w:t>加分项目</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雷锋的士创建情况</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645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参与雷锋的士志愿服务队，一、二、三星级车辆数量合计超过经营者车辆数10%的，每增加1%加0.1分；四星级车辆每辆加0.2分；五星级车辆每辆加 0.3分。（本项最高不超过2分）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58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kern w:val="0"/>
                <w:sz w:val="22"/>
                <w:szCs w:val="22"/>
                <w:lang w:bidi="ar"/>
              </w:rPr>
              <w:t>12</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行业正面典型引导</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经营者经营过程中获得了荣誉或者通报表彰的，国家级每次加2分；部级或者市级政府每次加1分；市级部门或者区县政府级加0.5分；区县部门级加0.2分。同一行为多层次表彰的，以最高级别奖励的标准加分。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经营者所属驾驶员、工作人员出现好人好事被新闻媒体报道的，国家级每件次加0.3分；市级每件次加0.2分；区县级每件次加0.1分。同一事迹多层次报道的，以最高级别媒体报道的标准加分。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（本项最高不超过2分）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企业提交动态录入</w:t>
            </w:r>
          </w:p>
        </w:tc>
        <w:tc>
          <w:tcPr>
            <w:tcW w:w="1587" w:type="dxa"/>
            <w:tcBorders>
              <w:top w:val="single" w:color="000000" w:sz="4" w:space="0"/>
              <w:left w:val="nil"/>
              <w:bottom w:val="single" w:color="000000"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43"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kern w:val="0"/>
                <w:sz w:val="22"/>
                <w:szCs w:val="22"/>
                <w:lang w:bidi="ar"/>
              </w:rPr>
              <w:t>13</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离车评价推广情况</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月均乘客离车评价数（含未评价数）高于600次/车，每增加30次/车加0.1分。（本项最高不超过1分）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交通部门年度统计</w:t>
            </w:r>
          </w:p>
        </w:tc>
        <w:tc>
          <w:tcPr>
            <w:tcW w:w="158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0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楷体_GBK"/>
                <w:bCs/>
                <w:sz w:val="22"/>
                <w:szCs w:val="22"/>
              </w:rPr>
            </w:pPr>
            <w:r>
              <w:rPr>
                <w:rFonts w:eastAsia="方正楷体_GBK"/>
                <w:bCs/>
                <w:sz w:val="22"/>
                <w:szCs w:val="22"/>
              </w:rPr>
              <w:t>合计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方正楷体_GBK"/>
                <w:bCs/>
                <w:sz w:val="22"/>
                <w:szCs w:val="22"/>
              </w:rPr>
            </w:pPr>
            <w:r>
              <w:rPr>
                <w:rFonts w:eastAsia="方正楷体_GBK"/>
                <w:bCs/>
                <w:sz w:val="22"/>
                <w:szCs w:val="22"/>
              </w:rPr>
              <w:t>100分</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100分</w:t>
            </w: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c>
          <w:tcPr>
            <w:tcW w:w="158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464" w:hRule="atLeast"/>
          <w:jc w:val="center"/>
        </w:trPr>
        <w:tc>
          <w:tcPr>
            <w:tcW w:w="1861" w:type="dxa"/>
            <w:gridSpan w:val="2"/>
            <w:vMerge w:val="restart"/>
            <w:tcBorders>
              <w:top w:val="single" w:color="000000" w:sz="4" w:space="0"/>
              <w:left w:val="single" w:color="000000" w:sz="4" w:space="0"/>
              <w:right w:val="single" w:color="000000" w:sz="4" w:space="0"/>
            </w:tcBorders>
            <w:noWrap/>
            <w:vAlign w:val="center"/>
          </w:tcPr>
          <w:p>
            <w:pPr>
              <w:widowControl/>
              <w:spacing w:line="240" w:lineRule="exact"/>
              <w:jc w:val="center"/>
              <w:rPr>
                <w:rFonts w:eastAsia="方正楷体_GBK"/>
                <w:bCs/>
                <w:sz w:val="22"/>
                <w:szCs w:val="22"/>
              </w:rPr>
            </w:pPr>
            <w:r>
              <w:rPr>
                <w:rFonts w:eastAsia="方正楷体_GBK"/>
                <w:bCs/>
                <w:sz w:val="22"/>
                <w:szCs w:val="22"/>
              </w:rPr>
              <w:t>评价结论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信用等级</w:t>
            </w:r>
          </w:p>
        </w:tc>
        <w:tc>
          <w:tcPr>
            <w:tcW w:w="1070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AA□                A□                B□                C□                D□</w:t>
            </w:r>
          </w:p>
        </w:tc>
      </w:tr>
      <w:tr>
        <w:tblPrEx>
          <w:tblCellMar>
            <w:top w:w="0" w:type="dxa"/>
            <w:left w:w="108" w:type="dxa"/>
            <w:bottom w:w="0" w:type="dxa"/>
            <w:right w:w="108" w:type="dxa"/>
          </w:tblCellMar>
        </w:tblPrEx>
        <w:trPr>
          <w:trHeight w:val="414" w:hRule="atLeast"/>
          <w:jc w:val="center"/>
        </w:trPr>
        <w:tc>
          <w:tcPr>
            <w:tcW w:w="1861" w:type="dxa"/>
            <w:gridSpan w:val="2"/>
            <w:vMerge w:val="continue"/>
            <w:tcBorders>
              <w:left w:val="single" w:color="000000" w:sz="4" w:space="0"/>
              <w:right w:val="single" w:color="000000" w:sz="4" w:space="0"/>
            </w:tcBorders>
            <w:noWrap/>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评价机构</w:t>
            </w:r>
          </w:p>
        </w:tc>
        <w:tc>
          <w:tcPr>
            <w:tcW w:w="1070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333" w:hRule="atLeast"/>
          <w:jc w:val="center"/>
        </w:trPr>
        <w:tc>
          <w:tcPr>
            <w:tcW w:w="1861" w:type="dxa"/>
            <w:gridSpan w:val="2"/>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经办人</w:t>
            </w:r>
          </w:p>
        </w:tc>
        <w:tc>
          <w:tcPr>
            <w:tcW w:w="60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15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评价日期</w:t>
            </w:r>
          </w:p>
        </w:tc>
        <w:tc>
          <w:tcPr>
            <w:tcW w:w="31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仿宋_GB2312"/>
                <w:sz w:val="20"/>
              </w:rPr>
            </w:pPr>
            <w:r>
              <w:rPr>
                <w:rFonts w:eastAsia="仿宋_GB2312"/>
                <w:sz w:val="20"/>
              </w:rPr>
              <w:t xml:space="preserve">         年    月    日</w:t>
            </w:r>
          </w:p>
        </w:tc>
      </w:tr>
    </w:tbl>
    <w:p>
      <w:pPr>
        <w:spacing w:line="300" w:lineRule="exact"/>
        <w:rPr>
          <w:rFonts w:eastAsia="方正仿宋_GBK"/>
          <w:color w:val="000000"/>
          <w:szCs w:val="21"/>
          <w:lang w:val="en"/>
        </w:rPr>
      </w:pPr>
      <w:r>
        <w:rPr>
          <w:rFonts w:eastAsia="方正仿宋_GBK"/>
          <w:color w:val="000000"/>
          <w:szCs w:val="21"/>
          <w:lang w:val="en"/>
        </w:rPr>
        <w:t>备注：</w:t>
      </w:r>
      <w:r>
        <w:rPr>
          <w:rFonts w:hint="eastAsia" w:eastAsia="方正仿宋_GBK"/>
          <w:color w:val="000000"/>
          <w:szCs w:val="21"/>
        </w:rPr>
        <w:t>1.</w:t>
      </w:r>
      <w:r>
        <w:rPr>
          <w:rFonts w:eastAsia="方正仿宋_GBK"/>
          <w:color w:val="000000"/>
          <w:szCs w:val="21"/>
          <w:lang w:val="en"/>
        </w:rPr>
        <w:t>未实施离车评价或采取管理系统预警的区县交通部门，可不考核第1项中对应的内容。</w:t>
      </w:r>
    </w:p>
    <w:p>
      <w:pPr>
        <w:spacing w:line="300" w:lineRule="exact"/>
        <w:ind w:firstLine="660" w:firstLineChars="300"/>
        <w:rPr>
          <w:rFonts w:hint="eastAsia" w:eastAsia="方正仿宋_GBK"/>
          <w:kern w:val="0"/>
          <w:sz w:val="22"/>
          <w:szCs w:val="22"/>
          <w:lang w:bidi="ar"/>
        </w:rPr>
      </w:pPr>
      <w:r>
        <w:rPr>
          <w:rFonts w:hint="eastAsia" w:eastAsia="方正仿宋_GBK"/>
          <w:kern w:val="0"/>
          <w:sz w:val="22"/>
          <w:szCs w:val="22"/>
          <w:lang w:bidi="ar"/>
        </w:rPr>
        <w:t>2.本信用考核指标中，“每增加”、“每低”是指：若此项表述前未设置具体标准数据的，则按照“每增加”即以0数值为标准参考值；“每低”即以100%数值为标准参考值。若此项表述前设置了了具体标准数据的，则以标准数据为参考值。</w:t>
      </w:r>
    </w:p>
    <w:p>
      <w:pPr>
        <w:pStyle w:val="5"/>
        <w:rPr>
          <w:rFonts w:hint="eastAsia" w:eastAsia="方正仿宋_GBK"/>
          <w:kern w:val="0"/>
          <w:sz w:val="22"/>
          <w:szCs w:val="22"/>
          <w:lang w:bidi="ar"/>
        </w:rPr>
      </w:pPr>
      <w:r>
        <w:rPr>
          <w:rFonts w:hint="eastAsia" w:eastAsia="方正仿宋_GBK"/>
          <w:kern w:val="0"/>
          <w:sz w:val="22"/>
          <w:szCs w:val="22"/>
          <w:lang w:bidi="ar"/>
        </w:rPr>
        <w:t>3.本信用考核指标中，涉及有百分比、小数点等数值的，在计算时均先多保留1位，再按照“四舍五入”的方式计算最终值。</w:t>
      </w:r>
    </w:p>
    <w:p>
      <w:pPr>
        <w:rPr>
          <w:rFonts w:hint="eastAsia" w:eastAsia="方正仿宋_GBK"/>
          <w:kern w:val="0"/>
          <w:sz w:val="22"/>
          <w:szCs w:val="22"/>
          <w:lang w:bidi="ar"/>
        </w:rPr>
      </w:pPr>
      <w:r>
        <w:rPr>
          <w:rFonts w:hint="eastAsia" w:eastAsia="方正仿宋_GBK"/>
          <w:kern w:val="0"/>
          <w:sz w:val="22"/>
          <w:szCs w:val="22"/>
          <w:lang w:bidi="ar"/>
        </w:rPr>
        <w:br w:type="page"/>
      </w:r>
    </w:p>
    <w:p>
      <w:pPr>
        <w:jc w:val="left"/>
        <w:rPr>
          <w:rFonts w:eastAsia="方正黑体_GBK"/>
          <w:sz w:val="32"/>
          <w:szCs w:val="32"/>
        </w:rPr>
      </w:pPr>
      <w:r>
        <w:rPr>
          <w:rFonts w:eastAsia="方正黑体_GBK"/>
          <w:sz w:val="32"/>
          <w:szCs w:val="32"/>
        </w:rPr>
        <w:t>附件1-6</w:t>
      </w:r>
    </w:p>
    <w:p>
      <w:pPr>
        <w:spacing w:line="600" w:lineRule="exact"/>
        <w:jc w:val="center"/>
        <w:rPr>
          <w:rFonts w:eastAsia="方正小标宋_GBK"/>
          <w:sz w:val="44"/>
          <w:szCs w:val="44"/>
        </w:rPr>
      </w:pPr>
      <w:r>
        <w:rPr>
          <w:rFonts w:eastAsia="方正小标宋_GBK"/>
          <w:sz w:val="44"/>
          <w:szCs w:val="44"/>
        </w:rPr>
        <w:t>重庆市网络预约出租汽车经营者（平台公司）信用评价标准</w:t>
      </w:r>
    </w:p>
    <w:p>
      <w:pPr>
        <w:spacing w:line="600" w:lineRule="exact"/>
        <w:jc w:val="left"/>
        <w:rPr>
          <w:bCs/>
          <w:kern w:val="0"/>
          <w:sz w:val="32"/>
          <w:szCs w:val="32"/>
          <w:lang w:bidi="ar"/>
        </w:rPr>
      </w:pPr>
      <w:r>
        <w:rPr>
          <w:rFonts w:eastAsia="方正仿宋_GBK"/>
          <w:bCs/>
          <w:kern w:val="0"/>
          <w:sz w:val="28"/>
          <w:szCs w:val="28"/>
          <w:lang w:bidi="ar"/>
        </w:rPr>
        <w:t>被评价企业：                                                            评价年度：</w:t>
      </w:r>
    </w:p>
    <w:tbl>
      <w:tblPr>
        <w:tblStyle w:val="11"/>
        <w:tblW w:w="13728" w:type="dxa"/>
        <w:jc w:val="center"/>
        <w:tblLayout w:type="fixed"/>
        <w:tblCellMar>
          <w:top w:w="0" w:type="dxa"/>
          <w:left w:w="108" w:type="dxa"/>
          <w:bottom w:w="0" w:type="dxa"/>
          <w:right w:w="108" w:type="dxa"/>
        </w:tblCellMar>
      </w:tblPr>
      <w:tblGrid>
        <w:gridCol w:w="645"/>
        <w:gridCol w:w="1320"/>
        <w:gridCol w:w="1244"/>
        <w:gridCol w:w="750"/>
        <w:gridCol w:w="4826"/>
        <w:gridCol w:w="1547"/>
        <w:gridCol w:w="73"/>
        <w:gridCol w:w="1665"/>
        <w:gridCol w:w="1658"/>
      </w:tblGrid>
      <w:tr>
        <w:tblPrEx>
          <w:tblCellMar>
            <w:top w:w="0" w:type="dxa"/>
            <w:left w:w="108" w:type="dxa"/>
            <w:bottom w:w="0" w:type="dxa"/>
            <w:right w:w="108" w:type="dxa"/>
          </w:tblCellMar>
        </w:tblPrEx>
        <w:trPr>
          <w:trHeight w:val="731" w:hRule="atLeast"/>
          <w:tblHeader/>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序号</w:t>
            </w:r>
          </w:p>
        </w:tc>
        <w:tc>
          <w:tcPr>
            <w:tcW w:w="13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一级指标及分值</w:t>
            </w:r>
          </w:p>
        </w:tc>
        <w:tc>
          <w:tcPr>
            <w:tcW w:w="124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二级指标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分值</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评分标准</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数据来源</w:t>
            </w:r>
          </w:p>
        </w:tc>
        <w:tc>
          <w:tcPr>
            <w:tcW w:w="1658" w:type="dxa"/>
            <w:tcBorders>
              <w:top w:val="single" w:color="000000" w:sz="4" w:space="0"/>
              <w:left w:val="nil"/>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得分</w:t>
            </w:r>
          </w:p>
        </w:tc>
      </w:tr>
      <w:tr>
        <w:tblPrEx>
          <w:tblCellMar>
            <w:top w:w="0" w:type="dxa"/>
            <w:left w:w="108" w:type="dxa"/>
            <w:bottom w:w="0" w:type="dxa"/>
            <w:right w:w="108" w:type="dxa"/>
          </w:tblCellMar>
        </w:tblPrEx>
        <w:trPr>
          <w:trHeight w:val="1044" w:hRule="atLeast"/>
          <w:jc w:val="center"/>
        </w:trPr>
        <w:tc>
          <w:tcPr>
            <w:tcW w:w="645"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1</w:t>
            </w:r>
          </w:p>
        </w:tc>
        <w:tc>
          <w:tcPr>
            <w:tcW w:w="1320" w:type="dxa"/>
            <w:vMerge w:val="restart"/>
            <w:tcBorders>
              <w:left w:val="single" w:color="000000" w:sz="4" w:space="0"/>
              <w:right w:val="single" w:color="000000" w:sz="4" w:space="0"/>
            </w:tcBorders>
            <w:noWrap w:val="0"/>
            <w:vAlign w:val="center"/>
          </w:tcPr>
          <w:p>
            <w:pPr>
              <w:widowControl/>
              <w:spacing w:line="240" w:lineRule="exact"/>
              <w:jc w:val="center"/>
              <w:textAlignment w:val="center"/>
              <w:rPr>
                <w:rFonts w:eastAsia="方正楷体_GBK"/>
                <w:kern w:val="0"/>
                <w:sz w:val="22"/>
                <w:szCs w:val="22"/>
                <w:lang w:bidi="ar"/>
              </w:rPr>
            </w:pPr>
            <w:r>
              <w:rPr>
                <w:rFonts w:eastAsia="方正楷体_GBK"/>
                <w:bCs/>
                <w:kern w:val="0"/>
                <w:sz w:val="22"/>
                <w:szCs w:val="22"/>
                <w:lang w:bidi="ar"/>
              </w:rPr>
              <w:t>经营管理（20分）</w:t>
            </w:r>
          </w:p>
        </w:tc>
        <w:tc>
          <w:tcPr>
            <w:tcW w:w="1244"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人员及车辆管理</w:t>
            </w:r>
          </w:p>
        </w:tc>
        <w:tc>
          <w:tcPr>
            <w:tcW w:w="750"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46" w:type="dxa"/>
            <w:gridSpan w:val="3"/>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每月接单车辆的合规率每低1%扣0.2分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每月接单驾驶员的合规率每低1%扣0.2分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每月接单车辆、驾驶员同时合规的订单率（双合规率）每低1%扣0.2分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所接单的车辆违反道路交通规定，月均违章率（违章次数与车辆总数比值，除违章停车外）高于0.5次/车的，每增加0.1</w:t>
            </w:r>
            <w:r>
              <w:rPr>
                <w:rFonts w:eastAsia="方正仿宋_GBK"/>
                <w:kern w:val="0"/>
                <w:sz w:val="22"/>
                <w:szCs w:val="22"/>
                <w:lang w:val="en" w:bidi="ar"/>
              </w:rPr>
              <w:t>次/车</w:t>
            </w:r>
            <w:r>
              <w:rPr>
                <w:rFonts w:eastAsia="方正仿宋_GBK"/>
                <w:kern w:val="0"/>
                <w:sz w:val="22"/>
                <w:szCs w:val="22"/>
                <w:lang w:bidi="ar"/>
              </w:rPr>
              <w:t>扣0.1分；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未按照管理要求，对纳入管理系统报警的驾驶员（服务监管系统中每月纳入警示提醒的人员）采取有效措施进行处置的，每月驾驶员处置率（已处理驾驶员人员与纳入报警的驾驶员总数）每低1%扣0.5分。</w:t>
            </w:r>
          </w:p>
        </w:tc>
        <w:tc>
          <w:tcPr>
            <w:tcW w:w="166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公安部门数据共享，交通部门统计</w:t>
            </w:r>
          </w:p>
        </w:tc>
        <w:tc>
          <w:tcPr>
            <w:tcW w:w="1658" w:type="dxa"/>
            <w:tcBorders>
              <w:left w:val="nil"/>
              <w:bottom w:val="single" w:color="auto" w:sz="4" w:space="0"/>
              <w:right w:val="single" w:color="000000" w:sz="4" w:space="0"/>
            </w:tcBorders>
            <w:noWrap w:val="0"/>
            <w:vAlign w:val="top"/>
          </w:tcPr>
          <w:p>
            <w:pPr>
              <w:widowControl/>
              <w:spacing w:line="240" w:lineRule="exact"/>
              <w:rPr>
                <w:rFonts w:eastAsia="方正楷体_GBK"/>
                <w:bCs/>
                <w:sz w:val="24"/>
              </w:rPr>
            </w:pP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2</w:t>
            </w:r>
          </w:p>
        </w:tc>
        <w:tc>
          <w:tcPr>
            <w:tcW w:w="1320" w:type="dxa"/>
            <w:vMerge w:val="continue"/>
            <w:tcBorders>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楷体_GBK"/>
                <w:kern w:val="0"/>
                <w:sz w:val="22"/>
                <w:szCs w:val="22"/>
                <w:lang w:bidi="ar"/>
              </w:rPr>
            </w:pPr>
          </w:p>
        </w:tc>
        <w:tc>
          <w:tcPr>
            <w:tcW w:w="1244"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责任落实</w:t>
            </w: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val="en" w:bidi="ar"/>
              </w:rPr>
            </w:pPr>
            <w:r>
              <w:rPr>
                <w:rFonts w:eastAsia="方正仿宋_GBK"/>
                <w:kern w:val="0"/>
                <w:sz w:val="22"/>
                <w:szCs w:val="22"/>
                <w:lang w:val="en" w:bidi="ar"/>
              </w:rPr>
              <w:t>10</w:t>
            </w:r>
          </w:p>
        </w:tc>
        <w:tc>
          <w:tcPr>
            <w:tcW w:w="6446" w:type="dxa"/>
            <w:gridSpan w:val="3"/>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未按照法规规章规定，或者行业管理要求、行业自律安排，落实企业经营管理责任，以及不履行承诺事项，被交通部门处置（包括但不限于责令整改、通报）的，每次扣0.5分；被交通部门约谈的，每次加扣1分。</w:t>
            </w:r>
          </w:p>
        </w:tc>
        <w:tc>
          <w:tcPr>
            <w:tcW w:w="166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658" w:type="dxa"/>
            <w:tcBorders>
              <w:top w:val="single" w:color="auto" w:sz="4" w:space="0"/>
              <w:left w:val="nil"/>
              <w:bottom w:val="single" w:color="auto" w:sz="4" w:space="0"/>
              <w:right w:val="single" w:color="000000" w:sz="4" w:space="0"/>
            </w:tcBorders>
            <w:noWrap w:val="0"/>
            <w:vAlign w:val="top"/>
          </w:tcPr>
          <w:p>
            <w:pPr>
              <w:widowControl/>
              <w:spacing w:line="240" w:lineRule="exact"/>
              <w:rPr>
                <w:rFonts w:eastAsia="方正楷体_GBK"/>
                <w:bCs/>
                <w:sz w:val="24"/>
              </w:rPr>
            </w:pPr>
          </w:p>
        </w:tc>
      </w:tr>
      <w:tr>
        <w:tblPrEx>
          <w:tblCellMar>
            <w:top w:w="0" w:type="dxa"/>
            <w:left w:w="108" w:type="dxa"/>
            <w:bottom w:w="0" w:type="dxa"/>
            <w:right w:w="108" w:type="dxa"/>
          </w:tblCellMar>
        </w:tblPrEx>
        <w:trPr>
          <w:trHeight w:val="85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3</w:t>
            </w:r>
          </w:p>
        </w:tc>
        <w:tc>
          <w:tcPr>
            <w:tcW w:w="1320" w:type="dxa"/>
            <w:vMerge w:val="restart"/>
            <w:tcBorders>
              <w:top w:val="single" w:color="auto" w:sz="4" w:space="0"/>
              <w:left w:val="single" w:color="000000" w:sz="4" w:space="0"/>
              <w:right w:val="nil"/>
            </w:tcBorders>
            <w:noWrap w:val="0"/>
            <w:vAlign w:val="center"/>
          </w:tcPr>
          <w:p>
            <w:pPr>
              <w:widowControl/>
              <w:spacing w:line="240" w:lineRule="exact"/>
              <w:jc w:val="center"/>
              <w:textAlignment w:val="center"/>
              <w:rPr>
                <w:rFonts w:eastAsia="方正楷体_GBK"/>
                <w:bCs/>
                <w:kern w:val="0"/>
                <w:sz w:val="22"/>
                <w:szCs w:val="22"/>
                <w:lang w:bidi="ar"/>
              </w:rPr>
            </w:pPr>
            <w:r>
              <w:rPr>
                <w:rFonts w:eastAsia="方正楷体_GBK"/>
                <w:bCs/>
                <w:kern w:val="0"/>
                <w:sz w:val="22"/>
                <w:szCs w:val="22"/>
                <w:lang w:bidi="ar"/>
              </w:rPr>
              <w:t>安全生产</w:t>
            </w:r>
          </w:p>
          <w:p>
            <w:pPr>
              <w:widowControl/>
              <w:spacing w:line="240" w:lineRule="exact"/>
              <w:jc w:val="center"/>
              <w:textAlignment w:val="center"/>
              <w:rPr>
                <w:rFonts w:eastAsia="方正楷体_GBK"/>
                <w:kern w:val="0"/>
                <w:sz w:val="22"/>
                <w:szCs w:val="22"/>
                <w:lang w:bidi="ar"/>
              </w:rPr>
            </w:pPr>
            <w:r>
              <w:rPr>
                <w:rFonts w:eastAsia="方正楷体_GBK"/>
                <w:bCs/>
                <w:kern w:val="0"/>
                <w:sz w:val="22"/>
                <w:szCs w:val="22"/>
                <w:lang w:bidi="ar"/>
              </w:rPr>
              <w:t>（30分）</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交通责任事故亡人情况</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p>
            <w:pPr>
              <w:widowControl/>
              <w:spacing w:line="240" w:lineRule="exact"/>
              <w:jc w:val="center"/>
              <w:textAlignment w:val="center"/>
              <w:rPr>
                <w:rFonts w:eastAsia="方正仿宋_GBK"/>
                <w:kern w:val="0"/>
                <w:sz w:val="22"/>
                <w:szCs w:val="22"/>
                <w:lang w:bidi="ar"/>
              </w:rPr>
            </w:pP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接单的车辆发生交通责任事故（负同责及以上的）致人死亡，每增加0.0001人/车.年扣3分（除0值外，不足0.0001的，按0.0001计，以此类推）；交通责任事故（负同责及以上的）累计死亡2人（含）及以上的，一次性扣完本项分值。</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发生交通亡人事故，存在瞒报、谎报亡人事故情况的，每次扣2分。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公安部门数据共享，交通年度部门统计</w:t>
            </w:r>
          </w:p>
        </w:tc>
        <w:tc>
          <w:tcPr>
            <w:tcW w:w="1658" w:type="dxa"/>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743" w:hRule="atLeast"/>
          <w:jc w:val="center"/>
        </w:trPr>
        <w:tc>
          <w:tcPr>
            <w:tcW w:w="64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4</w:t>
            </w:r>
          </w:p>
        </w:tc>
        <w:tc>
          <w:tcPr>
            <w:tcW w:w="1320" w:type="dxa"/>
            <w:vMerge w:val="continue"/>
            <w:tcBorders>
              <w:left w:val="single" w:color="000000" w:sz="4" w:space="0"/>
              <w:right w:val="nil"/>
            </w:tcBorders>
            <w:noWrap w:val="0"/>
            <w:vAlign w:val="center"/>
          </w:tcPr>
          <w:p>
            <w:pPr>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交通事故情况</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46"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当</w:t>
            </w:r>
            <w:r>
              <w:rPr>
                <w:rFonts w:eastAsia="方正仿宋_GBK"/>
                <w:kern w:val="0"/>
                <w:sz w:val="22"/>
                <w:szCs w:val="22"/>
                <w:lang w:val="en" w:bidi="ar"/>
              </w:rPr>
              <w:t>年</w:t>
            </w:r>
            <w:r>
              <w:rPr>
                <w:rFonts w:eastAsia="方正仿宋_GBK"/>
                <w:kern w:val="0"/>
                <w:sz w:val="22"/>
                <w:szCs w:val="22"/>
                <w:lang w:bidi="ar"/>
              </w:rPr>
              <w:t>曾接单的车辆发生道路交通责任事故（负同责及以上的），事故率（事故次数与接单车辆总数比值）高于0.5次/车的，每增加0.1次/车扣0.2分。</w:t>
            </w:r>
          </w:p>
        </w:tc>
        <w:tc>
          <w:tcPr>
            <w:tcW w:w="166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公安部门数据共享，交通部门统计</w:t>
            </w:r>
          </w:p>
        </w:tc>
        <w:tc>
          <w:tcPr>
            <w:tcW w:w="1658" w:type="dxa"/>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480" w:hRule="atLeast"/>
          <w:jc w:val="center"/>
        </w:trPr>
        <w:tc>
          <w:tcPr>
            <w:tcW w:w="64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5</w:t>
            </w:r>
          </w:p>
        </w:tc>
        <w:tc>
          <w:tcPr>
            <w:tcW w:w="1320" w:type="dxa"/>
            <w:vMerge w:val="continue"/>
            <w:tcBorders>
              <w:left w:val="single" w:color="000000" w:sz="4" w:space="0"/>
              <w:bottom w:val="single" w:color="auto" w:sz="4" w:space="0"/>
              <w:right w:val="nil"/>
            </w:tcBorders>
            <w:noWrap w:val="0"/>
            <w:vAlign w:val="center"/>
          </w:tcPr>
          <w:p>
            <w:pPr>
              <w:spacing w:line="240" w:lineRule="exact"/>
              <w:jc w:val="center"/>
              <w:rPr>
                <w:rFonts w:eastAsia="方正楷体_GBK"/>
                <w:bCs/>
                <w:sz w:val="22"/>
                <w:szCs w:val="22"/>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sz w:val="22"/>
                <w:szCs w:val="22"/>
              </w:rPr>
            </w:pPr>
            <w:r>
              <w:rPr>
                <w:rFonts w:eastAsia="方正仿宋_GBK"/>
                <w:kern w:val="0"/>
                <w:sz w:val="22"/>
                <w:szCs w:val="22"/>
                <w:lang w:bidi="ar"/>
              </w:rPr>
              <w:t>安全生产隐患处置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4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日常安全生产检查中，被交通执法部门依法处罚的，每件次扣0.5分。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因存在严重安全生产隐患，被列入重点安全监管名单的，每次扣3分，被处以部分停业整顿的，每次扣5分，被处以全部停业整顿的，每次扣10分。</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交通部门（执法）录入、市安办通报数据转入</w:t>
            </w:r>
          </w:p>
        </w:tc>
        <w:tc>
          <w:tcPr>
            <w:tcW w:w="1658" w:type="dxa"/>
            <w:tcBorders>
              <w:top w:val="single" w:color="auto" w:sz="4" w:space="0"/>
              <w:left w:val="nil"/>
              <w:bottom w:val="single" w:color="auto" w:sz="4" w:space="0"/>
              <w:right w:val="single" w:color="000000" w:sz="4" w:space="0"/>
            </w:tcBorders>
            <w:noWrap w:val="0"/>
            <w:vAlign w:val="center"/>
          </w:tcPr>
          <w:p>
            <w:pPr>
              <w:widowControl/>
              <w:spacing w:line="240" w:lineRule="exact"/>
              <w:ind w:firstLine="200" w:firstLineChars="100"/>
              <w:jc w:val="left"/>
              <w:rPr>
                <w:rFonts w:eastAsia="仿宋_GB2312"/>
                <w:sz w:val="20"/>
              </w:rPr>
            </w:pPr>
          </w:p>
        </w:tc>
      </w:tr>
      <w:tr>
        <w:tblPrEx>
          <w:tblCellMar>
            <w:top w:w="0" w:type="dxa"/>
            <w:left w:w="108" w:type="dxa"/>
            <w:bottom w:w="0" w:type="dxa"/>
            <w:right w:w="108" w:type="dxa"/>
          </w:tblCellMar>
        </w:tblPrEx>
        <w:trPr>
          <w:trHeight w:val="771" w:hRule="atLeast"/>
          <w:jc w:val="center"/>
        </w:trPr>
        <w:tc>
          <w:tcPr>
            <w:tcW w:w="645"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6</w:t>
            </w:r>
          </w:p>
        </w:tc>
        <w:tc>
          <w:tcPr>
            <w:tcW w:w="1320" w:type="dxa"/>
            <w:vMerge w:val="restart"/>
            <w:tcBorders>
              <w:top w:val="single" w:color="auto" w:sz="4" w:space="0"/>
              <w:left w:val="single" w:color="000000" w:sz="4" w:space="0"/>
              <w:right w:val="single" w:color="000000" w:sz="4" w:space="0"/>
            </w:tcBorders>
            <w:noWrap w:val="0"/>
            <w:vAlign w:val="center"/>
          </w:tcPr>
          <w:p>
            <w:pPr>
              <w:spacing w:line="240" w:lineRule="exact"/>
              <w:jc w:val="center"/>
              <w:rPr>
                <w:rFonts w:eastAsia="方正楷体_GBK"/>
                <w:bCs/>
                <w:sz w:val="22"/>
                <w:szCs w:val="22"/>
              </w:rPr>
            </w:pPr>
            <w:r>
              <w:rPr>
                <w:rFonts w:eastAsia="方正楷体_GBK"/>
                <w:bCs/>
                <w:kern w:val="0"/>
                <w:sz w:val="22"/>
                <w:szCs w:val="22"/>
                <w:lang w:bidi="ar"/>
              </w:rPr>
              <w:t>服务质量（30分）</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社会文明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5</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驾驶员存在违背公序良俗或社会文明等行为，被交通部门处置（包括但不限于责令整改、通报）的，</w:t>
            </w:r>
            <w:r>
              <w:rPr>
                <w:rFonts w:eastAsia="方正仿宋_GBK"/>
                <w:kern w:val="0"/>
                <w:sz w:val="22"/>
                <w:szCs w:val="22"/>
                <w:lang w:val="en" w:bidi="ar"/>
              </w:rPr>
              <w:t>每增加0.001次/车</w:t>
            </w:r>
            <w:r>
              <w:rPr>
                <w:rFonts w:eastAsia="方正仿宋_GBK"/>
                <w:kern w:val="0"/>
                <w:sz w:val="22"/>
                <w:szCs w:val="22"/>
                <w:lang w:bidi="ar"/>
              </w:rPr>
              <w:t>扣0.5分。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658"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7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7</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负面舆情</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5</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因运营服务、经营管理等原因被新闻媒体曝光造成负面影响的，国家级媒体扣2分，市级媒体扣1.5分，成为社会媒体关注重点被有关部门抄告的扣1分。曝光事项属于经营者经营问题的，按件次对应扣分；曝光事项属于经营者所属车辆问题的，按每增加0.001次/车对应扣分。（同一事件多层曝光的，以最高层级媒体曝光的标准扣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658"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7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8</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sz w:val="22"/>
                <w:szCs w:val="22"/>
              </w:rPr>
            </w:pPr>
            <w:r>
              <w:rPr>
                <w:rFonts w:eastAsia="方正仿宋_GBK"/>
                <w:kern w:val="0"/>
                <w:sz w:val="22"/>
                <w:szCs w:val="22"/>
                <w:lang w:bidi="ar"/>
              </w:rPr>
              <w:t>有责投诉率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sz w:val="22"/>
                <w:szCs w:val="22"/>
              </w:rPr>
            </w:pPr>
            <w:r>
              <w:rPr>
                <w:rFonts w:eastAsia="方正仿宋_GBK"/>
                <w:sz w:val="22"/>
                <w:szCs w:val="22"/>
              </w:rPr>
              <w:t>有责投诉率每增</w:t>
            </w:r>
            <w:r>
              <w:rPr>
                <w:rFonts w:eastAsia="方正仿宋_GBK"/>
                <w:kern w:val="0"/>
                <w:sz w:val="22"/>
                <w:szCs w:val="22"/>
                <w:lang w:bidi="ar"/>
              </w:rPr>
              <w:t>加0.01次/车扣0.1分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交通部门（执法）年度统计，根据数据测算</w:t>
            </w:r>
          </w:p>
        </w:tc>
        <w:tc>
          <w:tcPr>
            <w:tcW w:w="1658" w:type="dxa"/>
            <w:tcBorders>
              <w:top w:val="single" w:color="auto" w:sz="4" w:space="0"/>
              <w:left w:val="nil"/>
              <w:bottom w:val="single" w:color="auto" w:sz="4" w:space="0"/>
              <w:right w:val="single" w:color="000000" w:sz="4" w:space="0"/>
            </w:tcBorders>
            <w:noWrap w:val="0"/>
            <w:vAlign w:val="bottom"/>
          </w:tcPr>
          <w:p>
            <w:pPr>
              <w:pStyle w:val="4"/>
              <w:widowControl/>
              <w:snapToGrid/>
              <w:spacing w:line="240" w:lineRule="exact"/>
              <w:ind w:firstLine="200" w:firstLineChars="100"/>
              <w:rPr>
                <w:rFonts w:eastAsia="仿宋_GB2312"/>
                <w:sz w:val="20"/>
              </w:rPr>
            </w:pPr>
          </w:p>
        </w:tc>
      </w:tr>
      <w:tr>
        <w:tblPrEx>
          <w:tblCellMar>
            <w:top w:w="0" w:type="dxa"/>
            <w:left w:w="108" w:type="dxa"/>
            <w:bottom w:w="0" w:type="dxa"/>
            <w:right w:w="108" w:type="dxa"/>
          </w:tblCellMar>
        </w:tblPrEx>
        <w:trPr>
          <w:trHeight w:val="1016"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9</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pStyle w:val="2"/>
              <w:spacing w:after="0" w:line="240" w:lineRule="exact"/>
              <w:ind w:left="0" w:leftChars="0" w:firstLine="0" w:firstLineChars="0"/>
              <w:jc w:val="center"/>
              <w:rPr>
                <w:rFonts w:eastAsia="方正仿宋_GBK"/>
                <w:kern w:val="0"/>
                <w:sz w:val="22"/>
                <w:szCs w:val="22"/>
                <w:lang w:bidi="ar"/>
              </w:rPr>
            </w:pPr>
            <w:r>
              <w:rPr>
                <w:rFonts w:eastAsia="方正仿宋_GBK"/>
                <w:kern w:val="0"/>
                <w:sz w:val="22"/>
                <w:szCs w:val="22"/>
                <w:lang w:bidi="ar"/>
              </w:rPr>
              <w:t>运营违规查处</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spacing w:after="0" w:line="240" w:lineRule="exact"/>
              <w:ind w:left="0" w:leftChars="0" w:firstLine="0" w:firstLineChars="0"/>
              <w:rPr>
                <w:rFonts w:eastAsia="方正仿宋_GBK"/>
                <w:kern w:val="0"/>
                <w:sz w:val="22"/>
                <w:szCs w:val="22"/>
                <w:lang w:bidi="ar"/>
              </w:rPr>
            </w:pPr>
            <w:r>
              <w:rPr>
                <w:rFonts w:eastAsia="方正仿宋_GBK"/>
                <w:kern w:val="0"/>
                <w:szCs w:val="21"/>
                <w:lang w:bidi="ar"/>
              </w:rPr>
              <w:t>因发生拒载、故意绕道、甩客等运营违规行为而被执法部门查处的，查处车辆违规率（被查处违规车次与总车辆数比值）每</w:t>
            </w:r>
            <w:r>
              <w:rPr>
                <w:rFonts w:hint="eastAsia" w:eastAsia="方正仿宋_GBK"/>
                <w:kern w:val="0"/>
                <w:szCs w:val="21"/>
                <w:lang w:bidi="ar"/>
              </w:rPr>
              <w:t>增加</w:t>
            </w:r>
            <w:r>
              <w:rPr>
                <w:rFonts w:eastAsia="方正仿宋_GBK"/>
                <w:kern w:val="0"/>
                <w:szCs w:val="21"/>
                <w:lang w:bidi="ar"/>
              </w:rPr>
              <w:t>0.01次/车扣0.2分；在考核周期届满时，存在未履行交通执法部门行政处罚决定的，每件次扣1分。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交通部门（执法）动态录入</w:t>
            </w:r>
          </w:p>
        </w:tc>
        <w:tc>
          <w:tcPr>
            <w:tcW w:w="1658" w:type="dxa"/>
            <w:tcBorders>
              <w:top w:val="single" w:color="auto" w:sz="4" w:space="0"/>
              <w:left w:val="nil"/>
              <w:bottom w:val="single" w:color="auto" w:sz="4" w:space="0"/>
              <w:right w:val="single" w:color="000000" w:sz="4" w:space="0"/>
            </w:tcBorders>
            <w:noWrap w:val="0"/>
            <w:vAlign w:val="center"/>
          </w:tcPr>
          <w:p>
            <w:pPr>
              <w:pStyle w:val="5"/>
              <w:spacing w:line="240" w:lineRule="exact"/>
              <w:rPr>
                <w:rFonts w:eastAsia="仿宋_GB2312"/>
                <w:sz w:val="20"/>
              </w:rPr>
            </w:pPr>
          </w:p>
        </w:tc>
      </w:tr>
      <w:tr>
        <w:tblPrEx>
          <w:tblCellMar>
            <w:top w:w="0" w:type="dxa"/>
            <w:left w:w="108" w:type="dxa"/>
            <w:bottom w:w="0" w:type="dxa"/>
            <w:right w:w="108" w:type="dxa"/>
          </w:tblCellMar>
        </w:tblPrEx>
        <w:trPr>
          <w:trHeight w:val="289"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10</w:t>
            </w:r>
          </w:p>
        </w:tc>
        <w:tc>
          <w:tcPr>
            <w:tcW w:w="1320" w:type="dxa"/>
            <w:tcBorders>
              <w:top w:val="single" w:color="000000" w:sz="4" w:space="0"/>
              <w:left w:val="single" w:color="000000" w:sz="4" w:space="0"/>
              <w:right w:val="single" w:color="000000" w:sz="4" w:space="0"/>
            </w:tcBorders>
            <w:noWrap w:val="0"/>
            <w:vAlign w:val="center"/>
          </w:tcPr>
          <w:p>
            <w:pPr>
              <w:widowControl/>
              <w:spacing w:line="240" w:lineRule="exact"/>
              <w:textAlignment w:val="center"/>
            </w:pPr>
          </w:p>
          <w:p>
            <w:pPr>
              <w:widowControl/>
              <w:spacing w:line="240" w:lineRule="exact"/>
              <w:jc w:val="center"/>
              <w:textAlignment w:val="center"/>
            </w:pPr>
          </w:p>
          <w:p>
            <w:pPr>
              <w:widowControl/>
              <w:spacing w:line="240" w:lineRule="exact"/>
              <w:jc w:val="center"/>
              <w:textAlignment w:val="center"/>
              <w:rPr>
                <w:rFonts w:eastAsia="方正楷体_GBK"/>
                <w:bCs/>
                <w:kern w:val="0"/>
                <w:sz w:val="22"/>
                <w:szCs w:val="22"/>
                <w:lang w:bidi="ar"/>
              </w:rPr>
            </w:pPr>
            <w:r>
              <w:rPr>
                <w:rFonts w:eastAsia="方正楷体_GBK"/>
                <w:bCs/>
                <w:kern w:val="0"/>
                <w:sz w:val="22"/>
                <w:szCs w:val="22"/>
                <w:lang w:bidi="ar"/>
              </w:rPr>
              <w:t>社会责任</w:t>
            </w:r>
          </w:p>
          <w:p>
            <w:pPr>
              <w:widowControl/>
              <w:spacing w:line="240" w:lineRule="exact"/>
              <w:jc w:val="center"/>
              <w:textAlignment w:val="center"/>
              <w:rPr>
                <w:rFonts w:eastAsia="方正楷体_GBK"/>
                <w:kern w:val="0"/>
                <w:sz w:val="22"/>
                <w:szCs w:val="22"/>
                <w:lang w:bidi="ar"/>
              </w:rPr>
            </w:pPr>
            <w:r>
              <w:rPr>
                <w:rFonts w:eastAsia="方正楷体_GBK"/>
                <w:bCs/>
                <w:kern w:val="0"/>
                <w:sz w:val="22"/>
                <w:szCs w:val="22"/>
                <w:lang w:bidi="ar"/>
              </w:rPr>
              <w:t>（20分）</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信访稳定责任落实</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20</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营者组织或引发了影响社会公共秩序、损害社会公共利益的停运、集访等不稳定事件，出现进京集访或进京非接待场所上访的，每次扣5分，到市集访、区县集访或非接待场所上访的，每次扣3分，20人以上到企业集中反映诉求并由交通部门进行协调处置的，每次扣2分；到市级和区县级交通部门信访并经交通部门协调，企业不落实协调意见导致集访持续发生、矛盾上行的，每次扣5分；发生部分车辆非正常聚集或停运的扣10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经行政管理部门联合评议，不属于经营者责任或者原因引起的信访，本项不扣分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交通、信访、公安等部门数据共享，动态录入</w:t>
            </w:r>
          </w:p>
        </w:tc>
        <w:tc>
          <w:tcPr>
            <w:tcW w:w="1658" w:type="dxa"/>
            <w:tcBorders>
              <w:top w:val="single" w:color="auto" w:sz="4" w:space="0"/>
              <w:left w:val="nil"/>
              <w:bottom w:val="single" w:color="000000" w:sz="4" w:space="0"/>
              <w:right w:val="single" w:color="000000" w:sz="4" w:space="0"/>
            </w:tcBorders>
            <w:noWrap w:val="0"/>
            <w:vAlign w:val="top"/>
          </w:tcPr>
          <w:p>
            <w:pPr>
              <w:widowControl/>
              <w:spacing w:line="240" w:lineRule="exact"/>
              <w:rPr>
                <w:rFonts w:eastAsia="仿宋_GB2312"/>
                <w:sz w:val="20"/>
              </w:rPr>
            </w:pPr>
          </w:p>
        </w:tc>
      </w:tr>
      <w:tr>
        <w:tblPrEx>
          <w:tblCellMar>
            <w:top w:w="0" w:type="dxa"/>
            <w:left w:w="108" w:type="dxa"/>
            <w:bottom w:w="0" w:type="dxa"/>
            <w:right w:w="108" w:type="dxa"/>
          </w:tblCellMar>
        </w:tblPrEx>
        <w:trPr>
          <w:trHeight w:val="778"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kern w:val="0"/>
                <w:sz w:val="22"/>
                <w:szCs w:val="22"/>
                <w:lang w:bidi="ar"/>
              </w:rPr>
              <w:t>11</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楷体_GBK"/>
                <w:bCs/>
                <w:kern w:val="0"/>
                <w:sz w:val="22"/>
                <w:szCs w:val="22"/>
                <w:lang w:bidi="ar"/>
              </w:rPr>
            </w:pPr>
            <w:r>
              <w:rPr>
                <w:rFonts w:eastAsia="方正楷体_GBK"/>
                <w:bCs/>
                <w:kern w:val="0"/>
                <w:sz w:val="22"/>
                <w:szCs w:val="22"/>
                <w:lang w:bidi="ar"/>
              </w:rPr>
              <w:t>加分项目</w:t>
            </w:r>
          </w:p>
          <w:p>
            <w:pPr>
              <w:widowControl/>
              <w:spacing w:line="240" w:lineRule="exact"/>
              <w:jc w:val="center"/>
              <w:textAlignment w:val="center"/>
              <w:rPr>
                <w:rFonts w:eastAsia="方正楷体_GBK"/>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sz w:val="22"/>
                <w:szCs w:val="22"/>
              </w:rPr>
            </w:pPr>
            <w:r>
              <w:rPr>
                <w:rFonts w:eastAsia="方正仿宋_GBK"/>
                <w:kern w:val="0"/>
                <w:sz w:val="22"/>
                <w:szCs w:val="22"/>
                <w:lang w:bidi="ar"/>
              </w:rPr>
              <w:t>雷锋的士创建情况</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6446"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参与雷锋的士志愿服务队，一、二、三星级车辆数量合计超过经营者车辆数10%的，每增加1%加0.1分；四星级车辆每辆加0.2分；五星级车辆每辆加 0.3分。（本项最高不超过2分）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99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sz w:val="22"/>
                <w:szCs w:val="22"/>
              </w:rPr>
              <w:t>12</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sz w:val="22"/>
                <w:szCs w:val="22"/>
              </w:rPr>
            </w:pPr>
            <w:r>
              <w:rPr>
                <w:rFonts w:eastAsia="方正仿宋_GBK"/>
                <w:kern w:val="0"/>
                <w:sz w:val="22"/>
                <w:szCs w:val="22"/>
                <w:lang w:bidi="ar"/>
              </w:rPr>
              <w:t>行业正面典型及荣誉表彰情况</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营者经营过程中获得了荣誉或者通报表彰的，国家级每次加2分；部级或者市级政府每次加1分；市级部门或者区县政府级加0.5分；区县部门级加0.2分。同一行为多层次表彰的，以最高级别奖励的标准加分。（本项最高不超过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企业提交动态录入</w:t>
            </w: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43"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kern w:val="0"/>
                <w:sz w:val="22"/>
                <w:szCs w:val="22"/>
                <w:lang w:bidi="ar"/>
              </w:rPr>
              <w:t>13</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sz w:val="22"/>
                <w:szCs w:val="22"/>
              </w:rPr>
            </w:pPr>
            <w:r>
              <w:rPr>
                <w:rFonts w:eastAsia="方正仿宋_GBK"/>
                <w:kern w:val="0"/>
                <w:sz w:val="22"/>
                <w:szCs w:val="22"/>
                <w:lang w:bidi="ar"/>
              </w:rPr>
              <w:t>新闻媒体正面报道</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sz w:val="22"/>
                <w:szCs w:val="22"/>
              </w:rPr>
            </w:pPr>
            <w:r>
              <w:rPr>
                <w:rFonts w:eastAsia="方正仿宋_GBK"/>
                <w:kern w:val="0"/>
                <w:sz w:val="22"/>
                <w:szCs w:val="22"/>
                <w:lang w:bidi="ar"/>
              </w:rPr>
              <w:t>经营者所属驾驶员、工作人员出现好人好事被新闻媒体报道的，国家级每件次加</w:t>
            </w:r>
            <w:r>
              <w:rPr>
                <w:rStyle w:val="42"/>
                <w:rFonts w:hint="default" w:ascii="Times New Roman" w:hAnsi="Times New Roman" w:cs="Times New Roman"/>
                <w:color w:val="auto"/>
                <w:lang w:bidi="ar"/>
              </w:rPr>
              <w:t>0.3分</w:t>
            </w:r>
            <w:r>
              <w:rPr>
                <w:rFonts w:eastAsia="方正仿宋_GBK"/>
                <w:kern w:val="0"/>
                <w:sz w:val="22"/>
                <w:szCs w:val="22"/>
                <w:lang w:bidi="ar"/>
              </w:rPr>
              <w:t>；市级每件次</w:t>
            </w:r>
            <w:r>
              <w:rPr>
                <w:rStyle w:val="42"/>
                <w:rFonts w:hint="default" w:ascii="Times New Roman" w:hAnsi="Times New Roman" w:cs="Times New Roman"/>
                <w:color w:val="auto"/>
                <w:lang w:bidi="ar"/>
              </w:rPr>
              <w:t>加0.2分</w:t>
            </w:r>
            <w:r>
              <w:rPr>
                <w:rFonts w:eastAsia="方正仿宋_GBK"/>
                <w:kern w:val="0"/>
                <w:sz w:val="22"/>
                <w:szCs w:val="22"/>
                <w:lang w:bidi="ar"/>
              </w:rPr>
              <w:t>；区县级每件次加</w:t>
            </w:r>
            <w:r>
              <w:rPr>
                <w:rStyle w:val="42"/>
                <w:rFonts w:hint="default" w:ascii="Times New Roman" w:hAnsi="Times New Roman" w:cs="Times New Roman"/>
                <w:color w:val="auto"/>
                <w:lang w:bidi="ar"/>
              </w:rPr>
              <w:t>0.1分</w:t>
            </w:r>
            <w:r>
              <w:rPr>
                <w:rFonts w:eastAsia="方正仿宋_GBK"/>
                <w:kern w:val="0"/>
                <w:sz w:val="22"/>
                <w:szCs w:val="22"/>
                <w:lang w:bidi="ar"/>
              </w:rPr>
              <w:t>。同一事迹多层次报道的，以最高级别媒体报道的标准加分</w:t>
            </w:r>
            <w:r>
              <w:rPr>
                <w:rFonts w:eastAsia="方正仿宋_GBK"/>
                <w:sz w:val="22"/>
                <w:szCs w:val="22"/>
              </w:rPr>
              <w:t>。（</w:t>
            </w:r>
            <w:r>
              <w:rPr>
                <w:rFonts w:eastAsia="方正仿宋_GBK"/>
                <w:kern w:val="0"/>
                <w:sz w:val="22"/>
                <w:szCs w:val="22"/>
                <w:lang w:bidi="ar"/>
              </w:rPr>
              <w:t>本项</w:t>
            </w:r>
            <w:r>
              <w:rPr>
                <w:rFonts w:eastAsia="方正仿宋_GBK"/>
                <w:sz w:val="22"/>
                <w:szCs w:val="22"/>
              </w:rPr>
              <w:t>最高不超过1分）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sz w:val="22"/>
                <w:szCs w:val="22"/>
              </w:rPr>
            </w:pPr>
            <w:r>
              <w:rPr>
                <w:rFonts w:eastAsia="方正仿宋_GBK"/>
                <w:kern w:val="0"/>
                <w:sz w:val="22"/>
                <w:szCs w:val="22"/>
                <w:lang w:bidi="ar"/>
              </w:rPr>
              <w:t>企业提交动态录入</w:t>
            </w: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418"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楷体_GBK"/>
                <w:bCs/>
                <w:sz w:val="22"/>
                <w:szCs w:val="22"/>
              </w:rPr>
            </w:pPr>
            <w:r>
              <w:rPr>
                <w:rFonts w:eastAsia="方正楷体_GBK"/>
                <w:bCs/>
                <w:sz w:val="22"/>
                <w:szCs w:val="22"/>
              </w:rPr>
              <w:t>合计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方正楷体_GBK"/>
                <w:bCs/>
                <w:sz w:val="22"/>
                <w:szCs w:val="22"/>
              </w:rPr>
            </w:pPr>
            <w:r>
              <w:rPr>
                <w:rFonts w:eastAsia="方正楷体_GBK"/>
                <w:bCs/>
                <w:kern w:val="0"/>
                <w:sz w:val="22"/>
                <w:szCs w:val="22"/>
                <w:lang w:bidi="ar"/>
              </w:rPr>
              <w:t>100分</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100分</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284" w:hRule="atLeast"/>
          <w:jc w:val="center"/>
        </w:trPr>
        <w:tc>
          <w:tcPr>
            <w:tcW w:w="1965" w:type="dxa"/>
            <w:gridSpan w:val="2"/>
            <w:vMerge w:val="restart"/>
            <w:tcBorders>
              <w:top w:val="single" w:color="000000" w:sz="4" w:space="0"/>
              <w:left w:val="single" w:color="000000" w:sz="4" w:space="0"/>
              <w:right w:val="single" w:color="000000" w:sz="4" w:space="0"/>
            </w:tcBorders>
            <w:noWrap/>
            <w:vAlign w:val="center"/>
          </w:tcPr>
          <w:p>
            <w:pPr>
              <w:widowControl/>
              <w:spacing w:line="240" w:lineRule="exact"/>
              <w:jc w:val="center"/>
              <w:rPr>
                <w:rFonts w:eastAsia="方正楷体_GBK"/>
                <w:bCs/>
                <w:sz w:val="22"/>
                <w:szCs w:val="22"/>
              </w:rPr>
            </w:pPr>
            <w:r>
              <w:rPr>
                <w:rFonts w:eastAsia="方正楷体_GBK"/>
                <w:bCs/>
                <w:sz w:val="22"/>
                <w:szCs w:val="22"/>
              </w:rPr>
              <w:t>评价结论</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信用等级</w:t>
            </w:r>
          </w:p>
        </w:tc>
        <w:tc>
          <w:tcPr>
            <w:tcW w:w="1051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AA□                A□                B□                C□                D□</w:t>
            </w:r>
          </w:p>
        </w:tc>
      </w:tr>
      <w:tr>
        <w:tblPrEx>
          <w:tblCellMar>
            <w:top w:w="0" w:type="dxa"/>
            <w:left w:w="108" w:type="dxa"/>
            <w:bottom w:w="0" w:type="dxa"/>
            <w:right w:w="108" w:type="dxa"/>
          </w:tblCellMar>
        </w:tblPrEx>
        <w:trPr>
          <w:trHeight w:val="284" w:hRule="atLeast"/>
          <w:jc w:val="center"/>
        </w:trPr>
        <w:tc>
          <w:tcPr>
            <w:tcW w:w="1965" w:type="dxa"/>
            <w:gridSpan w:val="2"/>
            <w:vMerge w:val="continue"/>
            <w:tcBorders>
              <w:left w:val="single" w:color="000000" w:sz="4" w:space="0"/>
              <w:right w:val="single" w:color="000000" w:sz="4" w:space="0"/>
            </w:tcBorders>
            <w:noWrap/>
            <w:vAlign w:val="center"/>
          </w:tcPr>
          <w:p>
            <w:pPr>
              <w:widowControl/>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评价机构</w:t>
            </w:r>
          </w:p>
        </w:tc>
        <w:tc>
          <w:tcPr>
            <w:tcW w:w="1051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284" w:hRule="atLeast"/>
          <w:jc w:val="center"/>
        </w:trPr>
        <w:tc>
          <w:tcPr>
            <w:tcW w:w="1965" w:type="dxa"/>
            <w:gridSpan w:val="2"/>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经办人</w:t>
            </w:r>
          </w:p>
        </w:tc>
        <w:tc>
          <w:tcPr>
            <w:tcW w:w="55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评价日期</w:t>
            </w:r>
          </w:p>
        </w:tc>
        <w:tc>
          <w:tcPr>
            <w:tcW w:w="33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仿宋_GB2312"/>
                <w:sz w:val="20"/>
              </w:rPr>
            </w:pPr>
            <w:r>
              <w:rPr>
                <w:rFonts w:eastAsia="仿宋_GB2312"/>
                <w:sz w:val="20"/>
              </w:rPr>
              <w:t xml:space="preserve">         年    月    日</w:t>
            </w:r>
          </w:p>
        </w:tc>
      </w:tr>
    </w:tbl>
    <w:p>
      <w:pPr>
        <w:spacing w:line="300" w:lineRule="exact"/>
        <w:rPr>
          <w:rFonts w:eastAsia="方正仿宋_GBK"/>
          <w:kern w:val="0"/>
          <w:sz w:val="22"/>
          <w:szCs w:val="22"/>
          <w:lang w:bidi="ar"/>
        </w:rPr>
      </w:pPr>
      <w:r>
        <w:rPr>
          <w:rFonts w:eastAsia="方正仿宋_GBK"/>
          <w:kern w:val="0"/>
          <w:sz w:val="22"/>
          <w:szCs w:val="22"/>
          <w:lang w:bidi="ar"/>
        </w:rPr>
        <w:t>备注：</w:t>
      </w:r>
      <w:r>
        <w:rPr>
          <w:rFonts w:hint="eastAsia" w:eastAsia="方正仿宋_GBK"/>
          <w:kern w:val="0"/>
          <w:sz w:val="22"/>
          <w:szCs w:val="22"/>
          <w:lang w:bidi="ar"/>
        </w:rPr>
        <w:t>1.</w:t>
      </w:r>
      <w:r>
        <w:rPr>
          <w:rFonts w:eastAsia="方正仿宋_GBK"/>
          <w:kern w:val="0"/>
          <w:sz w:val="22"/>
          <w:szCs w:val="22"/>
          <w:lang w:bidi="ar"/>
        </w:rPr>
        <w:t>本信用考核中，发生的交通责任事故、违规行为时，有平台公司订单的，则对派单的平台公司扣分；无平台公司订单的，则对发生事故或行为时近1个月内有订单的平台公司分别按考核项扣分。</w:t>
      </w:r>
    </w:p>
    <w:p>
      <w:pPr>
        <w:spacing w:line="300" w:lineRule="exact"/>
        <w:ind w:firstLine="660" w:firstLineChars="300"/>
        <w:rPr>
          <w:rFonts w:hint="eastAsia" w:eastAsia="方正仿宋_GBK"/>
          <w:kern w:val="0"/>
          <w:sz w:val="22"/>
          <w:szCs w:val="22"/>
          <w:lang w:bidi="ar"/>
        </w:rPr>
      </w:pPr>
      <w:r>
        <w:rPr>
          <w:rFonts w:hint="eastAsia" w:eastAsia="方正仿宋_GBK"/>
          <w:kern w:val="0"/>
          <w:sz w:val="22"/>
          <w:szCs w:val="22"/>
          <w:lang w:bidi="ar"/>
        </w:rPr>
        <w:t>2.本信用考核指标中，“每增加”、“每低”是指：若此项表述前未设置具体标准数据的，则按照“每增加”即以0数值为标准参考值；“每低”即以100%数值为标准参考值。若此项表述前设置了了具体标准数据的，则以标准数据为参考值。</w:t>
      </w:r>
    </w:p>
    <w:p>
      <w:pPr>
        <w:pStyle w:val="5"/>
        <w:rPr>
          <w:rFonts w:hint="eastAsia" w:eastAsia="方正仿宋_GBK"/>
          <w:kern w:val="0"/>
          <w:sz w:val="22"/>
          <w:szCs w:val="22"/>
          <w:lang w:bidi="ar"/>
        </w:rPr>
      </w:pPr>
      <w:r>
        <w:rPr>
          <w:rFonts w:hint="eastAsia" w:eastAsia="方正仿宋_GBK"/>
          <w:kern w:val="0"/>
          <w:sz w:val="22"/>
          <w:szCs w:val="22"/>
          <w:lang w:bidi="ar"/>
        </w:rPr>
        <w:t>3.本信用考核指标中，涉及有百分比、小数点等数值的，在计算时均先多保留1位，再按照“四舍五入”的方式计算最终值。</w:t>
      </w:r>
    </w:p>
    <w:p>
      <w:pPr>
        <w:rPr>
          <w:rFonts w:hint="eastAsia" w:eastAsia="方正仿宋_GBK"/>
          <w:kern w:val="0"/>
          <w:sz w:val="22"/>
          <w:szCs w:val="22"/>
          <w:lang w:bidi="ar"/>
        </w:rPr>
      </w:pPr>
      <w:r>
        <w:rPr>
          <w:rFonts w:hint="eastAsia" w:eastAsia="方正仿宋_GBK"/>
          <w:kern w:val="0"/>
          <w:sz w:val="22"/>
          <w:szCs w:val="22"/>
          <w:lang w:bidi="ar"/>
        </w:rPr>
        <w:br w:type="page"/>
      </w:r>
    </w:p>
    <w:p>
      <w:pPr>
        <w:jc w:val="left"/>
        <w:rPr>
          <w:rFonts w:eastAsia="方正黑体_GBK"/>
          <w:bCs/>
          <w:color w:val="000000"/>
          <w:kern w:val="0"/>
          <w:sz w:val="44"/>
          <w:szCs w:val="44"/>
          <w:lang w:bidi="ar"/>
        </w:rPr>
      </w:pPr>
      <w:r>
        <w:rPr>
          <w:rFonts w:eastAsia="方正黑体_GBK"/>
          <w:color w:val="000000"/>
          <w:sz w:val="32"/>
          <w:szCs w:val="32"/>
        </w:rPr>
        <w:t>附件1-7</w:t>
      </w:r>
    </w:p>
    <w:p>
      <w:pPr>
        <w:spacing w:line="600" w:lineRule="exact"/>
        <w:jc w:val="center"/>
        <w:rPr>
          <w:rFonts w:eastAsia="方正小标宋_GBK"/>
          <w:color w:val="000000"/>
          <w:sz w:val="44"/>
          <w:szCs w:val="44"/>
        </w:rPr>
      </w:pPr>
      <w:r>
        <w:rPr>
          <w:rFonts w:eastAsia="方正小标宋_GBK"/>
          <w:color w:val="000000"/>
          <w:sz w:val="44"/>
          <w:szCs w:val="44"/>
        </w:rPr>
        <w:t>重庆市城市轨道交通运营企业信用评价标准</w:t>
      </w:r>
    </w:p>
    <w:p>
      <w:pPr>
        <w:spacing w:line="600" w:lineRule="exact"/>
        <w:ind w:firstLine="560" w:firstLineChars="200"/>
        <w:jc w:val="left"/>
        <w:rPr>
          <w:rFonts w:eastAsia="方正仿宋_GBK"/>
          <w:bCs/>
          <w:color w:val="000000"/>
          <w:kern w:val="0"/>
          <w:sz w:val="28"/>
          <w:szCs w:val="28"/>
          <w:lang w:bidi="ar"/>
        </w:rPr>
      </w:pPr>
      <w:r>
        <w:rPr>
          <w:rFonts w:eastAsia="方正仿宋_GBK"/>
          <w:bCs/>
          <w:color w:val="000000"/>
          <w:kern w:val="0"/>
          <w:sz w:val="28"/>
          <w:szCs w:val="28"/>
          <w:lang w:bidi="ar"/>
        </w:rPr>
        <w:t xml:space="preserve">被评价企业：                       被评价线路：                    评价年度：    </w:t>
      </w:r>
    </w:p>
    <w:tbl>
      <w:tblPr>
        <w:tblStyle w:val="11"/>
        <w:tblW w:w="13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78"/>
        <w:gridCol w:w="1351"/>
        <w:gridCol w:w="855"/>
        <w:gridCol w:w="3201"/>
        <w:gridCol w:w="1830"/>
        <w:gridCol w:w="1901"/>
        <w:gridCol w:w="178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712" w:type="dxa"/>
            <w:noWrap w:val="0"/>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序号</w:t>
            </w:r>
          </w:p>
        </w:tc>
        <w:tc>
          <w:tcPr>
            <w:tcW w:w="1178" w:type="dxa"/>
            <w:noWrap w:val="0"/>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一级指标及分值</w:t>
            </w:r>
          </w:p>
        </w:tc>
        <w:tc>
          <w:tcPr>
            <w:tcW w:w="1351" w:type="dxa"/>
            <w:noWrap w:val="0"/>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二级指标</w:t>
            </w:r>
          </w:p>
        </w:tc>
        <w:tc>
          <w:tcPr>
            <w:tcW w:w="855" w:type="dxa"/>
            <w:noWrap w:val="0"/>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分值</w:t>
            </w:r>
          </w:p>
        </w:tc>
        <w:tc>
          <w:tcPr>
            <w:tcW w:w="6932" w:type="dxa"/>
            <w:gridSpan w:val="3"/>
            <w:noWrap w:val="0"/>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评分标准</w:t>
            </w:r>
          </w:p>
        </w:tc>
        <w:tc>
          <w:tcPr>
            <w:tcW w:w="1785" w:type="dxa"/>
            <w:noWrap w:val="0"/>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数据来源</w:t>
            </w:r>
          </w:p>
        </w:tc>
        <w:tc>
          <w:tcPr>
            <w:tcW w:w="825" w:type="dxa"/>
            <w:noWrap w:val="0"/>
            <w:vAlign w:val="center"/>
          </w:tcPr>
          <w:p>
            <w:pPr>
              <w:widowControl/>
              <w:spacing w:line="260" w:lineRule="exact"/>
              <w:jc w:val="center"/>
              <w:textAlignment w:val="center"/>
              <w:rPr>
                <w:rFonts w:eastAsia="黑体"/>
                <w:bCs/>
                <w:color w:val="000000"/>
                <w:kern w:val="0"/>
                <w:sz w:val="28"/>
                <w:szCs w:val="28"/>
                <w:lang w:bidi="ar"/>
              </w:rPr>
            </w:pPr>
            <w:r>
              <w:rPr>
                <w:rFonts w:eastAsia="方正黑体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w:t>
            </w:r>
          </w:p>
        </w:tc>
        <w:tc>
          <w:tcPr>
            <w:tcW w:w="1178" w:type="dxa"/>
            <w:vMerge w:val="restart"/>
            <w:noWrap w:val="0"/>
            <w:vAlign w:val="center"/>
          </w:tcPr>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（60分）</w:t>
            </w:r>
          </w:p>
          <w:p>
            <w:pPr>
              <w:spacing w:line="260" w:lineRule="exact"/>
              <w:jc w:val="center"/>
              <w:rPr>
                <w:rFonts w:eastAsia="方正楷体_GBK"/>
                <w:bCs/>
                <w:color w:val="FF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进出站</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1.进出站引导标识标志，未满足清晰、醒目、连续、规范要求的，每处扣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2.未提供乘车指引或者及时告知非正常运营信息的，每处扣0.2分；</w:t>
            </w:r>
          </w:p>
          <w:p>
            <w:pPr>
              <w:spacing w:line="260" w:lineRule="exact"/>
              <w:rPr>
                <w:rFonts w:eastAsia="方正仿宋_GBK"/>
                <w:color w:val="000000"/>
                <w:sz w:val="22"/>
                <w:szCs w:val="22"/>
              </w:rPr>
            </w:pPr>
            <w:r>
              <w:rPr>
                <w:rFonts w:eastAsia="方正仿宋_GBK"/>
                <w:color w:val="000000"/>
                <w:sz w:val="22"/>
                <w:szCs w:val="22"/>
              </w:rPr>
              <w:t>3.客流流线规划不合理，进出站不顺畅的，每处扣</w:t>
            </w:r>
            <w:r>
              <w:rPr>
                <w:rFonts w:eastAsia="方正仿宋_GBK"/>
                <w:color w:val="000000"/>
                <w:sz w:val="22"/>
                <w:szCs w:val="22"/>
                <w:lang w:val="en"/>
              </w:rPr>
              <w:t>0.1</w:t>
            </w:r>
            <w:r>
              <w:rPr>
                <w:rFonts w:eastAsia="方正仿宋_GBK"/>
                <w:color w:val="000000"/>
                <w:sz w:val="22"/>
                <w:szCs w:val="22"/>
              </w:rPr>
              <w:t>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专家评价，行业管理部门录入</w:t>
            </w:r>
          </w:p>
        </w:tc>
        <w:tc>
          <w:tcPr>
            <w:tcW w:w="825" w:type="dxa"/>
            <w:noWrap w:val="0"/>
            <w:vAlign w:val="top"/>
          </w:tcPr>
          <w:p>
            <w:pPr>
              <w:spacing w:line="260" w:lineRule="exact"/>
              <w:ind w:firstLine="210" w:firstLineChars="100"/>
              <w:jc w:val="left"/>
              <w:rPr>
                <w:rFonts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w:t>
            </w:r>
          </w:p>
        </w:tc>
        <w:tc>
          <w:tcPr>
            <w:tcW w:w="1178" w:type="dxa"/>
            <w:vMerge w:val="continue"/>
            <w:noWrap w:val="0"/>
            <w:vAlign w:val="center"/>
          </w:tcPr>
          <w:p>
            <w:pPr>
              <w:spacing w:line="260" w:lineRule="exact"/>
              <w:jc w:val="center"/>
              <w:rPr>
                <w:rFonts w:eastAsia="方正楷体_GBK"/>
                <w:bCs/>
                <w:color w:val="FF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乘车</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21</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1.车站未设置人工问询点或者自动查询设备，或者工作人员服务不热情、用语不规范、着装不整洁的，每处扣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2.乘客购、检票不方便快捷，售票（卡）、充值不迅速准确的，每处扣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3.标志标识或者站台广播不清晰、准确、规范的，每处扣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4.站台服务人员未按规定接发列车、进行站台巡视的，每处扣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5.自动扶梯、站台门设备运行不正常的、每处扣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6.卫生、空气和温度、照明、噪声等环境不良好的，每处扣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7.列车座椅、扶手不完好，或者未设置轮椅专用位置的，每处扣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8.列车未按规定进站对位停车的，关门作业时司机未进行瞭望确认的，每次扣</w:t>
            </w:r>
            <w:r>
              <w:rPr>
                <w:rFonts w:eastAsia="方正仿宋_GBK"/>
                <w:color w:val="000000"/>
                <w:sz w:val="22"/>
                <w:szCs w:val="22"/>
                <w:lang w:val="en"/>
              </w:rPr>
              <w:t>0.1</w:t>
            </w:r>
            <w:r>
              <w:rPr>
                <w:rFonts w:eastAsia="方正仿宋_GBK"/>
                <w:color w:val="000000"/>
                <w:sz w:val="22"/>
                <w:szCs w:val="22"/>
              </w:rPr>
              <w:t>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专家评价，行业管理部门录入</w:t>
            </w:r>
          </w:p>
        </w:tc>
        <w:tc>
          <w:tcPr>
            <w:tcW w:w="825" w:type="dxa"/>
            <w:noWrap w:val="0"/>
            <w:vAlign w:val="top"/>
          </w:tcPr>
          <w:p>
            <w:pPr>
              <w:spacing w:line="260" w:lineRule="exact"/>
              <w:ind w:firstLine="210" w:firstLineChars="100"/>
              <w:jc w:val="left"/>
              <w:rPr>
                <w:rFonts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1178" w:type="dxa"/>
            <w:vMerge w:val="continue"/>
            <w:noWrap w:val="0"/>
            <w:vAlign w:val="center"/>
          </w:tcPr>
          <w:p>
            <w:pPr>
              <w:spacing w:line="260" w:lineRule="exact"/>
              <w:jc w:val="center"/>
              <w:rPr>
                <w:rFonts w:eastAsia="方正楷体_GBK"/>
                <w:bCs/>
                <w:color w:val="FF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基础保障</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19</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1.服务管理制度不完善的，每缺失一项扣0.2分；</w:t>
            </w:r>
          </w:p>
          <w:p>
            <w:pPr>
              <w:spacing w:line="260" w:lineRule="exact"/>
              <w:rPr>
                <w:rFonts w:eastAsia="方正仿宋_GBK"/>
                <w:color w:val="000000"/>
                <w:sz w:val="22"/>
                <w:szCs w:val="22"/>
              </w:rPr>
            </w:pPr>
            <w:r>
              <w:rPr>
                <w:rFonts w:eastAsia="方正仿宋_GBK"/>
                <w:color w:val="000000"/>
                <w:sz w:val="22"/>
                <w:szCs w:val="22"/>
              </w:rPr>
              <w:t>2.人员岗位职责不清晰，或者培训不到位的，扣</w:t>
            </w:r>
            <w:r>
              <w:rPr>
                <w:rFonts w:eastAsia="方正仿宋_GBK"/>
                <w:color w:val="000000"/>
                <w:sz w:val="22"/>
                <w:szCs w:val="22"/>
                <w:lang w:val="en"/>
              </w:rPr>
              <w:t>0.5</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3.未制定或者客运组织方案不合理的，扣</w:t>
            </w:r>
            <w:r>
              <w:rPr>
                <w:rFonts w:eastAsia="方正仿宋_GBK"/>
                <w:color w:val="000000"/>
                <w:sz w:val="22"/>
                <w:szCs w:val="22"/>
                <w:lang w:val="en"/>
              </w:rPr>
              <w:t>0.5</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4.未将服务质量承诺备案并告知公众的，扣</w:t>
            </w:r>
            <w:r>
              <w:rPr>
                <w:rFonts w:eastAsia="方正仿宋_GBK"/>
                <w:color w:val="000000"/>
                <w:sz w:val="22"/>
                <w:szCs w:val="22"/>
                <w:lang w:val="en"/>
              </w:rPr>
              <w:t>0.5</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5.服务投诉受理渠道不畅通，处理不及时的，扣</w:t>
            </w:r>
            <w:r>
              <w:rPr>
                <w:rFonts w:eastAsia="方正仿宋_GBK"/>
                <w:color w:val="000000"/>
                <w:sz w:val="22"/>
                <w:szCs w:val="22"/>
                <w:lang w:val="en"/>
              </w:rPr>
              <w:t>0.5</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6.未建立企业服务监督考核机制，或者对服务质量问题整改不到位的，扣</w:t>
            </w:r>
            <w:r>
              <w:rPr>
                <w:rFonts w:eastAsia="方正仿宋_GBK"/>
                <w:color w:val="000000"/>
                <w:sz w:val="22"/>
                <w:szCs w:val="22"/>
                <w:lang w:val="en"/>
              </w:rPr>
              <w:t>0.5</w:t>
            </w:r>
            <w:r>
              <w:rPr>
                <w:rFonts w:eastAsia="方正仿宋_GBK"/>
                <w:color w:val="000000"/>
                <w:sz w:val="22"/>
                <w:szCs w:val="22"/>
              </w:rPr>
              <w:t xml:space="preserve">分。             </w:t>
            </w:r>
          </w:p>
          <w:p>
            <w:pPr>
              <w:spacing w:line="260" w:lineRule="exact"/>
              <w:rPr>
                <w:rFonts w:eastAsia="方正仿宋_GBK"/>
                <w:color w:val="000000"/>
                <w:sz w:val="22"/>
                <w:szCs w:val="22"/>
              </w:rPr>
            </w:pPr>
            <w:r>
              <w:rPr>
                <w:rFonts w:eastAsia="方正仿宋_GBK"/>
                <w:color w:val="000000"/>
                <w:sz w:val="22"/>
                <w:szCs w:val="22"/>
              </w:rPr>
              <w:t>7.未按要求落实双重预防机制，扣0.5分；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专家评价，行业管理部门录入</w:t>
            </w:r>
          </w:p>
        </w:tc>
        <w:tc>
          <w:tcPr>
            <w:tcW w:w="825" w:type="dxa"/>
            <w:noWrap w:val="0"/>
            <w:vAlign w:val="top"/>
          </w:tcPr>
          <w:p>
            <w:pPr>
              <w:spacing w:line="260" w:lineRule="exact"/>
              <w:ind w:firstLine="210" w:firstLineChars="100"/>
              <w:jc w:val="left"/>
              <w:rPr>
                <w:rFonts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spacing w:line="260" w:lineRule="exact"/>
              <w:jc w:val="center"/>
              <w:rPr>
                <w:rFonts w:eastAsia="方正仿宋_GBK"/>
                <w:color w:val="000000"/>
                <w:sz w:val="22"/>
                <w:szCs w:val="22"/>
              </w:rPr>
            </w:pPr>
            <w:r>
              <w:rPr>
                <w:color w:val="000000"/>
                <w:kern w:val="0"/>
                <w:sz w:val="22"/>
                <w:szCs w:val="22"/>
                <w:lang w:bidi="ar"/>
              </w:rPr>
              <w:t>4</w:t>
            </w:r>
          </w:p>
        </w:tc>
        <w:tc>
          <w:tcPr>
            <w:tcW w:w="1178" w:type="dxa"/>
            <w:vMerge w:val="continue"/>
            <w:noWrap w:val="0"/>
            <w:vAlign w:val="center"/>
          </w:tcPr>
          <w:p>
            <w:pPr>
              <w:spacing w:line="260" w:lineRule="exact"/>
              <w:rPr>
                <w:rFonts w:eastAsia="方正仿宋_GBK"/>
                <w:color w:val="000000"/>
                <w:sz w:val="22"/>
                <w:szCs w:val="22"/>
              </w:rPr>
            </w:pPr>
          </w:p>
        </w:tc>
        <w:tc>
          <w:tcPr>
            <w:tcW w:w="1351" w:type="dxa"/>
            <w:noWrap w:val="0"/>
            <w:vAlign w:val="center"/>
          </w:tcPr>
          <w:p>
            <w:pPr>
              <w:spacing w:line="260" w:lineRule="exact"/>
              <w:rPr>
                <w:rFonts w:eastAsia="方正仿宋_GBK"/>
                <w:color w:val="000000"/>
                <w:sz w:val="22"/>
                <w:szCs w:val="22"/>
              </w:rPr>
            </w:pPr>
            <w:r>
              <w:rPr>
                <w:rFonts w:eastAsia="方正仿宋_GBK"/>
                <w:color w:val="000000"/>
                <w:sz w:val="22"/>
                <w:szCs w:val="22"/>
              </w:rPr>
              <w:t>行政处罚情况</w:t>
            </w:r>
          </w:p>
        </w:tc>
        <w:tc>
          <w:tcPr>
            <w:tcW w:w="855" w:type="dxa"/>
            <w:noWrap w:val="0"/>
            <w:vAlign w:val="center"/>
          </w:tcPr>
          <w:p>
            <w:pPr>
              <w:spacing w:line="260" w:lineRule="exact"/>
              <w:jc w:val="center"/>
              <w:rPr>
                <w:rFonts w:eastAsia="方正仿宋_GBK"/>
                <w:color w:val="000000"/>
                <w:sz w:val="22"/>
                <w:szCs w:val="22"/>
              </w:rPr>
            </w:pPr>
            <w:r>
              <w:rPr>
                <w:color w:val="000000"/>
                <w:kern w:val="0"/>
                <w:sz w:val="22"/>
                <w:szCs w:val="22"/>
                <w:lang w:bidi="ar"/>
              </w:rPr>
              <w:t>15</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交通行政执法部门查处的违法行为，每件扣0.1分；</w:t>
            </w:r>
          </w:p>
          <w:p>
            <w:pPr>
              <w:spacing w:line="260" w:lineRule="exact"/>
              <w:rPr>
                <w:rFonts w:eastAsia="方正仿宋_GBK"/>
                <w:color w:val="000000"/>
                <w:sz w:val="22"/>
                <w:szCs w:val="22"/>
              </w:rPr>
            </w:pPr>
            <w:r>
              <w:rPr>
                <w:rFonts w:eastAsia="方正仿宋_GBK"/>
                <w:color w:val="000000"/>
                <w:sz w:val="22"/>
                <w:szCs w:val="22"/>
              </w:rPr>
              <w:t>在考核周期届满时，存在未履行交通运输行政处罚决定的，按照该交通运输行政处罚信用扣分标准，再次扣除相应分数。</w:t>
            </w:r>
          </w:p>
        </w:tc>
        <w:tc>
          <w:tcPr>
            <w:tcW w:w="1785" w:type="dxa"/>
            <w:noWrap w:val="0"/>
            <w:vAlign w:val="center"/>
          </w:tcPr>
          <w:p>
            <w:pPr>
              <w:spacing w:line="260" w:lineRule="exact"/>
              <w:rPr>
                <w:rFonts w:eastAsia="方正仿宋_GBK"/>
                <w:color w:val="000000"/>
                <w:sz w:val="22"/>
                <w:szCs w:val="22"/>
              </w:rPr>
            </w:pPr>
            <w:r>
              <w:rPr>
                <w:rFonts w:eastAsia="方正仿宋_GBK"/>
                <w:color w:val="000000"/>
                <w:sz w:val="22"/>
                <w:szCs w:val="22"/>
              </w:rPr>
              <w:t>交通执法部门数据共享</w:t>
            </w:r>
          </w:p>
        </w:tc>
        <w:tc>
          <w:tcPr>
            <w:tcW w:w="825" w:type="dxa"/>
            <w:noWrap w:val="0"/>
            <w:vAlign w:val="top"/>
          </w:tcPr>
          <w:p>
            <w:pPr>
              <w:spacing w:line="260" w:lineRule="exact"/>
              <w:ind w:firstLine="210" w:firstLineChars="100"/>
              <w:jc w:val="left"/>
              <w:rPr>
                <w:rFonts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1178" w:type="dxa"/>
            <w:vMerge w:val="restart"/>
            <w:noWrap w:val="0"/>
            <w:vAlign w:val="center"/>
          </w:tcPr>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spacing w:line="260" w:lineRule="exact"/>
              <w:jc w:val="center"/>
              <w:rPr>
                <w:rFonts w:eastAsia="方正仿宋_GBK"/>
                <w:bCs/>
                <w:color w:val="000000"/>
                <w:kern w:val="0"/>
                <w:sz w:val="22"/>
                <w:szCs w:val="22"/>
                <w:lang w:bidi="ar"/>
              </w:rPr>
            </w:pPr>
            <w:r>
              <w:rPr>
                <w:rFonts w:eastAsia="方正楷体_GBK"/>
                <w:bCs/>
                <w:color w:val="000000"/>
                <w:kern w:val="0"/>
                <w:sz w:val="22"/>
                <w:szCs w:val="22"/>
                <w:lang w:bidi="ar"/>
              </w:rPr>
              <w:t>（20分）</w:t>
            </w:r>
          </w:p>
        </w:tc>
        <w:tc>
          <w:tcPr>
            <w:tcW w:w="1351"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列车运行图兑现率（%）</w:t>
            </w:r>
          </w:p>
        </w:tc>
        <w:tc>
          <w:tcPr>
            <w:tcW w:w="855" w:type="dxa"/>
            <w:noWrap w:val="0"/>
            <w:vAlign w:val="center"/>
          </w:tcPr>
          <w:p>
            <w:pPr>
              <w:widowControl/>
              <w:spacing w:line="260" w:lineRule="exact"/>
              <w:jc w:val="center"/>
              <w:textAlignment w:val="center"/>
              <w:rPr>
                <w:color w:val="000000"/>
                <w:kern w:val="0"/>
                <w:sz w:val="22"/>
                <w:szCs w:val="22"/>
                <w:lang w:val="en" w:bidi="ar"/>
              </w:rPr>
            </w:pPr>
            <w:r>
              <w:rPr>
                <w:color w:val="000000"/>
                <w:kern w:val="0"/>
                <w:sz w:val="22"/>
                <w:szCs w:val="22"/>
                <w:lang w:val="en" w:bidi="ar"/>
              </w:rPr>
              <w:t>3</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列车运行图兑现率大于等于99.9%不扣分；大于等于99.5%且小于99.9%扣0.4分；大于等于99%且小于99.5%扣0.8分；大于等于97%且小于99%扣1.2分；小于97%扣1.6分。</w:t>
            </w:r>
          </w:p>
        </w:tc>
        <w:tc>
          <w:tcPr>
            <w:tcW w:w="1785"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12" w:type="dxa"/>
            <w:noWrap w:val="0"/>
            <w:vAlign w:val="center"/>
          </w:tcPr>
          <w:p>
            <w:pPr>
              <w:widowControl/>
              <w:spacing w:line="260" w:lineRule="exact"/>
              <w:jc w:val="center"/>
              <w:textAlignment w:val="center"/>
              <w:rPr>
                <w:dstrike/>
                <w:color w:val="000000"/>
                <w:kern w:val="0"/>
                <w:sz w:val="22"/>
                <w:szCs w:val="22"/>
                <w:lang w:bidi="ar"/>
              </w:rPr>
            </w:pPr>
            <w:r>
              <w:rPr>
                <w:color w:val="000000"/>
                <w:kern w:val="0"/>
                <w:sz w:val="22"/>
                <w:szCs w:val="22"/>
                <w:lang w:bidi="ar"/>
              </w:rPr>
              <w:t>6</w:t>
            </w:r>
          </w:p>
        </w:tc>
        <w:tc>
          <w:tcPr>
            <w:tcW w:w="1178" w:type="dxa"/>
            <w:vMerge w:val="continue"/>
            <w:noWrap w:val="0"/>
            <w:vAlign w:val="center"/>
          </w:tcPr>
          <w:p>
            <w:pPr>
              <w:spacing w:line="260" w:lineRule="exact"/>
              <w:jc w:val="center"/>
              <w:rPr>
                <w:rFonts w:eastAsia="方正仿宋_GBK"/>
                <w:bCs/>
                <w:dstrike/>
                <w:color w:val="000000"/>
                <w:kern w:val="0"/>
                <w:sz w:val="22"/>
                <w:szCs w:val="22"/>
                <w:lang w:bidi="ar"/>
              </w:rPr>
            </w:pPr>
          </w:p>
        </w:tc>
        <w:tc>
          <w:tcPr>
            <w:tcW w:w="1351" w:type="dxa"/>
            <w:noWrap w:val="0"/>
            <w:vAlign w:val="center"/>
          </w:tcPr>
          <w:p>
            <w:pPr>
              <w:spacing w:line="260" w:lineRule="exact"/>
              <w:jc w:val="center"/>
              <w:rPr>
                <w:rFonts w:eastAsia="方正仿宋_GBK"/>
                <w:bCs/>
                <w:dstrike/>
                <w:color w:val="000000"/>
                <w:kern w:val="0"/>
                <w:sz w:val="22"/>
                <w:szCs w:val="22"/>
                <w:lang w:bidi="ar"/>
              </w:rPr>
            </w:pPr>
            <w:r>
              <w:rPr>
                <w:rFonts w:eastAsia="方正仿宋_GBK"/>
                <w:color w:val="000000"/>
                <w:sz w:val="22"/>
                <w:szCs w:val="22"/>
              </w:rPr>
              <w:t>列车正点率（%）</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列车正点率大于等于99.9%不扣分；大于等于99.4%且小于99.9%扣0.4分；大于等于98.5%且小于99.4%扣0.8分；大于等于97%且小于98.5%扣1.2分；小于97%扣1.6分。</w:t>
            </w:r>
          </w:p>
        </w:tc>
        <w:tc>
          <w:tcPr>
            <w:tcW w:w="1785" w:type="dxa"/>
            <w:noWrap w:val="0"/>
            <w:vAlign w:val="center"/>
          </w:tcPr>
          <w:p>
            <w:pPr>
              <w:spacing w:line="260" w:lineRule="exact"/>
              <w:jc w:val="center"/>
              <w:rPr>
                <w:rFonts w:eastAsia="方正仿宋_GBK"/>
                <w:bCs/>
                <w:dstrike/>
                <w:color w:val="000000"/>
                <w:kern w:val="0"/>
                <w:sz w:val="22"/>
                <w:szCs w:val="22"/>
                <w:lang w:bidi="ar"/>
              </w:rPr>
            </w:pPr>
            <w:r>
              <w:rPr>
                <w:rFonts w:eastAsia="方正仿宋_GBK"/>
                <w:color w:val="000000"/>
                <w:sz w:val="22"/>
                <w:szCs w:val="22"/>
              </w:rPr>
              <w:t>企业提交，行业管理部门录入</w:t>
            </w:r>
          </w:p>
        </w:tc>
        <w:tc>
          <w:tcPr>
            <w:tcW w:w="825" w:type="dxa"/>
            <w:noWrap w:val="0"/>
            <w:vAlign w:val="top"/>
          </w:tcPr>
          <w:p>
            <w:pPr>
              <w:spacing w:line="260" w:lineRule="exact"/>
              <w:ind w:firstLine="110" w:firstLineChars="50"/>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7</w:t>
            </w:r>
          </w:p>
        </w:tc>
        <w:tc>
          <w:tcPr>
            <w:tcW w:w="1178" w:type="dxa"/>
            <w:vMerge w:val="continue"/>
            <w:noWrap w:val="0"/>
            <w:vAlign w:val="center"/>
          </w:tcPr>
          <w:p>
            <w:pPr>
              <w:spacing w:line="260" w:lineRule="exact"/>
              <w:jc w:val="center"/>
              <w:rPr>
                <w:rFonts w:eastAsia="方正仿宋_GBK"/>
                <w:bCs/>
                <w:color w:val="000000"/>
                <w:kern w:val="0"/>
                <w:sz w:val="22"/>
                <w:szCs w:val="22"/>
                <w:lang w:bidi="ar"/>
              </w:rPr>
            </w:pPr>
          </w:p>
        </w:tc>
        <w:tc>
          <w:tcPr>
            <w:tcW w:w="1351"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列车服务可靠度（万列公里/次）</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列车服务可靠度大于等于30不扣分；大于等于20且小于30扣0.6分；大于等于8且小于20扣1.2分；大于等于5且小于8扣1.8分；小于5扣2.4分。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8</w:t>
            </w:r>
          </w:p>
        </w:tc>
        <w:tc>
          <w:tcPr>
            <w:tcW w:w="1178" w:type="dxa"/>
            <w:vMerge w:val="continue"/>
            <w:noWrap w:val="0"/>
            <w:vAlign w:val="center"/>
          </w:tcPr>
          <w:p>
            <w:pPr>
              <w:spacing w:line="260" w:lineRule="exact"/>
              <w:jc w:val="center"/>
              <w:rPr>
                <w:rFonts w:eastAsia="方正仿宋_GBK"/>
                <w:bCs/>
                <w:color w:val="000000"/>
                <w:kern w:val="0"/>
                <w:sz w:val="22"/>
                <w:szCs w:val="22"/>
                <w:lang w:bidi="ar"/>
              </w:rPr>
            </w:pPr>
          </w:p>
        </w:tc>
        <w:tc>
          <w:tcPr>
            <w:tcW w:w="1351"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列车退出正线运营故障率（次/万列公里）</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列车退出正线运营故障率小于0.1不扣分；大于等于0.1且小于0.2扣0.6分；大于等于0.2且小于0.4扣1.2分；大于等于0.4且小于0.8扣1.8分；大于等于0.8扣2.4分。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9</w:t>
            </w:r>
          </w:p>
        </w:tc>
        <w:tc>
          <w:tcPr>
            <w:tcW w:w="1178" w:type="dxa"/>
            <w:vMerge w:val="continue"/>
            <w:noWrap w:val="0"/>
            <w:vAlign w:val="center"/>
          </w:tcPr>
          <w:p>
            <w:pPr>
              <w:spacing w:line="260" w:lineRule="exact"/>
              <w:jc w:val="center"/>
              <w:rPr>
                <w:rFonts w:eastAsia="方正仿宋_GBK"/>
                <w:bCs/>
                <w:color w:val="000000"/>
                <w:kern w:val="0"/>
                <w:sz w:val="22"/>
                <w:szCs w:val="22"/>
                <w:lang w:bidi="ar"/>
              </w:rPr>
            </w:pPr>
          </w:p>
        </w:tc>
        <w:tc>
          <w:tcPr>
            <w:tcW w:w="1351"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自动充值售票机可靠度（%）</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w:t>
            </w:r>
          </w:p>
        </w:tc>
        <w:tc>
          <w:tcPr>
            <w:tcW w:w="6932" w:type="dxa"/>
            <w:gridSpan w:val="3"/>
            <w:noWrap w:val="0"/>
            <w:vAlign w:val="center"/>
          </w:tcPr>
          <w:p>
            <w:pPr>
              <w:spacing w:line="260" w:lineRule="exact"/>
              <w:jc w:val="left"/>
              <w:rPr>
                <w:rFonts w:eastAsia="方正仿宋_GBK"/>
                <w:color w:val="000000"/>
                <w:sz w:val="22"/>
                <w:szCs w:val="22"/>
              </w:rPr>
            </w:pPr>
            <w:r>
              <w:rPr>
                <w:rFonts w:eastAsia="方正仿宋_GBK"/>
                <w:color w:val="000000"/>
                <w:sz w:val="22"/>
                <w:szCs w:val="22"/>
              </w:rPr>
              <w:t>自动充值售票机可靠度大于等于99.8%不扣分；大于等于99%且小于99.8%扣0.2分；大于等于98%且小于99%扣0.4分；大于等于97%且小于98%扣0.6分；小于97%扣0.8分。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10</w:t>
            </w:r>
          </w:p>
        </w:tc>
        <w:tc>
          <w:tcPr>
            <w:tcW w:w="1178" w:type="dxa"/>
            <w:vMerge w:val="continue"/>
            <w:noWrap w:val="0"/>
            <w:vAlign w:val="center"/>
          </w:tcPr>
          <w:p>
            <w:pPr>
              <w:spacing w:line="260" w:lineRule="exact"/>
              <w:jc w:val="center"/>
              <w:rPr>
                <w:rFonts w:eastAsia="方正仿宋_GBK"/>
                <w:bCs/>
                <w:color w:val="000000"/>
                <w:kern w:val="0"/>
                <w:sz w:val="22"/>
                <w:szCs w:val="22"/>
                <w:lang w:bidi="ar"/>
              </w:rPr>
            </w:pPr>
          </w:p>
        </w:tc>
        <w:tc>
          <w:tcPr>
            <w:tcW w:w="1351"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进出站闸机可靠度（%）</w:t>
            </w:r>
          </w:p>
        </w:tc>
        <w:tc>
          <w:tcPr>
            <w:tcW w:w="855" w:type="dxa"/>
            <w:noWrap w:val="0"/>
            <w:vAlign w:val="center"/>
          </w:tcPr>
          <w:p>
            <w:pPr>
              <w:widowControl/>
              <w:spacing w:line="260" w:lineRule="exact"/>
              <w:jc w:val="center"/>
              <w:textAlignment w:val="center"/>
              <w:rPr>
                <w:color w:val="000000"/>
                <w:kern w:val="0"/>
                <w:sz w:val="22"/>
                <w:szCs w:val="22"/>
                <w:lang w:bidi="ar"/>
              </w:rPr>
            </w:pPr>
          </w:p>
          <w:p>
            <w:pPr>
              <w:widowControl/>
              <w:spacing w:line="260" w:lineRule="exact"/>
              <w:jc w:val="center"/>
              <w:textAlignment w:val="center"/>
              <w:rPr>
                <w:color w:val="000000"/>
                <w:kern w:val="0"/>
                <w:sz w:val="22"/>
                <w:szCs w:val="22"/>
                <w:lang w:val="en" w:bidi="ar"/>
              </w:rPr>
            </w:pPr>
            <w:r>
              <w:rPr>
                <w:color w:val="000000"/>
                <w:kern w:val="0"/>
                <w:sz w:val="22"/>
                <w:szCs w:val="22"/>
                <w:lang w:bidi="ar"/>
              </w:rPr>
              <w:t>1</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进出站闸机可靠度大于等于99.9%不扣分；大于等于99.5%且小于99.9%扣0.2分；大于等于99%且小于99.5%扣0.4分；大于等于97%且小于99%扣0.6分；小于97%扣0.8分。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11</w:t>
            </w:r>
          </w:p>
        </w:tc>
        <w:tc>
          <w:tcPr>
            <w:tcW w:w="1178" w:type="dxa"/>
            <w:vMerge w:val="continue"/>
            <w:noWrap w:val="0"/>
            <w:vAlign w:val="center"/>
          </w:tcPr>
          <w:p>
            <w:pPr>
              <w:spacing w:line="260" w:lineRule="exact"/>
              <w:jc w:val="center"/>
              <w:rPr>
                <w:rFonts w:eastAsia="方正仿宋_GBK"/>
                <w:bCs/>
                <w:color w:val="000000"/>
                <w:kern w:val="0"/>
                <w:sz w:val="22"/>
                <w:szCs w:val="22"/>
                <w:lang w:bidi="ar"/>
              </w:rPr>
            </w:pPr>
          </w:p>
        </w:tc>
        <w:tc>
          <w:tcPr>
            <w:tcW w:w="1351"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电（扶）梯可靠度（%）</w:t>
            </w:r>
          </w:p>
        </w:tc>
        <w:tc>
          <w:tcPr>
            <w:tcW w:w="855" w:type="dxa"/>
            <w:noWrap w:val="0"/>
            <w:vAlign w:val="center"/>
          </w:tcPr>
          <w:p>
            <w:pPr>
              <w:widowControl/>
              <w:spacing w:line="260" w:lineRule="exact"/>
              <w:jc w:val="center"/>
              <w:textAlignment w:val="center"/>
              <w:rPr>
                <w:color w:val="000000"/>
                <w:kern w:val="0"/>
                <w:sz w:val="22"/>
                <w:szCs w:val="22"/>
                <w:lang w:val="en" w:bidi="ar"/>
              </w:rPr>
            </w:pPr>
            <w:r>
              <w:rPr>
                <w:color w:val="000000"/>
                <w:kern w:val="0"/>
                <w:sz w:val="22"/>
                <w:szCs w:val="22"/>
                <w:lang w:bidi="ar"/>
              </w:rPr>
              <w:t>1</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电（扶）梯可靠度大于等于99.9%不扣分；大于等于99%且小于99.9%扣0.2分；大于等于98.5%且小于99%扣0.4分；大于等于97%且小于98.5%扣0.6分；小于97%扣0.8分。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12</w:t>
            </w:r>
          </w:p>
        </w:tc>
        <w:tc>
          <w:tcPr>
            <w:tcW w:w="1178" w:type="dxa"/>
            <w:vMerge w:val="continue"/>
            <w:noWrap w:val="0"/>
            <w:vAlign w:val="center"/>
          </w:tcPr>
          <w:p>
            <w:pPr>
              <w:spacing w:line="260" w:lineRule="exact"/>
              <w:jc w:val="center"/>
              <w:rPr>
                <w:rFonts w:eastAsia="方正楷体_GBK"/>
                <w:bCs/>
                <w:color w:val="00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乘客信息系统可靠度（%）</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乘客信息系统可靠度大于等于99.8%不扣分；大于等于99%且小于99.8%扣0.2分；大于等于98%且小于99%扣0.4分；大于等于97%且小于98%扣0.6分；小于97%扣0.8分。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13</w:t>
            </w:r>
          </w:p>
        </w:tc>
        <w:tc>
          <w:tcPr>
            <w:tcW w:w="1178" w:type="dxa"/>
            <w:vMerge w:val="continue"/>
            <w:noWrap w:val="0"/>
            <w:vAlign w:val="center"/>
          </w:tcPr>
          <w:p>
            <w:pPr>
              <w:spacing w:line="260" w:lineRule="exact"/>
              <w:jc w:val="center"/>
              <w:rPr>
                <w:rFonts w:eastAsia="方正楷体_GBK"/>
                <w:bCs/>
                <w:color w:val="00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百万乘客有责投诉率（次/百万人次）</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val="en" w:bidi="ar"/>
              </w:rPr>
              <w:t xml:space="preserve"> 3</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百万乘客有责投诉率小于1不扣分；大于等于1且小于2扣0.5分；大于等于2且小于3扣1分；大于等于3且小于5扣1.5分；大于等于5扣2分。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14</w:t>
            </w:r>
          </w:p>
        </w:tc>
        <w:tc>
          <w:tcPr>
            <w:tcW w:w="1178" w:type="dxa"/>
            <w:vMerge w:val="continue"/>
            <w:noWrap w:val="0"/>
            <w:vAlign w:val="center"/>
          </w:tcPr>
          <w:p>
            <w:pPr>
              <w:spacing w:line="260" w:lineRule="exact"/>
              <w:jc w:val="center"/>
              <w:rPr>
                <w:rFonts w:eastAsia="方正楷体_GBK"/>
                <w:bCs/>
                <w:color w:val="00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有效乘客投诉回复率（%）</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val="en" w:bidi="ar"/>
              </w:rPr>
              <w:t xml:space="preserve"> 2</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有效乘客投诉回复率等于100%不扣分；大于等于95%且小于100%扣0.3分；大于等于90%且小于95%扣0.6分；大于等于85%且小于90%扣0.9分；小于85%扣1.2分。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15</w:t>
            </w:r>
          </w:p>
        </w:tc>
        <w:tc>
          <w:tcPr>
            <w:tcW w:w="1178" w:type="dxa"/>
            <w:noWrap w:val="0"/>
            <w:vAlign w:val="center"/>
          </w:tcPr>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（10分）</w:t>
            </w: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乘客满意度</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 xml:space="preserve"> 10</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设计调查问卷，从进出站、车站环境与秩序、设施运行、换乘、咨询、投诉、安全感等方面调查乘客满意度。</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问卷调查，行业管理部门录入</w:t>
            </w:r>
          </w:p>
        </w:tc>
        <w:tc>
          <w:tcPr>
            <w:tcW w:w="825" w:type="dxa"/>
            <w:noWrap w:val="0"/>
            <w:vAlign w:val="top"/>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16</w:t>
            </w:r>
          </w:p>
        </w:tc>
        <w:tc>
          <w:tcPr>
            <w:tcW w:w="1178" w:type="dxa"/>
            <w:vMerge w:val="restart"/>
            <w:noWrap w:val="0"/>
            <w:vAlign w:val="center"/>
          </w:tcPr>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社会责任</w:t>
            </w:r>
          </w:p>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（10分）</w:t>
            </w: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突发事件</w:t>
            </w:r>
          </w:p>
          <w:p>
            <w:pPr>
              <w:spacing w:line="260" w:lineRule="exact"/>
              <w:jc w:val="center"/>
              <w:rPr>
                <w:rFonts w:eastAsia="方正仿宋_GBK"/>
                <w:color w:val="000000"/>
                <w:sz w:val="22"/>
                <w:szCs w:val="22"/>
              </w:rPr>
            </w:pP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 xml:space="preserve"> 8</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1.发生5分钟以上（含）15分钟以下延误事件的，每起扣0.1分；</w:t>
            </w:r>
          </w:p>
          <w:p>
            <w:pPr>
              <w:spacing w:line="260" w:lineRule="exact"/>
              <w:rPr>
                <w:rFonts w:eastAsia="方正仿宋_GBK"/>
                <w:color w:val="000000"/>
                <w:sz w:val="22"/>
                <w:szCs w:val="22"/>
              </w:rPr>
            </w:pPr>
            <w:r>
              <w:rPr>
                <w:rFonts w:eastAsia="方正仿宋_GBK"/>
                <w:color w:val="000000"/>
                <w:sz w:val="22"/>
                <w:szCs w:val="22"/>
              </w:rPr>
              <w:t>2.发生15分钟以上（含）30分钟以下延误事件的，每起扣0.2分；</w:t>
            </w:r>
          </w:p>
          <w:p>
            <w:pPr>
              <w:spacing w:line="260" w:lineRule="exact"/>
              <w:rPr>
                <w:rFonts w:eastAsia="方正仿宋_GBK"/>
                <w:color w:val="000000"/>
                <w:sz w:val="22"/>
                <w:szCs w:val="22"/>
              </w:rPr>
            </w:pPr>
            <w:r>
              <w:rPr>
                <w:rFonts w:eastAsia="方正仿宋_GBK"/>
                <w:color w:val="000000"/>
                <w:sz w:val="22"/>
                <w:szCs w:val="22"/>
              </w:rPr>
              <w:t>3.连续中断行车（指线路中有2个及以上车站或区间发生行车中断）30分钟以上（含）2小时以下的，每起扣0.5分；</w:t>
            </w:r>
          </w:p>
          <w:p>
            <w:pPr>
              <w:spacing w:line="260" w:lineRule="exact"/>
              <w:rPr>
                <w:rFonts w:eastAsia="方正仿宋_GBK"/>
                <w:color w:val="000000"/>
                <w:sz w:val="22"/>
                <w:szCs w:val="22"/>
              </w:rPr>
            </w:pPr>
            <w:r>
              <w:rPr>
                <w:rFonts w:eastAsia="方正仿宋_GBK"/>
                <w:color w:val="000000"/>
                <w:sz w:val="22"/>
                <w:szCs w:val="22"/>
              </w:rPr>
              <w:t>4.发生一般及以上运营突发事件的，每起扣1分。</w:t>
            </w:r>
          </w:p>
          <w:p>
            <w:pPr>
              <w:spacing w:line="260" w:lineRule="exact"/>
              <w:rPr>
                <w:rFonts w:eastAsia="方正仿宋_GBK"/>
                <w:color w:val="000000"/>
                <w:sz w:val="22"/>
                <w:szCs w:val="22"/>
              </w:rPr>
            </w:pPr>
            <w:r>
              <w:rPr>
                <w:rFonts w:eastAsia="方正仿宋_GBK"/>
                <w:color w:val="000000"/>
                <w:sz w:val="22"/>
                <w:szCs w:val="22"/>
              </w:rPr>
              <w:t>（因地震、洪涝、气象灾害等自然灾害及其他不可抗力因素导致的除外）</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pStyle w:val="4"/>
              <w:spacing w:line="260" w:lineRule="exact"/>
              <w:ind w:firstLine="240" w:firstLineChars="100"/>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17</w:t>
            </w:r>
          </w:p>
        </w:tc>
        <w:tc>
          <w:tcPr>
            <w:tcW w:w="1178" w:type="dxa"/>
            <w:vMerge w:val="continue"/>
            <w:noWrap w:val="0"/>
            <w:vAlign w:val="center"/>
          </w:tcPr>
          <w:p>
            <w:pPr>
              <w:spacing w:line="260" w:lineRule="exact"/>
              <w:jc w:val="center"/>
              <w:rPr>
                <w:rFonts w:eastAsia="方正楷体_GBK"/>
                <w:bCs/>
                <w:kern w:val="0"/>
                <w:sz w:val="22"/>
                <w:szCs w:val="22"/>
                <w:lang w:bidi="ar"/>
              </w:rPr>
            </w:pPr>
          </w:p>
        </w:tc>
        <w:tc>
          <w:tcPr>
            <w:tcW w:w="1351" w:type="dxa"/>
            <w:noWrap w:val="0"/>
            <w:vAlign w:val="center"/>
          </w:tcPr>
          <w:p>
            <w:pPr>
              <w:spacing w:line="260" w:lineRule="exact"/>
              <w:jc w:val="center"/>
              <w:rPr>
                <w:rFonts w:eastAsia="方正仿宋_GBK"/>
                <w:sz w:val="22"/>
                <w:szCs w:val="22"/>
              </w:rPr>
            </w:pPr>
            <w:r>
              <w:rPr>
                <w:rFonts w:eastAsia="方正仿宋_GBK"/>
                <w:sz w:val="22"/>
                <w:szCs w:val="22"/>
              </w:rPr>
              <w:t>挂牌督办</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因运营管理原因被挂牌督办的，每起扣0.5分。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交通执法部门通报，行业管理部门录入</w:t>
            </w:r>
          </w:p>
        </w:tc>
        <w:tc>
          <w:tcPr>
            <w:tcW w:w="825" w:type="dxa"/>
            <w:noWrap w:val="0"/>
            <w:vAlign w:val="top"/>
          </w:tcPr>
          <w:p>
            <w:pPr>
              <w:pStyle w:val="4"/>
              <w:spacing w:line="260" w:lineRule="exact"/>
              <w:ind w:firstLine="240" w:firstLineChars="100"/>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18</w:t>
            </w:r>
          </w:p>
        </w:tc>
        <w:tc>
          <w:tcPr>
            <w:tcW w:w="1178" w:type="dxa"/>
            <w:noWrap w:val="0"/>
            <w:vAlign w:val="center"/>
          </w:tcPr>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加分项目</w:t>
            </w:r>
          </w:p>
          <w:p>
            <w:pPr>
              <w:spacing w:line="260" w:lineRule="exact"/>
              <w:jc w:val="center"/>
              <w:rPr>
                <w:rFonts w:eastAsia="方正楷体_GBK"/>
                <w:bCs/>
                <w:color w:val="00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表彰奖励</w:t>
            </w:r>
          </w:p>
        </w:tc>
        <w:tc>
          <w:tcPr>
            <w:tcW w:w="855" w:type="dxa"/>
            <w:noWrap w:val="0"/>
            <w:vAlign w:val="center"/>
          </w:tcPr>
          <w:p>
            <w:pPr>
              <w:widowControl/>
              <w:spacing w:line="260" w:lineRule="exact"/>
              <w:jc w:val="center"/>
              <w:textAlignment w:val="center"/>
              <w:rPr>
                <w:color w:val="000000"/>
                <w:kern w:val="0"/>
                <w:sz w:val="22"/>
                <w:szCs w:val="22"/>
                <w:lang w:bidi="ar"/>
              </w:rPr>
            </w:pPr>
          </w:p>
        </w:tc>
        <w:tc>
          <w:tcPr>
            <w:tcW w:w="6932" w:type="dxa"/>
            <w:gridSpan w:val="3"/>
            <w:noWrap w:val="0"/>
            <w:vAlign w:val="top"/>
          </w:tcPr>
          <w:p>
            <w:pPr>
              <w:spacing w:line="260" w:lineRule="exact"/>
              <w:rPr>
                <w:rFonts w:eastAsia="方正仿宋_GBK"/>
                <w:color w:val="000000"/>
                <w:sz w:val="22"/>
                <w:szCs w:val="22"/>
              </w:rPr>
            </w:pPr>
            <w:r>
              <w:rPr>
                <w:rFonts w:eastAsia="方正仿宋_GBK"/>
                <w:color w:val="000000"/>
                <w:sz w:val="22"/>
                <w:szCs w:val="22"/>
              </w:rPr>
              <w:t>1.因完成政府政策性任务，或者积极组织参加抢险救灾、应急保障等具有较大社会影响的活动，运营单位获得市级及以上人民政府或者交通运输部表彰表扬的，每项加2分；获得市级交通主管部门表彰表扬的，每项加1分；</w:t>
            </w:r>
          </w:p>
          <w:p>
            <w:pPr>
              <w:spacing w:line="260" w:lineRule="exact"/>
              <w:rPr>
                <w:rFonts w:eastAsia="方正仿宋_GBK"/>
                <w:color w:val="000000"/>
                <w:sz w:val="22"/>
                <w:szCs w:val="22"/>
              </w:rPr>
            </w:pPr>
            <w:r>
              <w:rPr>
                <w:rFonts w:eastAsia="方正仿宋_GBK"/>
                <w:color w:val="000000"/>
                <w:sz w:val="22"/>
                <w:szCs w:val="22"/>
              </w:rPr>
              <w:t>2.班组或者个人因运营管理工作突出，获得市级及以上人民政府或者交通运输部表彰表扬的，每项加1分。</w:t>
            </w:r>
          </w:p>
          <w:p>
            <w:pPr>
              <w:spacing w:line="260" w:lineRule="exact"/>
              <w:rPr>
                <w:rFonts w:eastAsia="方正仿宋_GBK"/>
                <w:color w:val="000000"/>
                <w:sz w:val="22"/>
                <w:szCs w:val="22"/>
              </w:rPr>
            </w:pPr>
            <w:r>
              <w:rPr>
                <w:rFonts w:eastAsia="方正仿宋_GBK"/>
                <w:color w:val="000000"/>
                <w:sz w:val="22"/>
                <w:szCs w:val="22"/>
              </w:rPr>
              <w:t>（总加分上限为5分，因同一事项获得多项表彰表扬的，按照奖项级别最高的计算一次，不重复加分。）</w:t>
            </w:r>
          </w:p>
        </w:tc>
        <w:tc>
          <w:tcPr>
            <w:tcW w:w="1785" w:type="dxa"/>
            <w:noWrap w:val="0"/>
            <w:vAlign w:val="center"/>
          </w:tcPr>
          <w:p>
            <w:pPr>
              <w:spacing w:line="260" w:lineRule="exact"/>
              <w:jc w:val="center"/>
              <w:rPr>
                <w:rFonts w:eastAsia="方正仿宋_GBK"/>
                <w:color w:val="000000"/>
                <w:sz w:val="22"/>
                <w:szCs w:val="22"/>
              </w:rPr>
            </w:pPr>
          </w:p>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2" w:type="dxa"/>
            <w:noWrap w:val="0"/>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合计</w:t>
            </w:r>
          </w:p>
        </w:tc>
        <w:tc>
          <w:tcPr>
            <w:tcW w:w="1178" w:type="dxa"/>
            <w:noWrap w:val="0"/>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100分</w:t>
            </w:r>
          </w:p>
        </w:tc>
        <w:tc>
          <w:tcPr>
            <w:tcW w:w="1351" w:type="dxa"/>
            <w:noWrap w:val="0"/>
            <w:vAlign w:val="center"/>
          </w:tcPr>
          <w:p>
            <w:pPr>
              <w:spacing w:line="260" w:lineRule="exact"/>
              <w:jc w:val="center"/>
              <w:rPr>
                <w:rFonts w:eastAsia="方正仿宋_GBK"/>
                <w:color w:val="000000"/>
                <w:sz w:val="22"/>
                <w:szCs w:val="22"/>
              </w:rPr>
            </w:pP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100</w:t>
            </w:r>
          </w:p>
        </w:tc>
        <w:tc>
          <w:tcPr>
            <w:tcW w:w="6932" w:type="dxa"/>
            <w:gridSpan w:val="3"/>
            <w:noWrap w:val="0"/>
            <w:vAlign w:val="top"/>
          </w:tcPr>
          <w:p>
            <w:pPr>
              <w:spacing w:line="260" w:lineRule="exact"/>
              <w:rPr>
                <w:rFonts w:eastAsia="方正仿宋_GBK"/>
                <w:color w:val="000000"/>
                <w:sz w:val="22"/>
                <w:szCs w:val="22"/>
              </w:rPr>
            </w:pPr>
          </w:p>
        </w:tc>
        <w:tc>
          <w:tcPr>
            <w:tcW w:w="1785" w:type="dxa"/>
            <w:noWrap w:val="0"/>
            <w:vAlign w:val="top"/>
          </w:tcPr>
          <w:p>
            <w:pPr>
              <w:spacing w:line="260" w:lineRule="exact"/>
              <w:rPr>
                <w:rFonts w:eastAsia="方正仿宋_GBK"/>
                <w:color w:val="000000"/>
                <w:sz w:val="22"/>
                <w:szCs w:val="22"/>
              </w:rPr>
            </w:pPr>
          </w:p>
        </w:tc>
        <w:tc>
          <w:tcPr>
            <w:tcW w:w="825" w:type="dxa"/>
            <w:noWrap w:val="0"/>
            <w:vAlign w:val="top"/>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90" w:type="dxa"/>
            <w:gridSpan w:val="2"/>
            <w:vMerge w:val="restart"/>
            <w:noWrap w:val="0"/>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评价结论</w:t>
            </w: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kern w:val="0"/>
                <w:sz w:val="22"/>
                <w:szCs w:val="22"/>
                <w:lang w:bidi="ar"/>
              </w:rPr>
              <w:t>信用等级</w:t>
            </w:r>
          </w:p>
        </w:tc>
        <w:tc>
          <w:tcPr>
            <w:tcW w:w="10397" w:type="dxa"/>
            <w:gridSpan w:val="6"/>
            <w:noWrap w:val="0"/>
            <w:vAlign w:val="center"/>
          </w:tcPr>
          <w:p>
            <w:pPr>
              <w:spacing w:line="260" w:lineRule="exact"/>
              <w:jc w:val="left"/>
              <w:rPr>
                <w:rFonts w:eastAsia="方正仿宋_GBK"/>
                <w:bCs/>
                <w:color w:val="000000"/>
                <w:kern w:val="0"/>
                <w:sz w:val="28"/>
                <w:szCs w:val="28"/>
                <w:lang w:bidi="ar"/>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90" w:type="dxa"/>
            <w:gridSpan w:val="2"/>
            <w:vMerge w:val="continue"/>
            <w:noWrap w:val="0"/>
            <w:vAlign w:val="center"/>
          </w:tcPr>
          <w:p>
            <w:pPr>
              <w:widowControl/>
              <w:spacing w:line="260" w:lineRule="exact"/>
              <w:jc w:val="center"/>
              <w:rPr>
                <w:rFonts w:eastAsia="方正楷体_GBK"/>
                <w:bCs/>
                <w:color w:val="000000"/>
                <w:sz w:val="22"/>
                <w:szCs w:val="22"/>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kern w:val="0"/>
                <w:sz w:val="22"/>
                <w:szCs w:val="22"/>
                <w:lang w:bidi="ar"/>
              </w:rPr>
              <w:t>评价机构</w:t>
            </w:r>
          </w:p>
        </w:tc>
        <w:tc>
          <w:tcPr>
            <w:tcW w:w="10397" w:type="dxa"/>
            <w:gridSpan w:val="6"/>
            <w:noWrap w:val="0"/>
            <w:vAlign w:val="center"/>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90" w:type="dxa"/>
            <w:gridSpan w:val="2"/>
            <w:vMerge w:val="continue"/>
            <w:noWrap w:val="0"/>
            <w:vAlign w:val="center"/>
          </w:tcPr>
          <w:p>
            <w:pPr>
              <w:widowControl/>
              <w:spacing w:line="260" w:lineRule="exact"/>
              <w:jc w:val="center"/>
              <w:rPr>
                <w:rFonts w:eastAsia="方正楷体_GBK"/>
                <w:bCs/>
                <w:color w:val="000000"/>
                <w:sz w:val="22"/>
                <w:szCs w:val="22"/>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kern w:val="0"/>
                <w:sz w:val="22"/>
                <w:szCs w:val="22"/>
                <w:lang w:bidi="ar"/>
              </w:rPr>
              <w:t>经办人</w:t>
            </w:r>
          </w:p>
        </w:tc>
        <w:tc>
          <w:tcPr>
            <w:tcW w:w="4056" w:type="dxa"/>
            <w:gridSpan w:val="2"/>
            <w:noWrap w:val="0"/>
            <w:vAlign w:val="center"/>
          </w:tcPr>
          <w:p>
            <w:pPr>
              <w:widowControl/>
              <w:spacing w:line="260" w:lineRule="exact"/>
              <w:jc w:val="center"/>
              <w:textAlignment w:val="center"/>
              <w:rPr>
                <w:color w:val="000000"/>
                <w:kern w:val="0"/>
                <w:sz w:val="22"/>
                <w:szCs w:val="22"/>
                <w:lang w:bidi="ar"/>
              </w:rPr>
            </w:pPr>
          </w:p>
        </w:tc>
        <w:tc>
          <w:tcPr>
            <w:tcW w:w="1830"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评价日期</w:t>
            </w:r>
          </w:p>
        </w:tc>
        <w:tc>
          <w:tcPr>
            <w:tcW w:w="4511" w:type="dxa"/>
            <w:gridSpan w:val="3"/>
            <w:noWrap w:val="0"/>
            <w:vAlign w:val="center"/>
          </w:tcPr>
          <w:p>
            <w:pPr>
              <w:spacing w:line="260" w:lineRule="exact"/>
              <w:jc w:val="center"/>
              <w:rPr>
                <w:rFonts w:eastAsia="方正仿宋_GBK"/>
                <w:bCs/>
                <w:color w:val="000000"/>
                <w:kern w:val="0"/>
                <w:sz w:val="28"/>
                <w:szCs w:val="28"/>
                <w:lang w:bidi="ar"/>
              </w:rPr>
            </w:pPr>
            <w:r>
              <w:rPr>
                <w:rFonts w:eastAsia="仿宋_GB2312"/>
                <w:color w:val="000000"/>
                <w:sz w:val="20"/>
              </w:rPr>
              <w:t>年      月      日</w:t>
            </w:r>
          </w:p>
        </w:tc>
      </w:tr>
    </w:tbl>
    <w:p>
      <w:pPr>
        <w:spacing w:line="280" w:lineRule="exact"/>
        <w:rPr>
          <w:rFonts w:eastAsia="方正仿宋_GBK"/>
          <w:color w:val="000000"/>
          <w:sz w:val="24"/>
        </w:rPr>
      </w:pPr>
    </w:p>
    <w:p>
      <w:pPr>
        <w:pStyle w:val="5"/>
        <w:rPr>
          <w:rFonts w:eastAsia="仿宋_GB2312"/>
          <w:color w:val="000000"/>
          <w:sz w:val="24"/>
        </w:rPr>
      </w:pPr>
      <w:r>
        <w:rPr>
          <w:rFonts w:eastAsia="方正仿宋_GBK"/>
          <w:color w:val="000000"/>
          <w:sz w:val="24"/>
        </w:rPr>
        <w:t>注：信用评价以线路为单位开展，评价内容为安全生产，经营管理，服务质量和社会责任等四方面。</w:t>
      </w:r>
      <w:r>
        <w:rPr>
          <w:rFonts w:eastAsia="仿宋_GB2312"/>
          <w:color w:val="000000"/>
          <w:sz w:val="24"/>
        </w:rPr>
        <w:t>运营单位信用评价得分，以其所辖线路的信用评价平均得分加上加分项目得分计算。</w:t>
      </w:r>
    </w:p>
    <w:p>
      <w:pPr>
        <w:rPr>
          <w:rFonts w:eastAsia="仿宋_GB2312"/>
          <w:color w:val="000000"/>
          <w:sz w:val="24"/>
        </w:rPr>
      </w:pPr>
      <w:r>
        <w:rPr>
          <w:rFonts w:eastAsia="仿宋_GB2312"/>
          <w:color w:val="000000"/>
          <w:sz w:val="24"/>
        </w:rPr>
        <w:br w:type="page"/>
      </w:r>
    </w:p>
    <w:p>
      <w:pPr>
        <w:jc w:val="left"/>
        <w:rPr>
          <w:rFonts w:eastAsia="方正黑体_GBK"/>
          <w:bCs/>
          <w:color w:val="000000"/>
          <w:kern w:val="0"/>
          <w:sz w:val="44"/>
          <w:szCs w:val="44"/>
          <w:lang w:bidi="ar"/>
        </w:rPr>
      </w:pPr>
      <w:r>
        <w:rPr>
          <w:rFonts w:eastAsia="方正黑体_GBK"/>
          <w:color w:val="000000"/>
          <w:sz w:val="32"/>
          <w:szCs w:val="32"/>
        </w:rPr>
        <w:t>附件1-8</w:t>
      </w:r>
    </w:p>
    <w:p>
      <w:pPr>
        <w:spacing w:line="600" w:lineRule="exact"/>
        <w:jc w:val="center"/>
        <w:rPr>
          <w:rFonts w:eastAsia="方正小标宋_GBK"/>
          <w:bCs/>
          <w:color w:val="000000"/>
          <w:kern w:val="0"/>
          <w:sz w:val="44"/>
          <w:szCs w:val="44"/>
          <w:lang w:bidi="ar"/>
        </w:rPr>
      </w:pPr>
      <w:r>
        <w:rPr>
          <w:rFonts w:eastAsia="方正小标宋_GBK"/>
          <w:bCs/>
          <w:color w:val="000000"/>
          <w:kern w:val="0"/>
          <w:sz w:val="44"/>
          <w:szCs w:val="44"/>
          <w:lang w:bidi="ar"/>
        </w:rPr>
        <w:t>重庆市汽车客运站经营者信用评价标准</w:t>
      </w:r>
    </w:p>
    <w:p>
      <w:pPr>
        <w:spacing w:line="600" w:lineRule="exact"/>
        <w:jc w:val="left"/>
        <w:rPr>
          <w:bCs/>
          <w:color w:val="000000"/>
          <w:kern w:val="0"/>
          <w:sz w:val="32"/>
          <w:szCs w:val="32"/>
          <w:lang w:bidi="ar"/>
        </w:rPr>
      </w:pPr>
      <w:r>
        <w:rPr>
          <w:rFonts w:eastAsia="方正仿宋_GBK"/>
          <w:bCs/>
          <w:color w:val="000000"/>
          <w:kern w:val="0"/>
          <w:sz w:val="28"/>
          <w:szCs w:val="28"/>
          <w:lang w:bidi="ar"/>
        </w:rPr>
        <w:t>被评价企业：                                                            评价年度：</w:t>
      </w:r>
    </w:p>
    <w:tbl>
      <w:tblPr>
        <w:tblStyle w:val="11"/>
        <w:tblW w:w="13928" w:type="dxa"/>
        <w:jc w:val="center"/>
        <w:tblLayout w:type="fixed"/>
        <w:tblCellMar>
          <w:top w:w="0" w:type="dxa"/>
          <w:left w:w="108" w:type="dxa"/>
          <w:bottom w:w="0" w:type="dxa"/>
          <w:right w:w="108" w:type="dxa"/>
        </w:tblCellMar>
      </w:tblPr>
      <w:tblGrid>
        <w:gridCol w:w="555"/>
        <w:gridCol w:w="1280"/>
        <w:gridCol w:w="1267"/>
        <w:gridCol w:w="900"/>
        <w:gridCol w:w="5039"/>
        <w:gridCol w:w="1547"/>
        <w:gridCol w:w="434"/>
        <w:gridCol w:w="2250"/>
        <w:gridCol w:w="656"/>
      </w:tblGrid>
      <w:tr>
        <w:tblPrEx>
          <w:tblCellMar>
            <w:top w:w="0" w:type="dxa"/>
            <w:left w:w="108" w:type="dxa"/>
            <w:bottom w:w="0" w:type="dxa"/>
            <w:right w:w="108" w:type="dxa"/>
          </w:tblCellMar>
        </w:tblPrEx>
        <w:trPr>
          <w:trHeight w:val="731" w:hRule="atLeast"/>
          <w:tblHeader/>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序号</w:t>
            </w: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一级指标及分值</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二级指标</w:t>
            </w:r>
          </w:p>
        </w:tc>
        <w:tc>
          <w:tcPr>
            <w:tcW w:w="900"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分值</w:t>
            </w: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评分标准</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数据来源</w:t>
            </w:r>
          </w:p>
        </w:tc>
        <w:tc>
          <w:tcPr>
            <w:tcW w:w="656"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szCs w:val="21"/>
              </w:rPr>
              <w:t>得分</w:t>
            </w:r>
          </w:p>
        </w:tc>
      </w:tr>
      <w:tr>
        <w:tblPrEx>
          <w:tblCellMar>
            <w:top w:w="0" w:type="dxa"/>
            <w:left w:w="108" w:type="dxa"/>
            <w:bottom w:w="0" w:type="dxa"/>
            <w:right w:w="108"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280" w:type="dxa"/>
            <w:vMerge w:val="restart"/>
            <w:tcBorders>
              <w:top w:val="nil"/>
              <w:left w:val="single" w:color="000000" w:sz="4" w:space="0"/>
              <w:bottom w:val="nil"/>
              <w:right w:val="nil"/>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（40分）</w:t>
            </w:r>
          </w:p>
        </w:tc>
        <w:tc>
          <w:tcPr>
            <w:tcW w:w="1267" w:type="dxa"/>
            <w:vMerge w:val="restart"/>
            <w:tcBorders>
              <w:top w:val="single" w:color="000000" w:sz="4" w:space="0"/>
              <w:left w:val="single" w:color="000000"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合规经营情况</w:t>
            </w:r>
          </w:p>
        </w:tc>
        <w:tc>
          <w:tcPr>
            <w:tcW w:w="900" w:type="dxa"/>
            <w:vMerge w:val="restart"/>
            <w:tcBorders>
              <w:top w:val="single" w:color="auto" w:sz="4" w:space="0"/>
              <w:left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20</w:t>
            </w:r>
          </w:p>
        </w:tc>
        <w:tc>
          <w:tcPr>
            <w:tcW w:w="7020"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允许无经营证件的车辆进站从事经营活动的；允许超载车辆出站的；允许未经安全检查或者安全检查不合格的车辆发车的；无正当理由拒绝客运车辆进站从事经营活动的；设立的停靠点未按照规定备案的；擅自变更客车经营线路的。发生以上情形之一，每次扣2分。随意改变汽车客运站的用途或者服务功能扣3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59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sz w:val="22"/>
                <w:szCs w:val="22"/>
              </w:rPr>
              <w:t>2</w:t>
            </w:r>
          </w:p>
        </w:tc>
        <w:tc>
          <w:tcPr>
            <w:tcW w:w="1280" w:type="dxa"/>
            <w:vMerge w:val="continue"/>
            <w:tcBorders>
              <w:top w:val="nil"/>
              <w:left w:val="single" w:color="000000" w:sz="4" w:space="0"/>
              <w:bottom w:val="nil"/>
              <w:right w:val="nil"/>
            </w:tcBorders>
            <w:noWrap w:val="0"/>
            <w:vAlign w:val="center"/>
          </w:tcPr>
          <w:p>
            <w:pPr>
              <w:widowControl/>
              <w:spacing w:line="260" w:lineRule="exact"/>
              <w:jc w:val="center"/>
              <w:rPr>
                <w:rFonts w:eastAsia="方正楷体_GBK"/>
                <w:bCs/>
                <w:color w:val="000000"/>
                <w:sz w:val="22"/>
                <w:szCs w:val="22"/>
              </w:rPr>
            </w:pPr>
          </w:p>
        </w:tc>
        <w:tc>
          <w:tcPr>
            <w:tcW w:w="1267" w:type="dxa"/>
            <w:vMerge w:val="continue"/>
            <w:tcBorders>
              <w:left w:val="single" w:color="000000"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p>
        </w:tc>
        <w:tc>
          <w:tcPr>
            <w:tcW w:w="900" w:type="dxa"/>
            <w:vMerge w:val="continue"/>
            <w:tcBorders>
              <w:left w:val="single" w:color="auto" w:sz="4" w:space="0"/>
              <w:right w:val="single" w:color="auto" w:sz="4" w:space="0"/>
            </w:tcBorders>
            <w:noWrap w:val="0"/>
            <w:vAlign w:val="center"/>
          </w:tcPr>
          <w:p>
            <w:pPr>
              <w:widowControl/>
              <w:spacing w:line="260" w:lineRule="exact"/>
              <w:jc w:val="center"/>
              <w:textAlignment w:val="center"/>
              <w:rPr>
                <w:color w:val="000000"/>
              </w:rPr>
            </w:pPr>
          </w:p>
        </w:tc>
        <w:tc>
          <w:tcPr>
            <w:tcW w:w="7020"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进站应班车辆、驾驶人员未做到车、牌、证齐全有效，不符合运行线路要求。每次扣2分。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53" w:hRule="atLeast"/>
          <w:jc w:val="center"/>
        </w:trPr>
        <w:tc>
          <w:tcPr>
            <w:tcW w:w="555"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sz w:val="22"/>
                <w:szCs w:val="22"/>
              </w:rPr>
              <w:t>3</w:t>
            </w:r>
          </w:p>
        </w:tc>
        <w:tc>
          <w:tcPr>
            <w:tcW w:w="1280" w:type="dxa"/>
            <w:vMerge w:val="continue"/>
            <w:tcBorders>
              <w:top w:val="nil"/>
              <w:left w:val="single" w:color="000000" w:sz="4" w:space="0"/>
              <w:bottom w:val="single" w:color="auto" w:sz="4" w:space="0"/>
              <w:right w:val="nil"/>
            </w:tcBorders>
            <w:noWrap w:val="0"/>
            <w:vAlign w:val="center"/>
          </w:tcPr>
          <w:p>
            <w:pPr>
              <w:widowControl/>
              <w:spacing w:line="260" w:lineRule="exact"/>
              <w:jc w:val="center"/>
              <w:rPr>
                <w:rFonts w:eastAsia="方正楷体_GBK"/>
                <w:bCs/>
                <w:color w:val="000000"/>
                <w:sz w:val="22"/>
                <w:szCs w:val="22"/>
              </w:rPr>
            </w:pPr>
          </w:p>
        </w:tc>
        <w:tc>
          <w:tcPr>
            <w:tcW w:w="1267" w:type="dxa"/>
            <w:vMerge w:val="continue"/>
            <w:tcBorders>
              <w:left w:val="single" w:color="000000"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p>
        </w:tc>
        <w:tc>
          <w:tcPr>
            <w:tcW w:w="900" w:type="dxa"/>
            <w:vMerge w:val="continue"/>
            <w:tcBorders>
              <w:left w:val="single" w:color="auto" w:sz="4" w:space="0"/>
              <w:right w:val="single" w:color="auto" w:sz="4" w:space="0"/>
            </w:tcBorders>
            <w:noWrap w:val="0"/>
            <w:vAlign w:val="center"/>
          </w:tcPr>
          <w:p>
            <w:pPr>
              <w:widowControl/>
              <w:spacing w:line="260" w:lineRule="exact"/>
              <w:jc w:val="center"/>
              <w:textAlignment w:val="center"/>
              <w:rPr>
                <w:color w:val="000000"/>
              </w:rPr>
            </w:pPr>
          </w:p>
        </w:tc>
        <w:tc>
          <w:tcPr>
            <w:tcW w:w="7020" w:type="dxa"/>
            <w:gridSpan w:val="3"/>
            <w:tcBorders>
              <w:top w:val="single" w:color="000000" w:sz="4" w:space="0"/>
              <w:left w:val="single" w:color="auto"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违反物价、交通主管部门规定收取参营单位费用，不按时结算，无故拖欠、扣压客运经营者营运收入，强制售卖保险的。每次扣2分</w:t>
            </w:r>
          </w:p>
        </w:tc>
        <w:tc>
          <w:tcPr>
            <w:tcW w:w="225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auto"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3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4</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267" w:type="dxa"/>
            <w:vMerge w:val="continue"/>
            <w:tcBorders>
              <w:left w:val="single" w:color="000000"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p>
        </w:tc>
        <w:tc>
          <w:tcPr>
            <w:tcW w:w="900" w:type="dxa"/>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70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向旅客公布客车类型等级、运营线路、起讫停靠站点、班次、发车时间、票价及经营者信息。每次扣2分。违反公平、公正、公开的原则，不为进站参营车辆合理安排发车时间，不执行统一调度和管理，公平售票；违反公平、公正、公开的原则，不为进站参营车辆合理安排发车时间，不执行统一调度和管理，公平售票，每次扣2分。</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2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267" w:type="dxa"/>
            <w:vMerge w:val="continue"/>
            <w:tcBorders>
              <w:left w:val="single" w:color="000000"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20</w:t>
            </w:r>
          </w:p>
        </w:tc>
        <w:tc>
          <w:tcPr>
            <w:tcW w:w="70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因违规违章经营受交通行政执法部门行政处罚。每行政处罚一次扣3分，其中受停业整顿行政处罚的，每次扣15分。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在考核周期届满时，存在未履行交通运输行政处罚决定的，按照该交通运输行政处罚信用扣分标准，再次扣除相应分数。</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auto" w:sz="4" w:space="0"/>
              <w:left w:val="single" w:color="auto" w:sz="4" w:space="0"/>
              <w:bottom w:val="single" w:color="auto" w:sz="4" w:space="0"/>
              <w:right w:val="single" w:color="auto" w:sz="4" w:space="0"/>
            </w:tcBorders>
            <w:noWrap w:val="0"/>
            <w:vAlign w:val="center"/>
          </w:tcPr>
          <w:p>
            <w:pPr>
              <w:pStyle w:val="4"/>
              <w:widowControl/>
              <w:snapToGrid/>
              <w:spacing w:line="260" w:lineRule="exact"/>
              <w:ind w:firstLine="240" w:firstLineChars="100"/>
            </w:pPr>
          </w:p>
        </w:tc>
      </w:tr>
      <w:tr>
        <w:tblPrEx>
          <w:tblCellMar>
            <w:top w:w="0" w:type="dxa"/>
            <w:left w:w="108" w:type="dxa"/>
            <w:bottom w:w="0" w:type="dxa"/>
            <w:right w:w="108" w:type="dxa"/>
          </w:tblCellMar>
        </w:tblPrEx>
        <w:trPr>
          <w:trHeight w:val="1881" w:hRule="atLeast"/>
          <w:jc w:val="center"/>
        </w:trPr>
        <w:tc>
          <w:tcPr>
            <w:tcW w:w="555"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6</w:t>
            </w:r>
          </w:p>
        </w:tc>
        <w:tc>
          <w:tcPr>
            <w:tcW w:w="128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（30分）</w:t>
            </w:r>
          </w:p>
        </w:tc>
        <w:tc>
          <w:tcPr>
            <w:tcW w:w="126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基础安全情况</w:t>
            </w:r>
          </w:p>
        </w:tc>
        <w:tc>
          <w:tcPr>
            <w:tcW w:w="90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 xml:space="preserve">10 </w:t>
            </w:r>
          </w:p>
        </w:tc>
        <w:tc>
          <w:tcPr>
            <w:tcW w:w="7020"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未对站务人员定期进行安全教育培训，每漏1人次扣1分；未按要求开展安全出行知识宣传的，每次扣1分。汽车客运站未建立健全进站参营客运车辆及驾驶员基础管理台账；</w:t>
            </w:r>
            <w:r>
              <w:rPr>
                <w:rFonts w:hint="eastAsia" w:eastAsia="方正仿宋_GBK"/>
                <w:color w:val="000000"/>
                <w:kern w:val="0"/>
                <w:sz w:val="22"/>
                <w:szCs w:val="22"/>
                <w:lang w:eastAsia="zh-CN" w:bidi="ar"/>
              </w:rPr>
              <w:t>台账</w:t>
            </w:r>
            <w:r>
              <w:rPr>
                <w:rFonts w:eastAsia="方正仿宋_GBK"/>
                <w:color w:val="000000"/>
                <w:kern w:val="0"/>
                <w:sz w:val="22"/>
                <w:szCs w:val="22"/>
                <w:lang w:bidi="ar"/>
              </w:rPr>
              <w:t>内容失真无效，无客运车辆、驾驶员</w:t>
            </w:r>
            <w:r>
              <w:rPr>
                <w:rFonts w:hint="eastAsia" w:eastAsia="方正仿宋_GBK"/>
                <w:color w:val="000000"/>
                <w:kern w:val="0"/>
                <w:sz w:val="22"/>
                <w:szCs w:val="22"/>
                <w:lang w:eastAsia="zh-CN" w:bidi="ar"/>
              </w:rPr>
              <w:t>台账</w:t>
            </w:r>
            <w:r>
              <w:rPr>
                <w:rFonts w:eastAsia="方正仿宋_GBK"/>
                <w:color w:val="000000"/>
                <w:kern w:val="0"/>
                <w:sz w:val="22"/>
                <w:szCs w:val="22"/>
                <w:lang w:bidi="ar"/>
              </w:rPr>
              <w:t>各扣2.5分，</w:t>
            </w:r>
            <w:r>
              <w:rPr>
                <w:rFonts w:hint="eastAsia" w:eastAsia="方正仿宋_GBK"/>
                <w:color w:val="000000"/>
                <w:kern w:val="0"/>
                <w:sz w:val="22"/>
                <w:szCs w:val="22"/>
                <w:lang w:eastAsia="zh-CN" w:bidi="ar"/>
              </w:rPr>
              <w:t>台账</w:t>
            </w:r>
            <w:r>
              <w:rPr>
                <w:rFonts w:eastAsia="方正仿宋_GBK"/>
                <w:color w:val="000000"/>
                <w:kern w:val="0"/>
                <w:sz w:val="22"/>
                <w:szCs w:val="22"/>
                <w:lang w:bidi="ar"/>
              </w:rPr>
              <w:t>不健全各扣2分，车辆、驾驶员</w:t>
            </w:r>
            <w:r>
              <w:rPr>
                <w:rFonts w:hint="eastAsia" w:eastAsia="方正仿宋_GBK"/>
                <w:color w:val="000000"/>
                <w:kern w:val="0"/>
                <w:sz w:val="22"/>
                <w:szCs w:val="22"/>
                <w:lang w:eastAsia="zh-CN" w:bidi="ar"/>
              </w:rPr>
              <w:t>台账</w:t>
            </w:r>
            <w:r>
              <w:rPr>
                <w:rFonts w:eastAsia="方正仿宋_GBK"/>
                <w:color w:val="000000"/>
                <w:kern w:val="0"/>
                <w:sz w:val="22"/>
                <w:szCs w:val="22"/>
                <w:lang w:bidi="ar"/>
              </w:rPr>
              <w:t>内容失真无效每车（人）次扣1分。严格落实“三不进站、六不出站”。每发现一次违反“三不进站、六不出站”要求的，扣2.5分。车站视频监控出现异常，经核查属客运站原因的，每次扣1分。</w:t>
            </w:r>
          </w:p>
        </w:tc>
        <w:tc>
          <w:tcPr>
            <w:tcW w:w="225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日常检查，日常信息收集，投诉信息汇总</w:t>
            </w:r>
          </w:p>
        </w:tc>
        <w:tc>
          <w:tcPr>
            <w:tcW w:w="656" w:type="dxa"/>
            <w:tcBorders>
              <w:top w:val="single" w:color="auto" w:sz="4" w:space="0"/>
              <w:left w:val="nil"/>
              <w:bottom w:val="single" w:color="000000" w:sz="4" w:space="0"/>
              <w:right w:val="single" w:color="000000" w:sz="4" w:space="0"/>
            </w:tcBorders>
            <w:noWrap w:val="0"/>
            <w:vAlign w:val="center"/>
          </w:tcPr>
          <w:p>
            <w:pPr>
              <w:pStyle w:val="4"/>
              <w:spacing w:line="260" w:lineRule="exact"/>
              <w:ind w:firstLine="240" w:firstLineChars="100"/>
            </w:pPr>
          </w:p>
        </w:tc>
      </w:tr>
      <w:tr>
        <w:tblPrEx>
          <w:tblCellMar>
            <w:top w:w="0" w:type="dxa"/>
            <w:left w:w="108" w:type="dxa"/>
            <w:bottom w:w="0" w:type="dxa"/>
            <w:right w:w="108" w:type="dxa"/>
          </w:tblCellMar>
        </w:tblPrEx>
        <w:trPr>
          <w:trHeight w:val="1016"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7</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黑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挂牌督办</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5</w:t>
            </w: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考核周期内被列为中央、国家相关部门挂牌督办的信用评价为C级，被市级相关部门挂牌督办的扣2.5分，被区（县）级相关部门挂牌督办的扣1分。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正式通报、文件通知</w:t>
            </w:r>
          </w:p>
        </w:tc>
        <w:tc>
          <w:tcPr>
            <w:tcW w:w="656" w:type="dxa"/>
            <w:tcBorders>
              <w:top w:val="single" w:color="000000" w:sz="4" w:space="0"/>
              <w:left w:val="nil"/>
              <w:bottom w:val="single" w:color="000000" w:sz="4" w:space="0"/>
              <w:right w:val="single" w:color="000000" w:sz="4" w:space="0"/>
            </w:tcBorders>
            <w:noWrap w:val="0"/>
            <w:vAlign w:val="center"/>
          </w:tcPr>
          <w:p>
            <w:pPr>
              <w:pStyle w:val="2"/>
              <w:spacing w:after="0" w:line="260" w:lineRule="exact"/>
              <w:ind w:left="0" w:leftChars="0" w:firstLine="210" w:firstLineChars="100"/>
              <w:rPr>
                <w:szCs w:val="21"/>
              </w:rPr>
            </w:pPr>
          </w:p>
        </w:tc>
      </w:tr>
      <w:tr>
        <w:tblPrEx>
          <w:tblCellMar>
            <w:top w:w="0" w:type="dxa"/>
            <w:left w:w="108" w:type="dxa"/>
            <w:bottom w:w="0" w:type="dxa"/>
            <w:right w:w="108" w:type="dxa"/>
          </w:tblCellMar>
        </w:tblPrEx>
        <w:trPr>
          <w:trHeight w:val="1016"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 xml:space="preserve">8 </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安全责任事故情况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15</w:t>
            </w: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客运站责任发生安全生产事故或者道路旅客运输交通事故。事故每造成伤1人或者每造成直接经济损失10万元扣2分，造成死亡1人扣5分。发生拖延报告亡人事故的，每次扣1分；存在瞒报、谎报亡人事故的，每次扣2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noWrap w:val="0"/>
            <w:vAlign w:val="center"/>
          </w:tcPr>
          <w:p>
            <w:pPr>
              <w:pStyle w:val="2"/>
              <w:spacing w:after="0" w:line="260" w:lineRule="exact"/>
              <w:ind w:left="0" w:leftChars="0" w:firstLine="210" w:firstLineChars="100"/>
            </w:pPr>
          </w:p>
        </w:tc>
      </w:tr>
      <w:tr>
        <w:tblPrEx>
          <w:tblCellMar>
            <w:top w:w="0" w:type="dxa"/>
            <w:left w:w="108" w:type="dxa"/>
            <w:bottom w:w="0" w:type="dxa"/>
            <w:right w:w="108" w:type="dxa"/>
          </w:tblCellMar>
        </w:tblPrEx>
        <w:trPr>
          <w:trHeight w:val="86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 xml:space="preserve">9 </w:t>
            </w:r>
          </w:p>
        </w:tc>
        <w:tc>
          <w:tcPr>
            <w:tcW w:w="12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（15分）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有责投诉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val="en" w:bidi="ar"/>
              </w:rPr>
            </w:pPr>
            <w:r>
              <w:rPr>
                <w:rFonts w:eastAsia="方正仿宋_GBK"/>
                <w:color w:val="000000"/>
                <w:kern w:val="0"/>
                <w:sz w:val="22"/>
                <w:szCs w:val="22"/>
                <w:lang w:bidi="ar"/>
              </w:rPr>
              <w:t>10</w:t>
            </w:r>
            <w:r>
              <w:rPr>
                <w:rFonts w:eastAsia="方正仿宋_GBK"/>
                <w:color w:val="000000"/>
                <w:kern w:val="0"/>
                <w:sz w:val="22"/>
                <w:szCs w:val="22"/>
                <w:lang w:val="en" w:bidi="ar"/>
              </w:rPr>
              <w:t xml:space="preserve"> </w:t>
            </w: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每发生一次有责投诉扣2分。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83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10</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服务事件情况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5</w:t>
            </w: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发生服务事件，被辖区有关部门通报的，每次扣1分。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5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11</w:t>
            </w:r>
          </w:p>
        </w:tc>
        <w:tc>
          <w:tcPr>
            <w:tcW w:w="1280" w:type="dxa"/>
            <w:vMerge w:val="restart"/>
            <w:tcBorders>
              <w:top w:val="single" w:color="000000" w:sz="4" w:space="0"/>
              <w:left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社会责任（15分）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行业稳定维护情况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 xml:space="preserve">10 </w:t>
            </w:r>
          </w:p>
        </w:tc>
        <w:tc>
          <w:tcPr>
            <w:tcW w:w="702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因经营行为引发集访的，每次扣5分；引发行业稳定的，每次扣10分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行业信息收集</w:t>
            </w:r>
          </w:p>
        </w:tc>
        <w:tc>
          <w:tcPr>
            <w:tcW w:w="656" w:type="dxa"/>
            <w:tcBorders>
              <w:top w:val="single" w:color="000000" w:sz="4" w:space="0"/>
              <w:left w:val="nil"/>
              <w:bottom w:val="single" w:color="000000" w:sz="4" w:space="0"/>
              <w:right w:val="single" w:color="000000" w:sz="4" w:space="0"/>
            </w:tcBorders>
            <w:noWrap w:val="0"/>
            <w:vAlign w:val="center"/>
          </w:tcPr>
          <w:p>
            <w:pPr>
              <w:pStyle w:val="4"/>
              <w:spacing w:line="260" w:lineRule="exact"/>
              <w:ind w:firstLine="240" w:firstLineChars="100"/>
            </w:pPr>
          </w:p>
        </w:tc>
      </w:tr>
      <w:tr>
        <w:tblPrEx>
          <w:tblCellMar>
            <w:top w:w="0" w:type="dxa"/>
            <w:left w:w="108" w:type="dxa"/>
            <w:bottom w:w="0" w:type="dxa"/>
            <w:right w:w="108" w:type="dxa"/>
          </w:tblCellMar>
        </w:tblPrEx>
        <w:trPr>
          <w:trHeight w:val="52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12</w:t>
            </w:r>
          </w:p>
        </w:tc>
        <w:tc>
          <w:tcPr>
            <w:tcW w:w="1280" w:type="dxa"/>
            <w:vMerge w:val="continue"/>
            <w:tcBorders>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黑体_GBK"/>
                <w:bCs/>
                <w:color w:val="000000"/>
                <w:kern w:val="0"/>
                <w:sz w:val="22"/>
                <w:szCs w:val="22"/>
                <w:lang w:bidi="ar"/>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 xml:space="preserve">落实行业管理要求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5</w:t>
            </w:r>
          </w:p>
        </w:tc>
        <w:tc>
          <w:tcPr>
            <w:tcW w:w="702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不按照行业管理的要求或者行业自律安排，在落实工作责任或者维护行业运营秩序方面存在问题被交通行业管理部门通报，轻微事项的每次扣0.5分，情形严重的每次扣1分，被行政部门约谈的，每次加扣1分，约谈后仍不整改的，每次加扣2分。未完成交通主管部门统一安排社会公益性宣传的，每次扣2.5分；未完成政府及其管理部门统一安排应急运输任务的，每次扣5分。未按要求落实双重预防机制的，每次扣2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行业信息收集</w:t>
            </w: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124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13</w:t>
            </w:r>
          </w:p>
        </w:tc>
        <w:tc>
          <w:tcPr>
            <w:tcW w:w="1280" w:type="dxa"/>
            <w:vMerge w:val="restart"/>
            <w:tcBorders>
              <w:top w:val="single" w:color="000000" w:sz="4" w:space="0"/>
              <w:left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加分项</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行业正面典型及荣誉表彰情况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企业经营过程中获得了荣誉或者通报表彰的，国家级每次加2分；部级或者市级政府每次加1分；市级部门或者区县政府级加0.5分；区县部门级加0.2分。同一行为多层次表彰的，以最高级别奖励的标准加分。（最高不超过2.5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企业提交资料</w:t>
            </w: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7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14</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新闻媒体正面报道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企业工作人员出现好人好事被新闻媒体报道的，国家级每件次加</w:t>
            </w:r>
            <w:r>
              <w:rPr>
                <w:rStyle w:val="42"/>
                <w:rFonts w:hint="default" w:ascii="Times New Roman" w:hAnsi="Times New Roman" w:cs="Times New Roman"/>
                <w:color w:val="000000"/>
                <w:lang w:bidi="ar"/>
              </w:rPr>
              <w:t>0.5分</w:t>
            </w:r>
            <w:r>
              <w:rPr>
                <w:rFonts w:eastAsia="方正仿宋_GBK"/>
                <w:color w:val="000000"/>
                <w:kern w:val="0"/>
                <w:sz w:val="22"/>
                <w:szCs w:val="22"/>
                <w:lang w:bidi="ar"/>
              </w:rPr>
              <w:t>；市级每件次加</w:t>
            </w:r>
            <w:r>
              <w:rPr>
                <w:rStyle w:val="42"/>
                <w:rFonts w:hint="default" w:ascii="Times New Roman" w:hAnsi="Times New Roman" w:cs="Times New Roman"/>
                <w:color w:val="000000"/>
                <w:lang w:bidi="ar"/>
              </w:rPr>
              <w:t>0.3分</w:t>
            </w:r>
            <w:r>
              <w:rPr>
                <w:rFonts w:eastAsia="方正仿宋_GBK"/>
                <w:color w:val="000000"/>
                <w:kern w:val="0"/>
                <w:sz w:val="22"/>
                <w:szCs w:val="22"/>
                <w:lang w:bidi="ar"/>
              </w:rPr>
              <w:t>；区县级每件次加</w:t>
            </w:r>
            <w:r>
              <w:rPr>
                <w:rStyle w:val="42"/>
                <w:rFonts w:hint="default" w:ascii="Times New Roman" w:hAnsi="Times New Roman" w:cs="Times New Roman"/>
                <w:color w:val="000000"/>
                <w:lang w:bidi="ar"/>
              </w:rPr>
              <w:t>0.1分</w:t>
            </w:r>
            <w:r>
              <w:rPr>
                <w:rFonts w:eastAsia="方正仿宋_GBK"/>
                <w:color w:val="000000"/>
                <w:kern w:val="0"/>
                <w:sz w:val="22"/>
                <w:szCs w:val="22"/>
                <w:lang w:bidi="ar"/>
              </w:rPr>
              <w:t>。同一事迹多层次报道的，以最高级别媒体报道的标准加分。（最高不超过2.5分）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企业提交资料</w:t>
            </w: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0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合计</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100分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100分</w:t>
            </w: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1835"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评价结论</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82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414" w:hRule="atLeast"/>
          <w:jc w:val="center"/>
        </w:trPr>
        <w:tc>
          <w:tcPr>
            <w:tcW w:w="1835" w:type="dxa"/>
            <w:gridSpan w:val="2"/>
            <w:vMerge w:val="continue"/>
            <w:tcBorders>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1082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33" w:hRule="atLeast"/>
          <w:jc w:val="center"/>
        </w:trPr>
        <w:tc>
          <w:tcPr>
            <w:tcW w:w="1835" w:type="dxa"/>
            <w:gridSpan w:val="2"/>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93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33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_GB2312"/>
                <w:color w:val="000000"/>
                <w:sz w:val="20"/>
              </w:rPr>
            </w:pPr>
            <w:r>
              <w:rPr>
                <w:rFonts w:eastAsia="仿宋_GB2312"/>
                <w:color w:val="000000"/>
                <w:sz w:val="20"/>
              </w:rPr>
              <w:t xml:space="preserve">         年    月    日</w:t>
            </w:r>
          </w:p>
        </w:tc>
      </w:tr>
    </w:tbl>
    <w:p>
      <w:pPr>
        <w:rPr>
          <w:rFonts w:hint="default" w:eastAsia="仿宋_GB2312"/>
          <w:color w:val="000000"/>
          <w:sz w:val="24"/>
          <w:lang w:val="en-US" w:eastAsia="zh-CN"/>
        </w:rPr>
      </w:pPr>
      <w:r>
        <w:rPr>
          <w:rFonts w:hint="default" w:eastAsia="仿宋_GB2312"/>
          <w:color w:val="000000"/>
          <w:sz w:val="24"/>
          <w:lang w:val="en-US" w:eastAsia="zh-CN"/>
        </w:rPr>
        <w:br w:type="page"/>
      </w:r>
    </w:p>
    <w:p>
      <w:pPr>
        <w:jc w:val="left"/>
        <w:rPr>
          <w:rFonts w:eastAsia="方正黑体_GBK"/>
          <w:bCs/>
          <w:color w:val="000000"/>
          <w:kern w:val="0"/>
          <w:sz w:val="44"/>
          <w:szCs w:val="44"/>
          <w:lang w:bidi="ar"/>
        </w:rPr>
      </w:pPr>
      <w:r>
        <w:rPr>
          <w:rFonts w:eastAsia="方正黑体_GBK"/>
          <w:color w:val="000000"/>
          <w:sz w:val="32"/>
          <w:szCs w:val="32"/>
        </w:rPr>
        <w:t>附件1-9</w:t>
      </w:r>
    </w:p>
    <w:p>
      <w:pPr>
        <w:spacing w:line="600" w:lineRule="exact"/>
        <w:jc w:val="center"/>
        <w:rPr>
          <w:rFonts w:eastAsia="方正小标宋_GBK"/>
          <w:bCs/>
          <w:color w:val="000000"/>
          <w:kern w:val="0"/>
          <w:sz w:val="44"/>
          <w:szCs w:val="44"/>
          <w:lang w:bidi="ar"/>
        </w:rPr>
      </w:pPr>
      <w:r>
        <w:rPr>
          <w:rFonts w:eastAsia="方正小标宋_GBK"/>
          <w:bCs/>
          <w:color w:val="000000"/>
          <w:kern w:val="0"/>
          <w:sz w:val="44"/>
          <w:szCs w:val="44"/>
          <w:lang w:bidi="ar"/>
        </w:rPr>
        <w:t>重庆市机动车驾驶员培训机构信用评价标准</w:t>
      </w:r>
    </w:p>
    <w:p>
      <w:pPr>
        <w:spacing w:line="600" w:lineRule="exact"/>
        <w:jc w:val="left"/>
        <w:rPr>
          <w:bCs/>
          <w:color w:val="000000"/>
          <w:kern w:val="0"/>
          <w:sz w:val="32"/>
          <w:szCs w:val="32"/>
          <w:lang w:bidi="ar"/>
        </w:rPr>
      </w:pPr>
      <w:r>
        <w:rPr>
          <w:rFonts w:eastAsia="方正仿宋_GBK"/>
          <w:bCs/>
          <w:color w:val="000000"/>
          <w:kern w:val="0"/>
          <w:sz w:val="28"/>
          <w:szCs w:val="28"/>
          <w:lang w:bidi="ar"/>
        </w:rPr>
        <w:t>被评价企业：                                                          评价年度：</w:t>
      </w:r>
    </w:p>
    <w:tbl>
      <w:tblPr>
        <w:tblStyle w:val="11"/>
        <w:tblW w:w="13812" w:type="dxa"/>
        <w:jc w:val="center"/>
        <w:tblLayout w:type="fixed"/>
        <w:tblCellMar>
          <w:top w:w="0" w:type="dxa"/>
          <w:left w:w="108" w:type="dxa"/>
          <w:bottom w:w="0" w:type="dxa"/>
          <w:right w:w="108" w:type="dxa"/>
        </w:tblCellMar>
      </w:tblPr>
      <w:tblGrid>
        <w:gridCol w:w="540"/>
        <w:gridCol w:w="1357"/>
        <w:gridCol w:w="1410"/>
        <w:gridCol w:w="660"/>
        <w:gridCol w:w="4570"/>
        <w:gridCol w:w="1535"/>
        <w:gridCol w:w="478"/>
        <w:gridCol w:w="2512"/>
        <w:gridCol w:w="750"/>
      </w:tblGrid>
      <w:tr>
        <w:tblPrEx>
          <w:tblCellMar>
            <w:top w:w="0" w:type="dxa"/>
            <w:left w:w="108" w:type="dxa"/>
            <w:bottom w:w="0" w:type="dxa"/>
            <w:right w:w="108" w:type="dxa"/>
          </w:tblCellMar>
        </w:tblPrEx>
        <w:trPr>
          <w:trHeight w:val="731" w:hRule="atLeas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序号</w:t>
            </w:r>
          </w:p>
        </w:tc>
        <w:tc>
          <w:tcPr>
            <w:tcW w:w="1357" w:type="dxa"/>
            <w:tcBorders>
              <w:top w:val="single" w:color="000000" w:sz="4" w:space="0"/>
              <w:left w:val="single" w:color="auto" w:sz="4" w:space="0"/>
              <w:bottom w:val="single" w:color="auto" w:sz="4" w:space="0"/>
              <w:right w:val="single" w:color="000000" w:sz="4" w:space="0"/>
            </w:tcBorders>
            <w:noWrap w:val="0"/>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一级指标及分值</w:t>
            </w:r>
          </w:p>
        </w:tc>
        <w:tc>
          <w:tcPr>
            <w:tcW w:w="1410"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二级指标</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分值</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评分标准</w:t>
            </w:r>
          </w:p>
        </w:tc>
        <w:tc>
          <w:tcPr>
            <w:tcW w:w="25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数据来源</w:t>
            </w:r>
          </w:p>
        </w:tc>
        <w:tc>
          <w:tcPr>
            <w:tcW w:w="750"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szCs w:val="21"/>
              </w:rPr>
              <w:t>得分</w:t>
            </w:r>
          </w:p>
        </w:tc>
      </w:tr>
      <w:tr>
        <w:tblPrEx>
          <w:tblCellMar>
            <w:top w:w="0" w:type="dxa"/>
            <w:left w:w="108" w:type="dxa"/>
            <w:bottom w:w="0" w:type="dxa"/>
            <w:right w:w="108" w:type="dxa"/>
          </w:tblCellMar>
        </w:tblPrEx>
        <w:trPr>
          <w:trHeight w:val="1241"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3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（35分）</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告知</w:t>
            </w:r>
          </w:p>
        </w:tc>
        <w:tc>
          <w:tcPr>
            <w:tcW w:w="66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楷体_GBK"/>
                <w:color w:val="000000"/>
                <w:kern w:val="0"/>
                <w:sz w:val="24"/>
                <w:lang w:bidi="ar"/>
              </w:rPr>
              <w:t>5</w:t>
            </w:r>
          </w:p>
        </w:tc>
        <w:tc>
          <w:tcPr>
            <w:tcW w:w="658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楷体_GBK"/>
                <w:bCs/>
                <w:color w:val="000000"/>
                <w:sz w:val="24"/>
              </w:rPr>
            </w:pPr>
            <w:r>
              <w:rPr>
                <w:rFonts w:eastAsia="方正仿宋_GBK"/>
                <w:color w:val="000000"/>
                <w:kern w:val="0"/>
                <w:sz w:val="22"/>
                <w:szCs w:val="22"/>
                <w:lang w:bidi="ar"/>
              </w:rPr>
              <w:t>未在业务大厅等场所醒目位置公示《机动车驾驶员教学与考试大纲》、收费价目表、培训预约电话或者其他预约方式、辖区道路运输机构的举报投诉电话、训练场地地址、科目设置情况、经营类别、培训范围、教练员培训质量排行榜的，扣1分/项；未健全或者公示不符合要求，扣0.5分/项；缺失3项以上不得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4"/>
              </w:rPr>
            </w:pPr>
          </w:p>
        </w:tc>
      </w:tr>
      <w:tr>
        <w:tblPrEx>
          <w:tblCellMar>
            <w:top w:w="0" w:type="dxa"/>
            <w:left w:w="108" w:type="dxa"/>
            <w:bottom w:w="0" w:type="dxa"/>
            <w:right w:w="108" w:type="dxa"/>
          </w:tblCellMar>
        </w:tblPrEx>
        <w:trPr>
          <w:trHeight w:val="908"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w:t>
            </w: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招生</w:t>
            </w:r>
          </w:p>
        </w:tc>
        <w:tc>
          <w:tcPr>
            <w:tcW w:w="66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3</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签订《重庆市机动车驾驶培训协议书》的，扣1分/人；填写不全，扣0.5分/人。未按公示价目收费，扣1分/人。采用虚假广告欺骗、招揽学员扣0.5分/人。社会摊点招收学员、擅自接收其他培训机构转让学员扣0.5分/人。</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07"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建章立制</w:t>
            </w:r>
          </w:p>
        </w:tc>
        <w:tc>
          <w:tcPr>
            <w:tcW w:w="66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5</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未按《机动车驾驶员培训机构资格条件》第7条第2款管理制度的要求健全管理制度体系，缺项扣1分/项；制度落实不到位，扣0.5分/项；缺失3项以上不得分。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pStyle w:val="2"/>
              <w:spacing w:after="0" w:line="260" w:lineRule="exact"/>
              <w:ind w:left="0" w:leftChars="0" w:firstLine="0" w:firstLineChars="0"/>
              <w:jc w:val="left"/>
            </w:pPr>
          </w:p>
        </w:tc>
      </w:tr>
      <w:tr>
        <w:tblPrEx>
          <w:tblCellMar>
            <w:top w:w="0" w:type="dxa"/>
            <w:left w:w="108" w:type="dxa"/>
            <w:bottom w:w="0" w:type="dxa"/>
            <w:right w:w="108" w:type="dxa"/>
          </w:tblCellMar>
        </w:tblPrEx>
        <w:trPr>
          <w:trHeight w:val="789"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4</w:t>
            </w: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学员档案</w:t>
            </w:r>
          </w:p>
        </w:tc>
        <w:tc>
          <w:tcPr>
            <w:tcW w:w="66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4</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未建立学员档案的（《学员登记表》、《教学日志》、《培训记录》、IC卡、《结业证书》复印件），扣1分/人；档案缺项的，扣0.5分/项；档案内容不完整的，扣0.2分/项；未保留4年的，扣1分/人。</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07"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教练员管理</w:t>
            </w:r>
          </w:p>
        </w:tc>
        <w:tc>
          <w:tcPr>
            <w:tcW w:w="66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9</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建立健全教练员聘用管理制度，扣1分；未对新聘教练员进行上岗培训，扣1分/人；教练员档案不完善扣1分/人；教练员未持IC卡教学扣1分/人；教练员和教练车未达到1：1的比例，教练员少一名扣0.5分；教练员每年未进行至少一周的再教育培训，教练员少一名扣0.5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89" w:hRule="atLeast"/>
          <w:jc w:val="center"/>
        </w:trPr>
        <w:tc>
          <w:tcPr>
            <w:tcW w:w="540"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6</w:t>
            </w:r>
          </w:p>
        </w:tc>
        <w:tc>
          <w:tcPr>
            <w:tcW w:w="135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教练车管理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4</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教练车档案包括车辆基本情况、维护和检测情况、技术等级记录、行驶里程记录等，档案不完善扣1分/车；无教练车标识卡、标牌不齐备、未安装IC卡培训记录仪的车辆从事教学活动的，扣1分/车；车容车貌不整洁，扣0.2分/车；教学车辆档案未保存至车辆报废后1年，扣1分/车。</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pStyle w:val="2"/>
              <w:spacing w:after="0" w:line="260" w:lineRule="exact"/>
              <w:ind w:left="0" w:leftChars="0" w:firstLine="210" w:firstLineChars="100"/>
              <w:jc w:val="left"/>
            </w:pPr>
          </w:p>
        </w:tc>
      </w:tr>
      <w:tr>
        <w:tblPrEx>
          <w:tblCellMar>
            <w:top w:w="0" w:type="dxa"/>
            <w:left w:w="108" w:type="dxa"/>
            <w:bottom w:w="0" w:type="dxa"/>
            <w:right w:w="108" w:type="dxa"/>
          </w:tblCellMar>
        </w:tblPrEx>
        <w:trPr>
          <w:trHeight w:val="1142"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7</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备案管理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3</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训练场地未备案扣1分/个；招生点未备案扣1分/个；培训机构变更名称或者法人未备案扣1分；未向辖区道路运输机构报送培训月报表和年度报表的，缺一次报表扣1分/次，报表填错扣0.5分/项；《培训记录》教练员未签字扣0.5分/份。</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日常记录数据，经营者填报数据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683"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sz w:val="22"/>
                <w:szCs w:val="22"/>
              </w:rPr>
              <w:t>8</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企业建设</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2</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驾驶培训机构工作人员、教练员未保持衣着整洁、着装统一，发现一次扣1分；培训机构按规定与教练员、工作人员签订劳动合同，并按规定缴纳有关保险，未签合同扣1分/人。</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853"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9</w:t>
            </w:r>
          </w:p>
        </w:tc>
        <w:tc>
          <w:tcPr>
            <w:tcW w:w="1357" w:type="dxa"/>
            <w:vMerge w:val="restart"/>
            <w:tcBorders>
              <w:top w:val="nil"/>
              <w:left w:val="single" w:color="000000" w:sz="4" w:space="0"/>
              <w:bottom w:val="nil"/>
              <w:right w:val="nil"/>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（20分）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制度落实</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安全组织和人员、安全教育、安全措施、安全检查、事故的处理、重大事故报告、安全应急预案、双重预防机制等安全管理制度未落实的，每项扣2分，缺失2项以上不得分；安全生产挂牌督办，每次扣1分。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pStyle w:val="2"/>
              <w:spacing w:after="0" w:line="260" w:lineRule="exact"/>
              <w:ind w:left="0" w:leftChars="0" w:firstLine="210" w:firstLineChars="100"/>
              <w:rPr>
                <w:szCs w:val="21"/>
              </w:rPr>
            </w:pPr>
          </w:p>
        </w:tc>
      </w:tr>
      <w:tr>
        <w:tblPrEx>
          <w:tblCellMar>
            <w:top w:w="0" w:type="dxa"/>
            <w:left w:w="108" w:type="dxa"/>
            <w:bottom w:w="0" w:type="dxa"/>
            <w:right w:w="108" w:type="dxa"/>
          </w:tblCellMar>
        </w:tblPrEx>
        <w:trPr>
          <w:trHeight w:val="757"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10</w:t>
            </w:r>
          </w:p>
        </w:tc>
        <w:tc>
          <w:tcPr>
            <w:tcW w:w="1357" w:type="dxa"/>
            <w:vMerge w:val="continue"/>
            <w:tcBorders>
              <w:top w:val="nil"/>
              <w:left w:val="single" w:color="000000" w:sz="4" w:space="0"/>
              <w:bottom w:val="nil"/>
              <w:right w:val="nil"/>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警示标识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培训机构未在训练场地醒目位置悬挂或者张贴安全警示标志每次扣2分，标志损坏未修复每次扣1分，发现两次以上本项不得分。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83" w:hRule="atLeast"/>
          <w:jc w:val="center"/>
        </w:trPr>
        <w:tc>
          <w:tcPr>
            <w:tcW w:w="540"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11</w:t>
            </w:r>
          </w:p>
        </w:tc>
        <w:tc>
          <w:tcPr>
            <w:tcW w:w="1357" w:type="dxa"/>
            <w:vMerge w:val="continue"/>
            <w:tcBorders>
              <w:top w:val="nil"/>
              <w:left w:val="single" w:color="000000" w:sz="4" w:space="0"/>
              <w:bottom w:val="single" w:color="auto" w:sz="4" w:space="0"/>
              <w:right w:val="nil"/>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设施条件</w:t>
            </w:r>
          </w:p>
        </w:tc>
        <w:tc>
          <w:tcPr>
            <w:tcW w:w="66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583"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具备相应的安全条件，包括场地封闭设施、训练区隔离设施、安全通道以及消防设施、设备等，具体要求按照《机动车驾驶员培训教练场技术要求》第7条安全条件执行，无相应设施设备扣1分/项，缺失2项以上不得分。</w:t>
            </w:r>
          </w:p>
        </w:tc>
        <w:tc>
          <w:tcPr>
            <w:tcW w:w="251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auto" w:sz="4" w:space="0"/>
              <w:right w:val="single" w:color="000000" w:sz="4" w:space="0"/>
            </w:tcBorders>
            <w:noWrap w:val="0"/>
            <w:vAlign w:val="center"/>
          </w:tcPr>
          <w:p>
            <w:pPr>
              <w:pStyle w:val="2"/>
              <w:spacing w:after="0" w:line="260" w:lineRule="exact"/>
              <w:ind w:left="0" w:leftChars="0" w:firstLine="210" w:firstLineChars="100"/>
              <w:jc w:val="left"/>
            </w:pPr>
          </w:p>
        </w:tc>
      </w:tr>
      <w:tr>
        <w:tblPrEx>
          <w:tblCellMar>
            <w:top w:w="0" w:type="dxa"/>
            <w:left w:w="108" w:type="dxa"/>
            <w:bottom w:w="0" w:type="dxa"/>
            <w:right w:w="108" w:type="dxa"/>
          </w:tblCellMar>
        </w:tblPrEx>
        <w:trPr>
          <w:trHeight w:val="706" w:hRule="atLeast"/>
          <w:jc w:val="center"/>
        </w:trPr>
        <w:tc>
          <w:tcPr>
            <w:tcW w:w="540"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12</w:t>
            </w:r>
          </w:p>
        </w:tc>
        <w:tc>
          <w:tcPr>
            <w:tcW w:w="1357"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（35分）</w:t>
            </w:r>
          </w:p>
        </w:tc>
        <w:tc>
          <w:tcPr>
            <w:tcW w:w="141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投诉情况</w:t>
            </w:r>
          </w:p>
        </w:tc>
        <w:tc>
          <w:tcPr>
            <w:tcW w:w="66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color w:val="000000"/>
              </w:rPr>
              <w:t>6</w:t>
            </w:r>
          </w:p>
        </w:tc>
        <w:tc>
          <w:tcPr>
            <w:tcW w:w="6583"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因服务质量发生有责投诉扣1分/次；未建立投诉原始记录台账、投诉处理情况台账的，扣1分/次。</w:t>
            </w:r>
          </w:p>
        </w:tc>
        <w:tc>
          <w:tcPr>
            <w:tcW w:w="251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auto"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37"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13</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媒体曝光</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4</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发生市级新闻媒体负面曝光，且情况属实的，扣4分/次；发生区县级新闻媒体负面曝光，且情况属实的，扣2分/次。</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w:t>
            </w:r>
          </w:p>
        </w:tc>
        <w:tc>
          <w:tcPr>
            <w:tcW w:w="750"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14</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学时管理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培训学时或者里程弄虚作假的，扣2分/次。</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系统数据，日常记录数据</w:t>
            </w:r>
          </w:p>
        </w:tc>
        <w:tc>
          <w:tcPr>
            <w:tcW w:w="750" w:type="dxa"/>
            <w:tcBorders>
              <w:top w:val="single" w:color="000000" w:sz="4" w:space="0"/>
              <w:left w:val="nil"/>
              <w:bottom w:val="single" w:color="000000" w:sz="4" w:space="0"/>
              <w:right w:val="single" w:color="000000" w:sz="4" w:space="0"/>
            </w:tcBorders>
            <w:noWrap w:val="0"/>
            <w:vAlign w:val="bottom"/>
          </w:tcPr>
          <w:p>
            <w:pPr>
              <w:pStyle w:val="2"/>
              <w:spacing w:after="0" w:line="260" w:lineRule="exact"/>
              <w:ind w:left="0" w:leftChars="0" w:firstLine="210" w:firstLineChars="100"/>
              <w:jc w:val="left"/>
            </w:pPr>
          </w:p>
        </w:tc>
      </w:tr>
      <w:tr>
        <w:tblPrEx>
          <w:tblCellMar>
            <w:top w:w="0" w:type="dxa"/>
            <w:left w:w="108" w:type="dxa"/>
            <w:bottom w:w="0" w:type="dxa"/>
            <w:right w:w="108" w:type="dxa"/>
          </w:tblCellMar>
        </w:tblPrEx>
        <w:trPr>
          <w:trHeight w:val="1085"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15</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lang w:val="en"/>
              </w:rPr>
            </w:pPr>
            <w:r>
              <w:rPr>
                <w:rFonts w:eastAsia="方正仿宋_GBK"/>
                <w:color w:val="000000"/>
                <w:kern w:val="0"/>
                <w:sz w:val="22"/>
                <w:szCs w:val="22"/>
                <w:lang w:bidi="ar"/>
              </w:rPr>
              <w:t>合法经营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rPr>
            </w:pPr>
            <w:r>
              <w:rPr>
                <w:rFonts w:eastAsia="方正仿宋_GBK"/>
                <w:color w:val="000000"/>
                <w:kern w:val="0"/>
                <w:sz w:val="22"/>
                <w:szCs w:val="22"/>
                <w:lang w:bidi="ar"/>
              </w:rPr>
              <w:t>15</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42"/>
                <w:rFonts w:hint="default" w:ascii="Times New Roman" w:hAnsi="Times New Roman" w:cs="Times New Roman"/>
                <w:color w:val="000000"/>
                <w:lang w:bidi="ar"/>
              </w:rPr>
            </w:pPr>
            <w:r>
              <w:rPr>
                <w:rStyle w:val="42"/>
                <w:rFonts w:hint="default" w:ascii="Times New Roman" w:hAnsi="Times New Roman" w:cs="Times New Roman"/>
                <w:color w:val="000000"/>
                <w:lang w:bidi="ar"/>
              </w:rPr>
              <w:t>未按《教学与考试大纲》规定的内容、学时组织教学的，扣1分/人；未使用正规出版社发行教材的，扣1分；未按培训协议完成学员训练的，扣1分/人；不在许可核定的训练场地训练，扣2分/车；在许可核定的训练场地外以各种形式乱设摊点教学的，扣2分/车；使用非教练车辆从事教学活动的，扣2分/车；索取、收受学员财物或者谋取其他利益的，扣2分/次；其他违法违规，扣1分/次；</w:t>
            </w:r>
          </w:p>
          <w:p>
            <w:pPr>
              <w:widowControl/>
              <w:spacing w:line="260" w:lineRule="exact"/>
              <w:jc w:val="left"/>
              <w:textAlignment w:val="center"/>
              <w:rPr>
                <w:rFonts w:eastAsia="方正仿宋_GBK"/>
                <w:color w:val="000000"/>
                <w:sz w:val="22"/>
                <w:szCs w:val="22"/>
              </w:rPr>
            </w:pPr>
            <w:r>
              <w:rPr>
                <w:rStyle w:val="42"/>
                <w:rFonts w:hint="default" w:ascii="Times New Roman" w:hAnsi="Times New Roman" w:cs="Times New Roman"/>
                <w:color w:val="000000"/>
                <w:lang w:bidi="ar"/>
              </w:rPr>
              <w:t>在考核周期届满时，存在未履行交通运输行政处罚决定的，按照该交通运输行政处罚信用扣分标准，再次扣除相应分数。</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系统数据，日常记录数据</w:t>
            </w:r>
          </w:p>
        </w:tc>
        <w:tc>
          <w:tcPr>
            <w:tcW w:w="750" w:type="dxa"/>
            <w:tcBorders>
              <w:top w:val="single" w:color="000000" w:sz="4" w:space="0"/>
              <w:left w:val="nil"/>
              <w:bottom w:val="single" w:color="000000" w:sz="4" w:space="0"/>
              <w:right w:val="single" w:color="000000" w:sz="4" w:space="0"/>
            </w:tcBorders>
            <w:noWrap w:val="0"/>
            <w:vAlign w:val="center"/>
          </w:tcPr>
          <w:p>
            <w:pPr>
              <w:pStyle w:val="4"/>
              <w:spacing w:line="260" w:lineRule="exact"/>
              <w:ind w:firstLine="240" w:firstLineChars="100"/>
            </w:pPr>
          </w:p>
        </w:tc>
      </w:tr>
      <w:tr>
        <w:tblPrEx>
          <w:tblCellMar>
            <w:top w:w="0" w:type="dxa"/>
            <w:left w:w="108" w:type="dxa"/>
            <w:bottom w:w="0" w:type="dxa"/>
            <w:right w:w="108" w:type="dxa"/>
          </w:tblCellMar>
        </w:tblPrEx>
        <w:trPr>
          <w:trHeight w:val="796"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16</w:t>
            </w:r>
          </w:p>
        </w:tc>
        <w:tc>
          <w:tcPr>
            <w:tcW w:w="13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社会责任</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（10分）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环境保护</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4</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Style w:val="42"/>
                <w:rFonts w:hint="default" w:ascii="Times New Roman" w:hAnsi="Times New Roman" w:cs="Times New Roman"/>
                <w:color w:val="000000"/>
                <w:lang w:bidi="ar"/>
              </w:rPr>
              <w:t>培训机构经营场所、训练场地无绿化设施扣4分，树木花草死亡未更新一处扣1分，排水设施失效扣1分，垃圾油污未及时清理一处扣1分。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51"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17</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责任事故</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6</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Style w:val="42"/>
                <w:rFonts w:hint="default" w:ascii="Times New Roman" w:hAnsi="Times New Roman" w:cs="Times New Roman"/>
                <w:color w:val="000000"/>
                <w:lang w:bidi="ar"/>
              </w:rPr>
              <w:t>培训机构驾龄在3年内的毕业学员发生亡人道路交通责任（同责及以上责任）事故，倒查驾校有责的，一次扣3分；瞒报、谎报亡人事故的，每次扣3分/次。</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系统数据，日常记录数据</w:t>
            </w:r>
          </w:p>
        </w:tc>
        <w:tc>
          <w:tcPr>
            <w:tcW w:w="750" w:type="dxa"/>
            <w:tcBorders>
              <w:top w:val="single" w:color="000000" w:sz="4" w:space="0"/>
              <w:left w:val="nil"/>
              <w:bottom w:val="single" w:color="000000" w:sz="4" w:space="0"/>
              <w:right w:val="single" w:color="000000" w:sz="4" w:space="0"/>
            </w:tcBorders>
            <w:noWrap w:val="0"/>
            <w:vAlign w:val="bottom"/>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561"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18</w:t>
            </w:r>
          </w:p>
        </w:tc>
        <w:tc>
          <w:tcPr>
            <w:tcW w:w="13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加分项目</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企业产权</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58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培训机构拥有训练场地产权，每块场地加0.5分。（最高不超过1分）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865"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19</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表彰奖励</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企业或者员工获得区县级（自治县）行业管理相关部门表彰的，加0.3分/项；获得市级表彰的，加0.5分/项；获得国家级表彰的加1分/项。（最高不超过1.5分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经营者填报数据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44"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20</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“AA”级企业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培训机构连续3次获得“AA”评价，加0.5分。（最高不超过0.5分）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44"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21</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落实“预约学车、先学后付”培训模式</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100%实施的加1分；50%-80%实施的加0.75分；30%-50%的加0.5分；1%-30%实施的加0.25分；未实施的不加分。（最高不超过1分）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经营者填报数据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08"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22</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教练员聘用</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取得原教练员证或者职业技能等级证书的教练员占总教练员人数100%的，加1分；占60-80%的，加0.75分，占30%-60%的，加0.5分；占1%-30%的，加0.25分。（最高不超过1分）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18"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合计</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100分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100分</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10" w:hRule="atLeast"/>
          <w:jc w:val="center"/>
        </w:trPr>
        <w:tc>
          <w:tcPr>
            <w:tcW w:w="1897"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评价结论</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50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367" w:hRule="atLeast"/>
          <w:jc w:val="center"/>
        </w:trPr>
        <w:tc>
          <w:tcPr>
            <w:tcW w:w="1897" w:type="dxa"/>
            <w:gridSpan w:val="2"/>
            <w:vMerge w:val="continue"/>
            <w:tcBorders>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1050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06" w:hRule="atLeast"/>
          <w:jc w:val="center"/>
        </w:trPr>
        <w:tc>
          <w:tcPr>
            <w:tcW w:w="1897" w:type="dxa"/>
            <w:gridSpan w:val="2"/>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2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37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_GB2312"/>
                <w:color w:val="000000"/>
                <w:sz w:val="20"/>
              </w:rPr>
            </w:pPr>
            <w:r>
              <w:rPr>
                <w:rFonts w:eastAsia="仿宋_GB2312"/>
                <w:color w:val="000000"/>
                <w:sz w:val="20"/>
              </w:rPr>
              <w:t xml:space="preserve">         年    月    日</w:t>
            </w:r>
          </w:p>
        </w:tc>
      </w:tr>
    </w:tbl>
    <w:p>
      <w:pPr>
        <w:rPr>
          <w:rFonts w:hint="default" w:eastAsia="仿宋_GB2312"/>
          <w:color w:val="000000"/>
          <w:sz w:val="24"/>
          <w:lang w:val="en-US" w:eastAsia="zh-CN"/>
        </w:rPr>
      </w:pPr>
      <w:r>
        <w:rPr>
          <w:rFonts w:hint="default" w:eastAsia="仿宋_GB2312"/>
          <w:color w:val="000000"/>
          <w:sz w:val="24"/>
          <w:lang w:val="en-US" w:eastAsia="zh-CN"/>
        </w:rPr>
        <w:br w:type="page"/>
      </w:r>
    </w:p>
    <w:p>
      <w:pPr>
        <w:jc w:val="left"/>
        <w:rPr>
          <w:rFonts w:eastAsia="方正黑体_GBK"/>
          <w:color w:val="000000"/>
        </w:rPr>
      </w:pPr>
      <w:r>
        <w:rPr>
          <w:rFonts w:eastAsia="方正黑体_GBK"/>
          <w:color w:val="000000"/>
          <w:sz w:val="32"/>
          <w:szCs w:val="32"/>
        </w:rPr>
        <w:t>附件1-10</w:t>
      </w:r>
    </w:p>
    <w:p>
      <w:pPr>
        <w:spacing w:line="600" w:lineRule="exact"/>
        <w:jc w:val="center"/>
        <w:rPr>
          <w:rFonts w:eastAsia="方正小标宋_GBK"/>
          <w:bCs/>
          <w:color w:val="000000"/>
          <w:sz w:val="44"/>
          <w:szCs w:val="44"/>
        </w:rPr>
      </w:pPr>
      <w:r>
        <w:rPr>
          <w:rFonts w:eastAsia="方正小标宋_GBK"/>
          <w:bCs/>
          <w:color w:val="000000"/>
          <w:sz w:val="44"/>
          <w:szCs w:val="44"/>
        </w:rPr>
        <w:t>重庆市机动车维修企业信用评价标准</w:t>
      </w:r>
    </w:p>
    <w:p>
      <w:pPr>
        <w:spacing w:line="600" w:lineRule="exact"/>
        <w:rPr>
          <w:rFonts w:eastAsia="方正仿宋_GBK"/>
          <w:bCs/>
          <w:color w:val="000000"/>
          <w:sz w:val="24"/>
        </w:rPr>
      </w:pPr>
      <w:r>
        <w:rPr>
          <w:rFonts w:eastAsia="方正仿宋_GBK"/>
          <w:bCs/>
          <w:color w:val="000000"/>
          <w:sz w:val="24"/>
        </w:rPr>
        <w:t>被评价企业：</w:t>
      </w:r>
      <w:r>
        <w:rPr>
          <w:rFonts w:eastAsia="方正仿宋_GBK"/>
          <w:color w:val="000000"/>
          <w:sz w:val="24"/>
        </w:rPr>
        <w:t xml:space="preserve">                                                                            </w:t>
      </w:r>
      <w:r>
        <w:rPr>
          <w:rFonts w:eastAsia="方正仿宋_GBK"/>
          <w:bCs/>
          <w:color w:val="000000"/>
          <w:sz w:val="24"/>
        </w:rPr>
        <w:t>评价年度：</w:t>
      </w:r>
    </w:p>
    <w:tbl>
      <w:tblPr>
        <w:tblStyle w:val="11"/>
        <w:tblW w:w="13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334"/>
        <w:gridCol w:w="1245"/>
        <w:gridCol w:w="674"/>
        <w:gridCol w:w="905"/>
        <w:gridCol w:w="6156"/>
        <w:gridCol w:w="1982"/>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jc w:val="center"/>
        </w:trPr>
        <w:tc>
          <w:tcPr>
            <w:tcW w:w="706" w:type="dxa"/>
            <w:noWrap w:val="0"/>
            <w:vAlign w:val="center"/>
          </w:tcPr>
          <w:p>
            <w:pPr>
              <w:widowControl/>
              <w:spacing w:line="260" w:lineRule="exact"/>
              <w:jc w:val="center"/>
              <w:textAlignment w:val="center"/>
              <w:rPr>
                <w:rStyle w:val="37"/>
                <w:rFonts w:ascii="Times New Roman" w:eastAsia="黑体" w:cs="Times New Roman"/>
                <w:b w:val="0"/>
                <w:sz w:val="24"/>
                <w:szCs w:val="24"/>
                <w:lang w:bidi="ar"/>
              </w:rPr>
            </w:pPr>
            <w:r>
              <w:rPr>
                <w:rStyle w:val="37"/>
                <w:rFonts w:ascii="Times New Roman" w:eastAsia="黑体" w:cs="Times New Roman"/>
                <w:b w:val="0"/>
                <w:sz w:val="24"/>
                <w:szCs w:val="24"/>
                <w:lang w:bidi="ar"/>
              </w:rPr>
              <w:t>序号</w:t>
            </w:r>
          </w:p>
        </w:tc>
        <w:tc>
          <w:tcPr>
            <w:tcW w:w="1334" w:type="dxa"/>
            <w:noWrap w:val="0"/>
            <w:vAlign w:val="center"/>
          </w:tcPr>
          <w:p>
            <w:pPr>
              <w:widowControl/>
              <w:spacing w:line="260" w:lineRule="exact"/>
              <w:jc w:val="center"/>
              <w:textAlignment w:val="center"/>
              <w:rPr>
                <w:rStyle w:val="37"/>
                <w:rFonts w:ascii="Times New Roman" w:eastAsia="黑体" w:cs="Times New Roman"/>
                <w:b w:val="0"/>
                <w:sz w:val="24"/>
                <w:szCs w:val="24"/>
                <w:lang w:bidi="ar"/>
              </w:rPr>
            </w:pPr>
            <w:r>
              <w:rPr>
                <w:rStyle w:val="37"/>
                <w:rFonts w:ascii="Times New Roman" w:eastAsia="黑体" w:cs="Times New Roman"/>
                <w:b w:val="0"/>
                <w:sz w:val="24"/>
                <w:szCs w:val="24"/>
                <w:lang w:bidi="ar"/>
              </w:rPr>
              <w:t xml:space="preserve">一级指标及分值 </w:t>
            </w:r>
          </w:p>
        </w:tc>
        <w:tc>
          <w:tcPr>
            <w:tcW w:w="1245" w:type="dxa"/>
            <w:noWrap w:val="0"/>
            <w:vAlign w:val="center"/>
          </w:tcPr>
          <w:p>
            <w:pPr>
              <w:widowControl/>
              <w:spacing w:line="260" w:lineRule="exact"/>
              <w:jc w:val="center"/>
              <w:textAlignment w:val="center"/>
              <w:rPr>
                <w:rStyle w:val="37"/>
                <w:rFonts w:ascii="Times New Roman" w:eastAsia="黑体" w:cs="Times New Roman"/>
                <w:b w:val="0"/>
                <w:sz w:val="24"/>
                <w:szCs w:val="24"/>
                <w:lang w:bidi="ar"/>
              </w:rPr>
            </w:pPr>
            <w:r>
              <w:rPr>
                <w:rStyle w:val="37"/>
                <w:rFonts w:ascii="Times New Roman" w:eastAsia="黑体" w:cs="Times New Roman"/>
                <w:b w:val="0"/>
                <w:sz w:val="24"/>
                <w:szCs w:val="24"/>
                <w:lang w:bidi="ar"/>
              </w:rPr>
              <w:t>二级指标</w:t>
            </w:r>
          </w:p>
        </w:tc>
        <w:tc>
          <w:tcPr>
            <w:tcW w:w="674" w:type="dxa"/>
            <w:noWrap w:val="0"/>
            <w:vAlign w:val="center"/>
          </w:tcPr>
          <w:p>
            <w:pPr>
              <w:widowControl/>
              <w:spacing w:line="260" w:lineRule="exact"/>
              <w:jc w:val="center"/>
              <w:textAlignment w:val="center"/>
              <w:rPr>
                <w:rFonts w:eastAsia="黑体"/>
                <w:bCs/>
                <w:color w:val="000000"/>
                <w:sz w:val="24"/>
              </w:rPr>
            </w:pPr>
            <w:r>
              <w:rPr>
                <w:rStyle w:val="37"/>
                <w:rFonts w:ascii="Times New Roman" w:eastAsia="黑体" w:cs="Times New Roman"/>
                <w:b w:val="0"/>
                <w:sz w:val="24"/>
                <w:szCs w:val="24"/>
                <w:lang w:bidi="ar"/>
              </w:rPr>
              <w:t>分值</w:t>
            </w:r>
          </w:p>
        </w:tc>
        <w:tc>
          <w:tcPr>
            <w:tcW w:w="7061" w:type="dxa"/>
            <w:gridSpan w:val="2"/>
            <w:noWrap w:val="0"/>
            <w:vAlign w:val="center"/>
          </w:tcPr>
          <w:p>
            <w:pPr>
              <w:widowControl/>
              <w:spacing w:line="260" w:lineRule="exact"/>
              <w:jc w:val="center"/>
              <w:textAlignment w:val="center"/>
              <w:rPr>
                <w:rFonts w:eastAsia="黑体"/>
                <w:bCs/>
                <w:color w:val="000000"/>
                <w:sz w:val="24"/>
              </w:rPr>
            </w:pPr>
            <w:r>
              <w:rPr>
                <w:rStyle w:val="37"/>
                <w:rFonts w:ascii="Times New Roman" w:eastAsia="黑体" w:cs="Times New Roman"/>
                <w:b w:val="0"/>
                <w:sz w:val="24"/>
                <w:szCs w:val="24"/>
                <w:lang w:bidi="ar"/>
              </w:rPr>
              <w:t>评分标准</w:t>
            </w:r>
          </w:p>
        </w:tc>
        <w:tc>
          <w:tcPr>
            <w:tcW w:w="1982" w:type="dxa"/>
            <w:noWrap w:val="0"/>
            <w:vAlign w:val="center"/>
          </w:tcPr>
          <w:p>
            <w:pPr>
              <w:widowControl/>
              <w:spacing w:line="260" w:lineRule="exact"/>
              <w:jc w:val="center"/>
              <w:textAlignment w:val="center"/>
              <w:rPr>
                <w:rFonts w:eastAsia="黑体"/>
                <w:bCs/>
                <w:color w:val="000000"/>
                <w:sz w:val="24"/>
              </w:rPr>
            </w:pPr>
            <w:r>
              <w:rPr>
                <w:rStyle w:val="37"/>
                <w:rFonts w:ascii="Times New Roman" w:eastAsia="黑体" w:cs="Times New Roman"/>
                <w:b w:val="0"/>
                <w:sz w:val="24"/>
                <w:szCs w:val="24"/>
                <w:lang w:bidi="ar"/>
              </w:rPr>
              <w:t>数据来源</w:t>
            </w:r>
          </w:p>
        </w:tc>
        <w:tc>
          <w:tcPr>
            <w:tcW w:w="664" w:type="dxa"/>
            <w:noWrap w:val="0"/>
            <w:vAlign w:val="center"/>
          </w:tcPr>
          <w:p>
            <w:pPr>
              <w:widowControl/>
              <w:spacing w:line="260" w:lineRule="exact"/>
              <w:jc w:val="center"/>
              <w:textAlignment w:val="center"/>
              <w:rPr>
                <w:rFonts w:eastAsia="黑体"/>
                <w:bCs/>
                <w:color w:val="000000"/>
                <w:sz w:val="24"/>
              </w:rPr>
            </w:pPr>
            <w:r>
              <w:rPr>
                <w:rFonts w:eastAsia="方正黑体_GBK"/>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6"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1</w:t>
            </w:r>
          </w:p>
        </w:tc>
        <w:tc>
          <w:tcPr>
            <w:tcW w:w="1334" w:type="dxa"/>
            <w:vMerge w:val="restart"/>
            <w:noWrap w:val="0"/>
            <w:vAlign w:val="center"/>
          </w:tcPr>
          <w:p>
            <w:pPr>
              <w:widowControl/>
              <w:spacing w:line="260" w:lineRule="exact"/>
              <w:jc w:val="center"/>
              <w:textAlignment w:val="center"/>
              <w:rPr>
                <w:rStyle w:val="37"/>
                <w:rFonts w:ascii="Times New Roman" w:eastAsia="仿宋" w:cs="Times New Roman"/>
                <w:b w:val="0"/>
                <w:lang w:bidi="ar"/>
              </w:rPr>
            </w:pPr>
            <w:r>
              <w:rPr>
                <w:rStyle w:val="37"/>
                <w:rFonts w:ascii="Times New Roman" w:eastAsia="仿宋" w:cs="Times New Roman"/>
                <w:b w:val="0"/>
                <w:lang w:bidi="ar"/>
              </w:rPr>
              <w:t>经营管理</w:t>
            </w:r>
          </w:p>
          <w:p>
            <w:pPr>
              <w:widowControl/>
              <w:spacing w:line="260" w:lineRule="exact"/>
              <w:jc w:val="center"/>
              <w:textAlignment w:val="center"/>
              <w:rPr>
                <w:rStyle w:val="18"/>
                <w:rFonts w:eastAsia="仿宋"/>
                <w:bCs/>
                <w:sz w:val="21"/>
                <w:szCs w:val="21"/>
                <w:lang w:bidi="ar"/>
              </w:rPr>
            </w:pPr>
            <w:r>
              <w:rPr>
                <w:rStyle w:val="37"/>
                <w:rFonts w:ascii="Times New Roman" w:eastAsia="仿宋" w:cs="Times New Roman"/>
                <w:b w:val="0"/>
                <w:lang w:bidi="ar"/>
              </w:rPr>
              <w:t>（</w:t>
            </w:r>
            <w:r>
              <w:rPr>
                <w:rStyle w:val="43"/>
                <w:rFonts w:ascii="Times New Roman" w:hAnsi="Times New Roman" w:eastAsia="仿宋" w:cs="Times New Roman"/>
                <w:bCs/>
                <w:sz w:val="21"/>
                <w:szCs w:val="21"/>
                <w:lang w:bidi="ar"/>
              </w:rPr>
              <w:t>25</w:t>
            </w:r>
            <w:r>
              <w:rPr>
                <w:rStyle w:val="37"/>
                <w:rFonts w:ascii="Times New Roman" w:eastAsia="仿宋" w:cs="Times New Roman"/>
                <w:b w:val="0"/>
                <w:lang w:bidi="ar"/>
              </w:rPr>
              <w:t>分）</w:t>
            </w:r>
          </w:p>
        </w:tc>
        <w:tc>
          <w:tcPr>
            <w:tcW w:w="1245" w:type="dxa"/>
            <w:noWrap w:val="0"/>
            <w:vAlign w:val="center"/>
          </w:tcPr>
          <w:p>
            <w:pPr>
              <w:widowControl/>
              <w:spacing w:line="260" w:lineRule="exact"/>
              <w:jc w:val="center"/>
              <w:textAlignment w:val="center"/>
              <w:rPr>
                <w:rFonts w:eastAsia="仿宋"/>
                <w:bCs/>
                <w:color w:val="000000"/>
                <w:szCs w:val="21"/>
              </w:rPr>
            </w:pPr>
            <w:r>
              <w:rPr>
                <w:rStyle w:val="18"/>
                <w:rFonts w:eastAsia="仿宋"/>
                <w:bCs/>
                <w:sz w:val="21"/>
                <w:szCs w:val="21"/>
                <w:lang w:bidi="ar"/>
              </w:rPr>
              <w:t>承诺事项</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备案承诺事项与实际不符的，扣1分/项，超过3项不得分。</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w:t>
            </w:r>
          </w:p>
        </w:tc>
        <w:tc>
          <w:tcPr>
            <w:tcW w:w="664" w:type="dxa"/>
            <w:noWrap w:val="0"/>
            <w:vAlign w:val="top"/>
          </w:tcPr>
          <w:p>
            <w:pPr>
              <w:spacing w:line="260" w:lineRule="exact"/>
              <w:ind w:firstLine="210" w:firstLineChars="10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6"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2</w:t>
            </w:r>
          </w:p>
        </w:tc>
        <w:tc>
          <w:tcPr>
            <w:tcW w:w="1334" w:type="dxa"/>
            <w:vMerge w:val="continue"/>
            <w:noWrap w:val="0"/>
            <w:vAlign w:val="center"/>
          </w:tcPr>
          <w:p>
            <w:pPr>
              <w:widowControl/>
              <w:spacing w:line="260" w:lineRule="exact"/>
              <w:jc w:val="center"/>
              <w:textAlignment w:val="center"/>
              <w:rPr>
                <w:rStyle w:val="18"/>
                <w:rFonts w:eastAsia="仿宋"/>
                <w:bCs/>
                <w:sz w:val="21"/>
                <w:szCs w:val="21"/>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系统建设</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10</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未按要求建立汽车维修电子健康档案系统或者建立不使用的，不得分。</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w:t>
            </w:r>
          </w:p>
        </w:tc>
        <w:tc>
          <w:tcPr>
            <w:tcW w:w="664" w:type="dxa"/>
            <w:noWrap w:val="0"/>
            <w:vAlign w:val="center"/>
          </w:tcPr>
          <w:p>
            <w:pPr>
              <w:spacing w:line="260" w:lineRule="exact"/>
              <w:ind w:firstLine="210" w:firstLineChars="100"/>
              <w:jc w:val="left"/>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6"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3</w:t>
            </w:r>
          </w:p>
        </w:tc>
        <w:tc>
          <w:tcPr>
            <w:tcW w:w="1334" w:type="dxa"/>
            <w:vMerge w:val="continue"/>
            <w:noWrap w:val="0"/>
            <w:vAlign w:val="center"/>
          </w:tcPr>
          <w:p>
            <w:pPr>
              <w:widowControl/>
              <w:spacing w:line="260" w:lineRule="exact"/>
              <w:jc w:val="center"/>
              <w:textAlignment w:val="center"/>
              <w:rPr>
                <w:rStyle w:val="18"/>
                <w:rFonts w:eastAsia="仿宋"/>
                <w:bCs/>
                <w:sz w:val="21"/>
                <w:szCs w:val="21"/>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数据上传</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使用汽车维修电子健康档案系统未及时如实填写上传数据的，扣1分/辆次；数据缺失的，扣1分/辆次；累计超过3次不得分。</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w:t>
            </w:r>
          </w:p>
        </w:tc>
        <w:tc>
          <w:tcPr>
            <w:tcW w:w="664" w:type="dxa"/>
            <w:noWrap w:val="0"/>
            <w:vAlign w:val="center"/>
          </w:tcPr>
          <w:p>
            <w:pPr>
              <w:spacing w:line="260" w:lineRule="exact"/>
              <w:ind w:firstLine="210" w:firstLineChars="100"/>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6"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4</w:t>
            </w:r>
          </w:p>
        </w:tc>
        <w:tc>
          <w:tcPr>
            <w:tcW w:w="1334" w:type="dxa"/>
            <w:vMerge w:val="continue"/>
            <w:noWrap w:val="0"/>
            <w:vAlign w:val="center"/>
          </w:tcPr>
          <w:p>
            <w:pPr>
              <w:widowControl/>
              <w:spacing w:line="260" w:lineRule="exact"/>
              <w:jc w:val="center"/>
              <w:textAlignment w:val="center"/>
              <w:rPr>
                <w:rStyle w:val="18"/>
                <w:rFonts w:eastAsia="仿宋"/>
                <w:bCs/>
                <w:sz w:val="21"/>
                <w:szCs w:val="21"/>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服务评价</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未主动邀请车主通过维修电子健康档案系统对维修服务进行评价的，扣1分/辆次，超过3次不得分。</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w:t>
            </w:r>
          </w:p>
        </w:tc>
        <w:tc>
          <w:tcPr>
            <w:tcW w:w="664" w:type="dxa"/>
            <w:noWrap w:val="0"/>
            <w:vAlign w:val="center"/>
          </w:tcPr>
          <w:p>
            <w:pPr>
              <w:spacing w:line="260" w:lineRule="exact"/>
              <w:ind w:firstLine="210" w:firstLineChars="100"/>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06"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 xml:space="preserve">5 </w:t>
            </w:r>
          </w:p>
        </w:tc>
        <w:tc>
          <w:tcPr>
            <w:tcW w:w="1334" w:type="dxa"/>
            <w:vMerge w:val="restart"/>
            <w:noWrap w:val="0"/>
            <w:vAlign w:val="center"/>
          </w:tcPr>
          <w:p>
            <w:pPr>
              <w:widowControl/>
              <w:spacing w:line="260" w:lineRule="exact"/>
              <w:jc w:val="center"/>
              <w:textAlignment w:val="center"/>
              <w:rPr>
                <w:rStyle w:val="37"/>
                <w:rFonts w:ascii="Times New Roman" w:eastAsia="仿宋" w:cs="Times New Roman"/>
                <w:b w:val="0"/>
                <w:lang w:bidi="ar"/>
              </w:rPr>
            </w:pPr>
            <w:r>
              <w:rPr>
                <w:rStyle w:val="37"/>
                <w:rFonts w:ascii="Times New Roman" w:eastAsia="仿宋" w:cs="Times New Roman"/>
                <w:b w:val="0"/>
                <w:lang w:bidi="ar"/>
              </w:rPr>
              <w:t>安全生产</w:t>
            </w:r>
          </w:p>
          <w:p>
            <w:pPr>
              <w:widowControl/>
              <w:spacing w:line="260" w:lineRule="exact"/>
              <w:jc w:val="center"/>
              <w:textAlignment w:val="center"/>
              <w:rPr>
                <w:rStyle w:val="18"/>
                <w:rFonts w:eastAsia="仿宋"/>
                <w:bCs/>
                <w:sz w:val="21"/>
                <w:szCs w:val="21"/>
                <w:lang w:bidi="ar"/>
              </w:rPr>
            </w:pPr>
            <w:r>
              <w:rPr>
                <w:rStyle w:val="37"/>
                <w:rFonts w:ascii="Times New Roman" w:eastAsia="仿宋" w:cs="Times New Roman"/>
                <w:b w:val="0"/>
                <w:lang w:bidi="ar"/>
              </w:rPr>
              <w:t>（</w:t>
            </w:r>
            <w:r>
              <w:rPr>
                <w:rStyle w:val="44"/>
                <w:rFonts w:hint="default" w:ascii="Times New Roman" w:hAnsi="Times New Roman" w:eastAsia="仿宋" w:cs="Times New Roman"/>
                <w:bCs/>
                <w:sz w:val="21"/>
                <w:szCs w:val="21"/>
                <w:lang w:bidi="ar"/>
              </w:rPr>
              <w:t>30</w:t>
            </w:r>
            <w:r>
              <w:rPr>
                <w:rStyle w:val="37"/>
                <w:rFonts w:ascii="Times New Roman" w:eastAsia="仿宋" w:cs="Times New Roman"/>
                <w:b w:val="0"/>
                <w:lang w:bidi="ar"/>
              </w:rPr>
              <w:t>分）</w:t>
            </w: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制度落实</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3</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未健全安全生产责任制、安全管理制度、安全应急预案的，扣1分/项；超过2项不得分。未按要求落实双重预防机制、安全生产“两单两卡”责任清单的，扣1分/项。</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w:t>
            </w:r>
          </w:p>
        </w:tc>
        <w:tc>
          <w:tcPr>
            <w:tcW w:w="664" w:type="dxa"/>
            <w:noWrap w:val="0"/>
            <w:vAlign w:val="center"/>
          </w:tcPr>
          <w:p>
            <w:pPr>
              <w:pStyle w:val="2"/>
              <w:spacing w:after="0" w:line="260" w:lineRule="exact"/>
              <w:ind w:left="0" w:leftChars="0" w:firstLine="210" w:firstLineChars="10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6"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6</w:t>
            </w:r>
          </w:p>
        </w:tc>
        <w:tc>
          <w:tcPr>
            <w:tcW w:w="1334" w:type="dxa"/>
            <w:vMerge w:val="continue"/>
            <w:noWrap w:val="0"/>
            <w:vAlign w:val="center"/>
          </w:tcPr>
          <w:p>
            <w:pPr>
              <w:widowControl/>
              <w:spacing w:line="260" w:lineRule="exact"/>
              <w:jc w:val="center"/>
              <w:textAlignment w:val="center"/>
              <w:rPr>
                <w:rStyle w:val="18"/>
                <w:rFonts w:eastAsia="仿宋"/>
                <w:bCs/>
                <w:sz w:val="21"/>
                <w:szCs w:val="21"/>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操作规程</w:t>
            </w:r>
          </w:p>
        </w:tc>
        <w:tc>
          <w:tcPr>
            <w:tcW w:w="674" w:type="dxa"/>
            <w:noWrap w:val="0"/>
            <w:vAlign w:val="center"/>
          </w:tcPr>
          <w:p>
            <w:pPr>
              <w:widowControl/>
              <w:spacing w:line="260" w:lineRule="exact"/>
              <w:jc w:val="center"/>
              <w:textAlignment w:val="center"/>
              <w:rPr>
                <w:rFonts w:eastAsia="仿宋"/>
                <w:bCs/>
                <w:color w:val="000000"/>
                <w:kern w:val="0"/>
                <w:szCs w:val="21"/>
                <w:lang w:bidi="ar"/>
              </w:rPr>
            </w:pPr>
            <w:r>
              <w:rPr>
                <w:rFonts w:eastAsia="仿宋"/>
                <w:bCs/>
                <w:color w:val="000000"/>
                <w:kern w:val="0"/>
                <w:szCs w:val="21"/>
                <w:lang w:bidi="ar"/>
              </w:rPr>
              <w:t>2</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各类机电设备安全操作规程未上墙、技术工人未按操作规程操作的，扣1分/项。</w:t>
            </w:r>
          </w:p>
        </w:tc>
        <w:tc>
          <w:tcPr>
            <w:tcW w:w="1982" w:type="dxa"/>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行业内部数据共享</w:t>
            </w:r>
          </w:p>
        </w:tc>
        <w:tc>
          <w:tcPr>
            <w:tcW w:w="664" w:type="dxa"/>
            <w:noWrap w:val="0"/>
            <w:vAlign w:val="center"/>
          </w:tcPr>
          <w:p>
            <w:pPr>
              <w:spacing w:line="260" w:lineRule="exact"/>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6"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7</w:t>
            </w:r>
          </w:p>
        </w:tc>
        <w:tc>
          <w:tcPr>
            <w:tcW w:w="1334" w:type="dxa"/>
            <w:vMerge w:val="continue"/>
            <w:noWrap w:val="0"/>
            <w:vAlign w:val="center"/>
          </w:tcPr>
          <w:p>
            <w:pPr>
              <w:widowControl/>
              <w:spacing w:line="260" w:lineRule="exact"/>
              <w:jc w:val="center"/>
              <w:textAlignment w:val="center"/>
              <w:rPr>
                <w:rStyle w:val="18"/>
                <w:rFonts w:eastAsia="仿宋"/>
                <w:bCs/>
                <w:sz w:val="21"/>
                <w:szCs w:val="21"/>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劳动保护</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kern w:val="0"/>
                <w:szCs w:val="21"/>
                <w:lang w:bidi="ar"/>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未按规定为技术人员（钣金、涂漆）配备护听器、眼护具、防尘口罩、防毒护具、防护手套、防护服等劳动防护用品或者技术人员未按规定使用佩戴劳动防护用品的，扣1分/项。</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w:t>
            </w:r>
          </w:p>
        </w:tc>
        <w:tc>
          <w:tcPr>
            <w:tcW w:w="664" w:type="dxa"/>
            <w:noWrap w:val="0"/>
            <w:vAlign w:val="center"/>
          </w:tcPr>
          <w:p>
            <w:pPr>
              <w:spacing w:line="260" w:lineRule="exact"/>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8</w:t>
            </w:r>
          </w:p>
        </w:tc>
        <w:tc>
          <w:tcPr>
            <w:tcW w:w="1334" w:type="dxa"/>
            <w:vMerge w:val="continue"/>
            <w:noWrap w:val="0"/>
            <w:vAlign w:val="center"/>
          </w:tcPr>
          <w:p>
            <w:pPr>
              <w:widowControl/>
              <w:spacing w:line="260" w:lineRule="exact"/>
              <w:jc w:val="center"/>
              <w:textAlignment w:val="center"/>
              <w:rPr>
                <w:rStyle w:val="18"/>
                <w:rFonts w:eastAsia="仿宋"/>
                <w:bCs/>
                <w:sz w:val="21"/>
                <w:szCs w:val="21"/>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安全事故</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kern w:val="0"/>
                <w:szCs w:val="21"/>
                <w:lang w:bidi="ar"/>
              </w:rPr>
              <w:t>20</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发生生产安全责任事故或者维修质量责任事故的，扣10分/起。发生拖延报告亡人事故的，扣5分/次；发生瞒报、谎报亡人事故的，扣10分/次。</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行业内部数据共享，公安部门、应急管理局等提供信息</w:t>
            </w:r>
          </w:p>
        </w:tc>
        <w:tc>
          <w:tcPr>
            <w:tcW w:w="664" w:type="dxa"/>
            <w:noWrap w:val="0"/>
            <w:vAlign w:val="top"/>
          </w:tcPr>
          <w:p>
            <w:pPr>
              <w:spacing w:line="260" w:lineRule="exact"/>
              <w:ind w:firstLine="210" w:firstLineChars="100"/>
              <w:rPr>
                <w:rFonts w:eastAsia="方正仿宋_GBK"/>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9</w:t>
            </w:r>
          </w:p>
        </w:tc>
        <w:tc>
          <w:tcPr>
            <w:tcW w:w="1334" w:type="dxa"/>
            <w:vMerge w:val="restart"/>
            <w:noWrap w:val="0"/>
            <w:vAlign w:val="center"/>
          </w:tcPr>
          <w:p>
            <w:pPr>
              <w:widowControl/>
              <w:spacing w:line="260" w:lineRule="exact"/>
              <w:jc w:val="center"/>
              <w:textAlignment w:val="center"/>
              <w:rPr>
                <w:rStyle w:val="37"/>
                <w:rFonts w:ascii="Times New Roman" w:eastAsia="仿宋" w:cs="Times New Roman"/>
                <w:b w:val="0"/>
                <w:lang w:bidi="ar"/>
              </w:rPr>
            </w:pPr>
            <w:r>
              <w:rPr>
                <w:rStyle w:val="37"/>
                <w:rFonts w:ascii="Times New Roman" w:eastAsia="仿宋" w:cs="Times New Roman"/>
                <w:b w:val="0"/>
                <w:lang w:bidi="ar"/>
              </w:rPr>
              <w:t>服务质量</w:t>
            </w:r>
          </w:p>
          <w:p>
            <w:pPr>
              <w:widowControl/>
              <w:spacing w:line="260" w:lineRule="exact"/>
              <w:jc w:val="center"/>
              <w:textAlignment w:val="center"/>
              <w:rPr>
                <w:rStyle w:val="18"/>
                <w:rFonts w:eastAsia="仿宋"/>
                <w:bCs/>
                <w:lang w:bidi="ar"/>
              </w:rPr>
            </w:pPr>
            <w:r>
              <w:rPr>
                <w:rStyle w:val="37"/>
                <w:rFonts w:ascii="Times New Roman" w:eastAsia="仿宋" w:cs="Times New Roman"/>
                <w:b w:val="0"/>
                <w:lang w:bidi="ar"/>
              </w:rPr>
              <w:t>（20分）</w:t>
            </w: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业务受理</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未建立业务受理程序、服务质量承诺、客户抱怨受理程序、维修质量保证期制度的，扣1分/项；未提供汽车紧急维修救援服务时间、电话、收费标准的，扣1分/项，累计超过3项不得分。</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消费者投诉，行业内部数据共享</w:t>
            </w:r>
          </w:p>
        </w:tc>
        <w:tc>
          <w:tcPr>
            <w:tcW w:w="664" w:type="dxa"/>
            <w:noWrap w:val="0"/>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10</w:t>
            </w:r>
          </w:p>
        </w:tc>
        <w:tc>
          <w:tcPr>
            <w:tcW w:w="1334" w:type="dxa"/>
            <w:vMerge w:val="continue"/>
            <w:noWrap w:val="0"/>
            <w:vAlign w:val="center"/>
          </w:tcPr>
          <w:p>
            <w:pPr>
              <w:widowControl/>
              <w:spacing w:line="260" w:lineRule="exact"/>
              <w:jc w:val="center"/>
              <w:textAlignment w:val="center"/>
              <w:rPr>
                <w:rStyle w:val="18"/>
                <w:rFonts w:eastAsia="仿宋"/>
                <w:bCs/>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价格公示</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未在醒目位置公示经过备案的主要维修项目收费价格、维修工时定额、工时单价、常用配件现行价格的，扣1分/项；超过3项不得分。</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消费者投诉，行业内部数据共享</w:t>
            </w:r>
          </w:p>
        </w:tc>
        <w:tc>
          <w:tcPr>
            <w:tcW w:w="664" w:type="dxa"/>
            <w:noWrap w:val="0"/>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11</w:t>
            </w:r>
          </w:p>
        </w:tc>
        <w:tc>
          <w:tcPr>
            <w:tcW w:w="1334" w:type="dxa"/>
            <w:vMerge w:val="continue"/>
            <w:noWrap w:val="0"/>
            <w:vAlign w:val="center"/>
          </w:tcPr>
          <w:p>
            <w:pPr>
              <w:widowControl/>
              <w:spacing w:line="260" w:lineRule="exact"/>
              <w:jc w:val="center"/>
              <w:textAlignment w:val="center"/>
              <w:rPr>
                <w:rFonts w:eastAsia="仿宋"/>
                <w:bCs/>
                <w:color w:val="000000"/>
                <w:sz w:val="20"/>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服务流程</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未建立客户维修接待、进厂检验、签订合同、维修作业与过程检验、竣工检验、结算交车、返修处理、跟踪服务等制度的，扣1分/项；超过3项不得分。</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消费者投诉，行业内部数据共享</w:t>
            </w:r>
          </w:p>
        </w:tc>
        <w:tc>
          <w:tcPr>
            <w:tcW w:w="664" w:type="dxa"/>
            <w:noWrap w:val="0"/>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12</w:t>
            </w:r>
          </w:p>
        </w:tc>
        <w:tc>
          <w:tcPr>
            <w:tcW w:w="1334" w:type="dxa"/>
            <w:vMerge w:val="continue"/>
            <w:noWrap w:val="0"/>
            <w:vAlign w:val="center"/>
          </w:tcPr>
          <w:p>
            <w:pPr>
              <w:widowControl/>
              <w:spacing w:line="260" w:lineRule="exact"/>
              <w:jc w:val="center"/>
              <w:textAlignment w:val="center"/>
              <w:rPr>
                <w:rFonts w:eastAsia="仿宋"/>
                <w:bCs/>
                <w:color w:val="000000"/>
                <w:sz w:val="20"/>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配件管理</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未建立采购配件登记制度、进行配件验收、查验产品合格证的，不得分；配件登记卡缺厂名、地址、配件名称、规格型号等信息的，扣2分/项。</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消费者投诉，行业内部数据共享</w:t>
            </w:r>
          </w:p>
        </w:tc>
        <w:tc>
          <w:tcPr>
            <w:tcW w:w="664" w:type="dxa"/>
            <w:noWrap w:val="0"/>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6" w:type="dxa"/>
            <w:noWrap w:val="0"/>
            <w:vAlign w:val="center"/>
          </w:tcPr>
          <w:p>
            <w:pPr>
              <w:widowControl/>
              <w:spacing w:line="260" w:lineRule="exact"/>
              <w:jc w:val="center"/>
              <w:textAlignment w:val="center"/>
              <w:rPr>
                <w:rStyle w:val="18"/>
                <w:rFonts w:eastAsia="仿宋"/>
                <w:bCs/>
                <w:lang w:bidi="ar"/>
              </w:rPr>
            </w:pPr>
            <w:r>
              <w:rPr>
                <w:rFonts w:eastAsia="仿宋"/>
                <w:bCs/>
                <w:color w:val="000000"/>
                <w:sz w:val="20"/>
              </w:rPr>
              <w:t>13</w:t>
            </w:r>
          </w:p>
        </w:tc>
        <w:tc>
          <w:tcPr>
            <w:tcW w:w="1334" w:type="dxa"/>
            <w:vMerge w:val="restart"/>
            <w:noWrap w:val="0"/>
            <w:vAlign w:val="center"/>
          </w:tcPr>
          <w:p>
            <w:pPr>
              <w:widowControl/>
              <w:spacing w:line="260" w:lineRule="exact"/>
              <w:jc w:val="center"/>
              <w:textAlignment w:val="center"/>
              <w:rPr>
                <w:rStyle w:val="37"/>
                <w:rFonts w:ascii="Times New Roman" w:eastAsia="仿宋" w:cs="Times New Roman"/>
                <w:b w:val="0"/>
                <w:lang w:bidi="ar"/>
              </w:rPr>
            </w:pPr>
            <w:r>
              <w:rPr>
                <w:rStyle w:val="37"/>
                <w:rFonts w:ascii="Times New Roman" w:eastAsia="仿宋" w:cs="Times New Roman"/>
                <w:b w:val="0"/>
                <w:lang w:bidi="ar"/>
              </w:rPr>
              <w:t>社会责任</w:t>
            </w:r>
          </w:p>
          <w:p>
            <w:pPr>
              <w:widowControl/>
              <w:spacing w:line="260" w:lineRule="exact"/>
              <w:jc w:val="center"/>
              <w:textAlignment w:val="center"/>
              <w:rPr>
                <w:rStyle w:val="18"/>
                <w:rFonts w:eastAsia="仿宋"/>
                <w:bCs/>
                <w:lang w:bidi="ar"/>
              </w:rPr>
            </w:pPr>
            <w:r>
              <w:rPr>
                <w:rStyle w:val="37"/>
                <w:rFonts w:ascii="Times New Roman" w:eastAsia="仿宋" w:cs="Times New Roman"/>
                <w:b w:val="0"/>
                <w:lang w:bidi="ar"/>
              </w:rPr>
              <w:t>（25分）</w:t>
            </w: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监督管理</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5</w:t>
            </w:r>
          </w:p>
        </w:tc>
        <w:tc>
          <w:tcPr>
            <w:tcW w:w="7061" w:type="dxa"/>
            <w:gridSpan w:val="2"/>
            <w:noWrap w:val="0"/>
            <w:vAlign w:val="center"/>
          </w:tcPr>
          <w:p>
            <w:pPr>
              <w:widowControl/>
              <w:spacing w:line="260" w:lineRule="exact"/>
              <w:jc w:val="left"/>
              <w:textAlignment w:val="center"/>
              <w:rPr>
                <w:rFonts w:eastAsia="仿宋"/>
                <w:bCs/>
                <w:color w:val="000000"/>
                <w:szCs w:val="21"/>
                <w:lang w:bidi="ar"/>
              </w:rPr>
            </w:pPr>
            <w:r>
              <w:rPr>
                <w:rStyle w:val="18"/>
                <w:rFonts w:eastAsia="仿宋"/>
                <w:bCs/>
                <w:sz w:val="21"/>
                <w:szCs w:val="21"/>
                <w:lang w:bidi="ar"/>
              </w:rPr>
              <w:t>被挂牌督办的，扣2分/次；受到责令改正、责令限期整改的，扣2分/次。</w:t>
            </w:r>
          </w:p>
        </w:tc>
        <w:tc>
          <w:tcPr>
            <w:tcW w:w="1982" w:type="dxa"/>
            <w:noWrap w:val="0"/>
            <w:vAlign w:val="center"/>
          </w:tcPr>
          <w:p>
            <w:pPr>
              <w:widowControl/>
              <w:spacing w:line="260" w:lineRule="exact"/>
              <w:jc w:val="left"/>
              <w:textAlignment w:val="center"/>
              <w:rPr>
                <w:rStyle w:val="18"/>
                <w:rFonts w:eastAsia="仿宋"/>
                <w:bCs/>
                <w:lang w:bidi="ar"/>
              </w:rPr>
            </w:pPr>
            <w:r>
              <w:rPr>
                <w:rStyle w:val="18"/>
                <w:rFonts w:eastAsia="仿宋"/>
                <w:bCs/>
                <w:lang w:bidi="ar"/>
              </w:rPr>
              <w:t>行业内部数据共享，税务、市场监管、环境保护、公安部门等提供信息，</w:t>
            </w:r>
            <w:r>
              <w:rPr>
                <w:rStyle w:val="43"/>
                <w:rFonts w:ascii="Times New Roman" w:hAnsi="Times New Roman" w:eastAsia="仿宋" w:cs="Times New Roman"/>
                <w:bCs/>
                <w:lang w:bidi="ar"/>
              </w:rPr>
              <w:t>“</w:t>
            </w:r>
            <w:r>
              <w:rPr>
                <w:rStyle w:val="18"/>
                <w:rFonts w:eastAsia="仿宋"/>
                <w:bCs/>
                <w:lang w:bidi="ar"/>
              </w:rPr>
              <w:t>信用中国网站</w:t>
            </w:r>
            <w:r>
              <w:rPr>
                <w:rStyle w:val="43"/>
                <w:rFonts w:ascii="Times New Roman" w:hAnsi="Times New Roman" w:eastAsia="仿宋" w:cs="Times New Roman"/>
                <w:bCs/>
                <w:lang w:bidi="ar"/>
              </w:rPr>
              <w:t>”“</w:t>
            </w:r>
            <w:r>
              <w:rPr>
                <w:rStyle w:val="18"/>
                <w:rFonts w:eastAsia="仿宋"/>
                <w:bCs/>
                <w:lang w:bidi="ar"/>
              </w:rPr>
              <w:t>天眼查</w:t>
            </w:r>
            <w:r>
              <w:rPr>
                <w:rStyle w:val="43"/>
                <w:rFonts w:ascii="Times New Roman" w:hAnsi="Times New Roman" w:eastAsia="仿宋" w:cs="Times New Roman"/>
                <w:bCs/>
                <w:lang w:bidi="ar"/>
              </w:rPr>
              <w:t>”</w:t>
            </w:r>
            <w:r>
              <w:rPr>
                <w:rStyle w:val="18"/>
                <w:rFonts w:eastAsia="仿宋"/>
                <w:bCs/>
                <w:lang w:bidi="ar"/>
              </w:rPr>
              <w:t>等信用信息应用系统核查</w:t>
            </w:r>
          </w:p>
        </w:tc>
        <w:tc>
          <w:tcPr>
            <w:tcW w:w="664" w:type="dxa"/>
            <w:noWrap w:val="0"/>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14</w:t>
            </w:r>
          </w:p>
        </w:tc>
        <w:tc>
          <w:tcPr>
            <w:tcW w:w="1334" w:type="dxa"/>
            <w:vMerge w:val="continue"/>
            <w:noWrap w:val="0"/>
            <w:vAlign w:val="center"/>
          </w:tcPr>
          <w:p>
            <w:pPr>
              <w:widowControl/>
              <w:spacing w:line="260" w:lineRule="exact"/>
              <w:jc w:val="center"/>
              <w:textAlignment w:val="center"/>
              <w:rPr>
                <w:rStyle w:val="18"/>
                <w:rFonts w:eastAsia="仿宋"/>
                <w:bCs/>
                <w:lang w:bidi="ar"/>
              </w:rPr>
            </w:pPr>
          </w:p>
        </w:tc>
        <w:tc>
          <w:tcPr>
            <w:tcW w:w="1245" w:type="dxa"/>
            <w:noWrap w:val="0"/>
            <w:vAlign w:val="center"/>
          </w:tcPr>
          <w:p>
            <w:pPr>
              <w:widowControl/>
              <w:spacing w:line="260" w:lineRule="exact"/>
              <w:jc w:val="center"/>
              <w:textAlignment w:val="center"/>
              <w:rPr>
                <w:rFonts w:eastAsia="仿宋"/>
                <w:bCs/>
                <w:color w:val="000000"/>
                <w:szCs w:val="21"/>
                <w:lang w:bidi="ar"/>
              </w:rPr>
            </w:pPr>
            <w:r>
              <w:rPr>
                <w:rFonts w:eastAsia="仿宋"/>
                <w:bCs/>
                <w:color w:val="000000"/>
                <w:szCs w:val="21"/>
                <w:lang w:bidi="ar"/>
              </w:rPr>
              <w:t>行政处罚情况</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15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在日常监督检查中发现违反相关法规、规章、行业标准等行为受警告、通报批评行政处罚决定的，扣2分/次；受除警告、通报批评外的行政处罚决定的，扣5分/次；</w:t>
            </w:r>
          </w:p>
          <w:p>
            <w:pPr>
              <w:widowControl/>
              <w:spacing w:line="260" w:lineRule="exact"/>
              <w:jc w:val="left"/>
              <w:textAlignment w:val="center"/>
              <w:rPr>
                <w:rFonts w:eastAsia="仿宋"/>
                <w:bCs/>
                <w:color w:val="000000"/>
                <w:szCs w:val="21"/>
                <w:lang w:bidi="ar"/>
              </w:rPr>
            </w:pPr>
            <w:r>
              <w:rPr>
                <w:rStyle w:val="18"/>
                <w:rFonts w:eastAsia="仿宋"/>
                <w:bCs/>
                <w:sz w:val="21"/>
                <w:szCs w:val="21"/>
                <w:lang w:bidi="ar"/>
              </w:rPr>
              <w:t>在考核周期届满时，存在未履行交通运输行政处罚决定的，按照该交通运输行政处罚信用扣分标准，再次扣除相应分数。</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行业内部数据共享，税务、市场监管、环境保护、公安部门等提供信息，</w:t>
            </w:r>
            <w:r>
              <w:rPr>
                <w:rStyle w:val="43"/>
                <w:rFonts w:ascii="Times New Roman" w:hAnsi="Times New Roman" w:eastAsia="仿宋" w:cs="Times New Roman"/>
                <w:bCs/>
                <w:lang w:bidi="ar"/>
              </w:rPr>
              <w:t>“</w:t>
            </w:r>
            <w:r>
              <w:rPr>
                <w:rStyle w:val="18"/>
                <w:rFonts w:eastAsia="仿宋"/>
                <w:bCs/>
                <w:lang w:bidi="ar"/>
              </w:rPr>
              <w:t>信用中国网站</w:t>
            </w:r>
            <w:r>
              <w:rPr>
                <w:rStyle w:val="43"/>
                <w:rFonts w:ascii="Times New Roman" w:hAnsi="Times New Roman" w:eastAsia="仿宋" w:cs="Times New Roman"/>
                <w:bCs/>
                <w:lang w:bidi="ar"/>
              </w:rPr>
              <w:t>”“</w:t>
            </w:r>
            <w:r>
              <w:rPr>
                <w:rStyle w:val="18"/>
                <w:rFonts w:eastAsia="仿宋"/>
                <w:bCs/>
                <w:lang w:bidi="ar"/>
              </w:rPr>
              <w:t>天眼查</w:t>
            </w:r>
            <w:r>
              <w:rPr>
                <w:rStyle w:val="43"/>
                <w:rFonts w:ascii="Times New Roman" w:hAnsi="Times New Roman" w:eastAsia="仿宋" w:cs="Times New Roman"/>
                <w:bCs/>
                <w:lang w:bidi="ar"/>
              </w:rPr>
              <w:t>”</w:t>
            </w:r>
            <w:r>
              <w:rPr>
                <w:rStyle w:val="18"/>
                <w:rFonts w:eastAsia="仿宋"/>
                <w:bCs/>
                <w:lang w:bidi="ar"/>
              </w:rPr>
              <w:t>等信用信息应用系统核查</w:t>
            </w:r>
          </w:p>
        </w:tc>
        <w:tc>
          <w:tcPr>
            <w:tcW w:w="664" w:type="dxa"/>
            <w:noWrap w:val="0"/>
            <w:vAlign w:val="center"/>
          </w:tcPr>
          <w:p>
            <w:pPr>
              <w:spacing w:line="260" w:lineRule="exact"/>
              <w:ind w:firstLine="210" w:firstLineChars="100"/>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15</w:t>
            </w:r>
          </w:p>
        </w:tc>
        <w:tc>
          <w:tcPr>
            <w:tcW w:w="1334" w:type="dxa"/>
            <w:vMerge w:val="continue"/>
            <w:noWrap w:val="0"/>
            <w:vAlign w:val="center"/>
          </w:tcPr>
          <w:p>
            <w:pPr>
              <w:widowControl/>
              <w:spacing w:line="260" w:lineRule="exact"/>
              <w:jc w:val="center"/>
              <w:textAlignment w:val="center"/>
              <w:rPr>
                <w:rStyle w:val="18"/>
                <w:rFonts w:eastAsia="仿宋"/>
                <w:bCs/>
                <w:lang w:bidi="ar"/>
              </w:rPr>
            </w:pPr>
          </w:p>
        </w:tc>
        <w:tc>
          <w:tcPr>
            <w:tcW w:w="1245" w:type="dxa"/>
            <w:noWrap w:val="0"/>
            <w:vAlign w:val="center"/>
          </w:tcPr>
          <w:p>
            <w:pPr>
              <w:widowControl/>
              <w:spacing w:line="260" w:lineRule="exact"/>
              <w:jc w:val="center"/>
              <w:textAlignment w:val="center"/>
              <w:rPr>
                <w:rFonts w:eastAsia="仿宋"/>
                <w:bCs/>
                <w:color w:val="000000"/>
                <w:szCs w:val="21"/>
                <w:lang w:bidi="ar"/>
              </w:rPr>
            </w:pPr>
            <w:r>
              <w:rPr>
                <w:rStyle w:val="18"/>
                <w:rFonts w:eastAsia="仿宋"/>
                <w:bCs/>
                <w:sz w:val="21"/>
                <w:szCs w:val="21"/>
                <w:lang w:bidi="ar"/>
              </w:rPr>
              <w:t>投诉曝光</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p>
          <w:p>
            <w:pPr>
              <w:widowControl/>
              <w:spacing w:line="260" w:lineRule="exact"/>
              <w:jc w:val="left"/>
              <w:textAlignment w:val="center"/>
              <w:rPr>
                <w:rFonts w:eastAsia="仿宋"/>
                <w:bCs/>
                <w:color w:val="000000"/>
                <w:szCs w:val="21"/>
                <w:lang w:bidi="ar"/>
              </w:rPr>
            </w:pPr>
            <w:r>
              <w:rPr>
                <w:rFonts w:eastAsia="仿宋"/>
                <w:bCs/>
                <w:color w:val="000000"/>
                <w:szCs w:val="21"/>
                <w:lang w:bidi="ar"/>
              </w:rPr>
              <w:t>发生服务质量有责投诉的，扣2分/次；因责任事件被媒体曝光或者造成其他重大影响的该项不得分。</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消费者及媒体投诉反映，</w:t>
            </w:r>
            <w:r>
              <w:rPr>
                <w:rStyle w:val="43"/>
                <w:rFonts w:ascii="Times New Roman" w:hAnsi="Times New Roman" w:eastAsia="仿宋" w:cs="Times New Roman"/>
                <w:bCs/>
                <w:lang w:bidi="ar"/>
              </w:rPr>
              <w:t>“</w:t>
            </w:r>
            <w:r>
              <w:rPr>
                <w:rStyle w:val="18"/>
                <w:rFonts w:eastAsia="仿宋"/>
                <w:bCs/>
                <w:lang w:bidi="ar"/>
              </w:rPr>
              <w:t>信用中国网站</w:t>
            </w:r>
            <w:r>
              <w:rPr>
                <w:rStyle w:val="43"/>
                <w:rFonts w:ascii="Times New Roman" w:hAnsi="Times New Roman" w:eastAsia="仿宋" w:cs="Times New Roman"/>
                <w:bCs/>
                <w:lang w:bidi="ar"/>
              </w:rPr>
              <w:t>”“</w:t>
            </w:r>
            <w:r>
              <w:rPr>
                <w:rStyle w:val="18"/>
                <w:rFonts w:eastAsia="仿宋"/>
                <w:bCs/>
                <w:lang w:bidi="ar"/>
              </w:rPr>
              <w:t>天眼查</w:t>
            </w:r>
            <w:r>
              <w:rPr>
                <w:rStyle w:val="43"/>
                <w:rFonts w:ascii="Times New Roman" w:hAnsi="Times New Roman" w:eastAsia="仿宋" w:cs="Times New Roman"/>
                <w:bCs/>
                <w:lang w:bidi="ar"/>
              </w:rPr>
              <w:t>”</w:t>
            </w:r>
            <w:r>
              <w:rPr>
                <w:rStyle w:val="18"/>
                <w:rFonts w:eastAsia="仿宋"/>
                <w:bCs/>
                <w:lang w:bidi="ar"/>
              </w:rPr>
              <w:t>等信用信息应用系统核查</w:t>
            </w:r>
          </w:p>
        </w:tc>
        <w:tc>
          <w:tcPr>
            <w:tcW w:w="664" w:type="dxa"/>
            <w:noWrap w:val="0"/>
            <w:vAlign w:val="center"/>
          </w:tcPr>
          <w:p>
            <w:pPr>
              <w:spacing w:line="260" w:lineRule="exact"/>
              <w:ind w:firstLine="200" w:firstLineChars="100"/>
              <w:jc w:val="left"/>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16</w:t>
            </w:r>
          </w:p>
        </w:tc>
        <w:tc>
          <w:tcPr>
            <w:tcW w:w="1334" w:type="dxa"/>
            <w:vMerge w:val="restart"/>
            <w:noWrap w:val="0"/>
            <w:vAlign w:val="center"/>
          </w:tcPr>
          <w:p>
            <w:pPr>
              <w:widowControl/>
              <w:spacing w:line="260" w:lineRule="exact"/>
              <w:jc w:val="center"/>
              <w:textAlignment w:val="center"/>
              <w:rPr>
                <w:rStyle w:val="18"/>
                <w:rFonts w:eastAsia="仿宋"/>
                <w:bCs/>
                <w:lang w:bidi="ar"/>
              </w:rPr>
            </w:pPr>
            <w:r>
              <w:rPr>
                <w:rStyle w:val="37"/>
                <w:rFonts w:ascii="Times New Roman" w:eastAsia="仿宋" w:cs="Times New Roman"/>
                <w:b w:val="0"/>
                <w:lang w:bidi="ar"/>
              </w:rPr>
              <w:t>加分项目</w:t>
            </w: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表彰奖励</w:t>
            </w:r>
          </w:p>
        </w:tc>
        <w:tc>
          <w:tcPr>
            <w:tcW w:w="674" w:type="dxa"/>
            <w:noWrap w:val="0"/>
            <w:vAlign w:val="center"/>
          </w:tcPr>
          <w:p>
            <w:pPr>
              <w:widowControl/>
              <w:spacing w:line="260" w:lineRule="exact"/>
              <w:jc w:val="center"/>
              <w:textAlignment w:val="center"/>
              <w:rPr>
                <w:rFonts w:eastAsia="仿宋"/>
                <w:bCs/>
                <w:color w:val="000000"/>
                <w:sz w:val="20"/>
              </w:rPr>
            </w:pP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获得区县级表彰的，加0.5分/次；获得市级表彰的，加1分/次；获得国家级表彰的，加2分/次。</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企业提供证明材料</w:t>
            </w:r>
          </w:p>
        </w:tc>
        <w:tc>
          <w:tcPr>
            <w:tcW w:w="664" w:type="dxa"/>
            <w:noWrap w:val="0"/>
            <w:vAlign w:val="center"/>
          </w:tcPr>
          <w:p>
            <w:pPr>
              <w:spacing w:line="260" w:lineRule="exact"/>
              <w:ind w:firstLine="200" w:firstLineChars="100"/>
              <w:jc w:val="left"/>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17</w:t>
            </w:r>
          </w:p>
        </w:tc>
        <w:tc>
          <w:tcPr>
            <w:tcW w:w="1334" w:type="dxa"/>
            <w:vMerge w:val="continue"/>
            <w:noWrap w:val="0"/>
            <w:vAlign w:val="center"/>
          </w:tcPr>
          <w:p>
            <w:pPr>
              <w:widowControl/>
              <w:spacing w:line="260" w:lineRule="exact"/>
              <w:jc w:val="center"/>
              <w:textAlignment w:val="center"/>
              <w:rPr>
                <w:rStyle w:val="18"/>
                <w:rFonts w:eastAsia="仿宋"/>
                <w:bCs/>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表率作用</w:t>
            </w:r>
          </w:p>
        </w:tc>
        <w:tc>
          <w:tcPr>
            <w:tcW w:w="674" w:type="dxa"/>
            <w:noWrap w:val="0"/>
            <w:vAlign w:val="center"/>
          </w:tcPr>
          <w:p>
            <w:pPr>
              <w:widowControl/>
              <w:spacing w:line="260" w:lineRule="exact"/>
              <w:jc w:val="center"/>
              <w:textAlignment w:val="center"/>
              <w:rPr>
                <w:rFonts w:eastAsia="仿宋"/>
                <w:bCs/>
                <w:color w:val="000000"/>
                <w:sz w:val="20"/>
              </w:rPr>
            </w:pPr>
          </w:p>
        </w:tc>
        <w:tc>
          <w:tcPr>
            <w:tcW w:w="7061" w:type="dxa"/>
            <w:gridSpan w:val="2"/>
            <w:noWrap w:val="0"/>
            <w:vAlign w:val="center"/>
          </w:tcPr>
          <w:p>
            <w:pPr>
              <w:widowControl/>
              <w:spacing w:line="260" w:lineRule="exact"/>
              <w:jc w:val="left"/>
              <w:textAlignment w:val="center"/>
              <w:rPr>
                <w:rFonts w:eastAsia="方正仿宋_GBK"/>
                <w:bCs/>
                <w:color w:val="000000"/>
                <w:sz w:val="20"/>
              </w:rPr>
            </w:pPr>
            <w:r>
              <w:rPr>
                <w:rStyle w:val="18"/>
                <w:rFonts w:eastAsia="仿宋"/>
                <w:bCs/>
                <w:sz w:val="21"/>
                <w:szCs w:val="21"/>
                <w:lang w:bidi="ar"/>
              </w:rPr>
              <w:t>完成政府性任务起表率作用的，加1分/次；积极参加抢险救灾支援、义务维修服务、优质服务等具有较大社会影响公益活动的，加0.5分/次。</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企业提供证明材料</w:t>
            </w:r>
          </w:p>
        </w:tc>
        <w:tc>
          <w:tcPr>
            <w:tcW w:w="664" w:type="dxa"/>
            <w:noWrap w:val="0"/>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合计</w:t>
            </w:r>
          </w:p>
        </w:tc>
        <w:tc>
          <w:tcPr>
            <w:tcW w:w="1334" w:type="dxa"/>
            <w:noWrap w:val="0"/>
            <w:vAlign w:val="center"/>
          </w:tcPr>
          <w:p>
            <w:pPr>
              <w:widowControl/>
              <w:spacing w:line="260" w:lineRule="exact"/>
              <w:jc w:val="center"/>
              <w:textAlignment w:val="center"/>
              <w:rPr>
                <w:rStyle w:val="37"/>
                <w:rFonts w:ascii="Times New Roman" w:eastAsia="仿宋" w:cs="Times New Roman"/>
                <w:b w:val="0"/>
                <w:lang w:bidi="ar"/>
              </w:rPr>
            </w:pPr>
            <w:r>
              <w:rPr>
                <w:rStyle w:val="37"/>
                <w:rFonts w:ascii="Times New Roman" w:eastAsia="仿宋" w:cs="Times New Roman"/>
                <w:b w:val="0"/>
                <w:lang w:bidi="ar"/>
              </w:rPr>
              <w:t>100分</w:t>
            </w:r>
          </w:p>
        </w:tc>
        <w:tc>
          <w:tcPr>
            <w:tcW w:w="1245" w:type="dxa"/>
            <w:noWrap w:val="0"/>
            <w:vAlign w:val="center"/>
          </w:tcPr>
          <w:p>
            <w:pPr>
              <w:widowControl/>
              <w:spacing w:line="260" w:lineRule="exact"/>
              <w:jc w:val="center"/>
              <w:textAlignment w:val="center"/>
              <w:rPr>
                <w:rStyle w:val="37"/>
                <w:rFonts w:ascii="Times New Roman" w:eastAsia="仿宋" w:cs="Times New Roman"/>
                <w:b w:val="0"/>
                <w:lang w:bidi="ar"/>
              </w:rPr>
            </w:pP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100分</w:t>
            </w:r>
          </w:p>
        </w:tc>
        <w:tc>
          <w:tcPr>
            <w:tcW w:w="7061" w:type="dxa"/>
            <w:gridSpan w:val="2"/>
            <w:noWrap w:val="0"/>
            <w:vAlign w:val="center"/>
          </w:tcPr>
          <w:p>
            <w:pPr>
              <w:spacing w:line="260" w:lineRule="exact"/>
              <w:rPr>
                <w:rFonts w:eastAsia="仿宋"/>
                <w:bCs/>
                <w:color w:val="000000"/>
                <w:sz w:val="20"/>
              </w:rPr>
            </w:pPr>
          </w:p>
        </w:tc>
        <w:tc>
          <w:tcPr>
            <w:tcW w:w="1982" w:type="dxa"/>
            <w:noWrap w:val="0"/>
            <w:vAlign w:val="center"/>
          </w:tcPr>
          <w:p>
            <w:pPr>
              <w:spacing w:line="260" w:lineRule="exact"/>
              <w:rPr>
                <w:rFonts w:eastAsia="仿宋"/>
                <w:bCs/>
                <w:color w:val="000000"/>
                <w:sz w:val="20"/>
              </w:rPr>
            </w:pPr>
          </w:p>
        </w:tc>
        <w:tc>
          <w:tcPr>
            <w:tcW w:w="664" w:type="dxa"/>
            <w:noWrap w:val="0"/>
            <w:vAlign w:val="center"/>
          </w:tcPr>
          <w:p>
            <w:pPr>
              <w:spacing w:line="260" w:lineRule="exact"/>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0" w:type="dxa"/>
            <w:gridSpan w:val="2"/>
            <w:vMerge w:val="restart"/>
            <w:noWrap w:val="0"/>
            <w:vAlign w:val="center"/>
          </w:tcPr>
          <w:p>
            <w:pPr>
              <w:widowControl/>
              <w:spacing w:line="260" w:lineRule="exact"/>
              <w:jc w:val="center"/>
              <w:textAlignment w:val="center"/>
              <w:rPr>
                <w:rStyle w:val="37"/>
                <w:rFonts w:ascii="Times New Roman" w:eastAsia="仿宋" w:cs="Times New Roman"/>
                <w:b w:val="0"/>
                <w:lang w:bidi="ar"/>
              </w:rPr>
            </w:pPr>
            <w:r>
              <w:rPr>
                <w:rStyle w:val="37"/>
                <w:rFonts w:ascii="Times New Roman" w:eastAsia="仿宋" w:cs="Times New Roman"/>
                <w:b w:val="0"/>
                <w:lang w:bidi="ar"/>
              </w:rPr>
              <w:t>评价结论</w:t>
            </w:r>
          </w:p>
        </w:tc>
        <w:tc>
          <w:tcPr>
            <w:tcW w:w="1245" w:type="dxa"/>
            <w:noWrap w:val="0"/>
            <w:vAlign w:val="center"/>
          </w:tcPr>
          <w:p>
            <w:pPr>
              <w:widowControl/>
              <w:spacing w:line="260" w:lineRule="exact"/>
              <w:jc w:val="center"/>
              <w:textAlignment w:val="center"/>
              <w:rPr>
                <w:rFonts w:eastAsia="仿宋"/>
                <w:bCs/>
                <w:color w:val="000000"/>
                <w:sz w:val="20"/>
              </w:rPr>
            </w:pPr>
            <w:r>
              <w:rPr>
                <w:rStyle w:val="18"/>
                <w:rFonts w:eastAsia="仿宋"/>
                <w:bCs/>
                <w:lang w:bidi="ar"/>
              </w:rPr>
              <w:t>信用等级</w:t>
            </w:r>
          </w:p>
        </w:tc>
        <w:tc>
          <w:tcPr>
            <w:tcW w:w="10381" w:type="dxa"/>
            <w:gridSpan w:val="5"/>
            <w:noWrap w:val="0"/>
            <w:vAlign w:val="center"/>
          </w:tcPr>
          <w:p>
            <w:pPr>
              <w:spacing w:line="260" w:lineRule="exact"/>
              <w:ind w:firstLine="1200" w:firstLineChars="600"/>
              <w:rPr>
                <w:rFonts w:eastAsia="仿宋"/>
                <w:bCs/>
                <w:color w:val="000000"/>
                <w:sz w:val="20"/>
              </w:rPr>
            </w:pPr>
            <w:r>
              <w:rPr>
                <w:rFonts w:eastAsia="仿宋"/>
                <w:bCs/>
                <w:color w:val="000000"/>
                <w:kern w:val="0"/>
                <w:sz w:val="20"/>
                <w:lang w:bidi="ar"/>
              </w:rPr>
              <w:t>AA</w:t>
            </w:r>
            <w:r>
              <w:rPr>
                <w:rStyle w:val="45"/>
                <w:rFonts w:hint="default" w:ascii="Times New Roman" w:hAnsi="Times New Roman" w:eastAsia="仿宋" w:cs="Times New Roman"/>
                <w:bCs/>
                <w:lang w:bidi="ar"/>
              </w:rPr>
              <w:t xml:space="preserve">□ </w:t>
            </w:r>
            <w:r>
              <w:rPr>
                <w:rStyle w:val="44"/>
                <w:rFonts w:hint="default" w:ascii="Times New Roman" w:hAnsi="Times New Roman" w:eastAsia="仿宋" w:cs="Times New Roman"/>
                <w:bCs/>
                <w:lang w:bidi="ar"/>
              </w:rPr>
              <w:t xml:space="preserve">        A</w:t>
            </w:r>
            <w:r>
              <w:rPr>
                <w:rStyle w:val="45"/>
                <w:rFonts w:hint="default" w:ascii="Times New Roman" w:hAnsi="Times New Roman" w:eastAsia="仿宋" w:cs="Times New Roman"/>
                <w:bCs/>
                <w:lang w:bidi="ar"/>
              </w:rPr>
              <w:t>□</w:t>
            </w:r>
            <w:r>
              <w:rPr>
                <w:rStyle w:val="44"/>
                <w:rFonts w:hint="default" w:ascii="Times New Roman" w:hAnsi="Times New Roman" w:eastAsia="仿宋" w:cs="Times New Roman"/>
                <w:bCs/>
                <w:lang w:bidi="ar"/>
              </w:rPr>
              <w:t xml:space="preserve">           B</w:t>
            </w:r>
            <w:r>
              <w:rPr>
                <w:rStyle w:val="45"/>
                <w:rFonts w:hint="default" w:ascii="Times New Roman" w:hAnsi="Times New Roman" w:eastAsia="仿宋" w:cs="Times New Roman"/>
                <w:bCs/>
                <w:lang w:bidi="ar"/>
              </w:rPr>
              <w:t>□</w:t>
            </w:r>
            <w:r>
              <w:rPr>
                <w:rStyle w:val="44"/>
                <w:rFonts w:hint="default" w:ascii="Times New Roman" w:hAnsi="Times New Roman" w:eastAsia="仿宋" w:cs="Times New Roman"/>
                <w:bCs/>
                <w:lang w:bidi="ar"/>
              </w:rPr>
              <w:t xml:space="preserve">           C</w:t>
            </w:r>
            <w:r>
              <w:rPr>
                <w:rStyle w:val="45"/>
                <w:rFonts w:hint="default" w:ascii="Times New Roman" w:hAnsi="Times New Roman" w:eastAsia="仿宋" w:cs="Times New Roman"/>
                <w:bCs/>
                <w:lang w:bidi="ar"/>
              </w:rPr>
              <w:t>□</w:t>
            </w:r>
            <w:r>
              <w:rPr>
                <w:rStyle w:val="44"/>
                <w:rFonts w:hint="default" w:ascii="Times New Roman" w:hAnsi="Times New Roman" w:eastAsia="仿宋" w:cs="Times New Roman"/>
                <w:bCs/>
                <w:lang w:bidi="ar"/>
              </w:rPr>
              <w:t xml:space="preserve">           D</w:t>
            </w:r>
            <w:r>
              <w:rPr>
                <w:rStyle w:val="45"/>
                <w:rFonts w:hint="default" w:ascii="Times New Roman" w:hAnsi="Times New Roman" w:eastAsia="仿宋" w:cs="Times New Roman"/>
                <w:bCs/>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0" w:type="dxa"/>
            <w:gridSpan w:val="2"/>
            <w:vMerge w:val="continue"/>
            <w:noWrap w:val="0"/>
            <w:vAlign w:val="center"/>
          </w:tcPr>
          <w:p>
            <w:pPr>
              <w:widowControl/>
              <w:spacing w:line="260" w:lineRule="exact"/>
              <w:jc w:val="center"/>
              <w:textAlignment w:val="center"/>
              <w:rPr>
                <w:rFonts w:eastAsia="仿宋"/>
                <w:bCs/>
                <w:color w:val="000000"/>
                <w:sz w:val="20"/>
              </w:rPr>
            </w:pPr>
          </w:p>
        </w:tc>
        <w:tc>
          <w:tcPr>
            <w:tcW w:w="1245" w:type="dxa"/>
            <w:noWrap w:val="0"/>
            <w:vAlign w:val="center"/>
          </w:tcPr>
          <w:p>
            <w:pPr>
              <w:widowControl/>
              <w:spacing w:line="260" w:lineRule="exact"/>
              <w:jc w:val="center"/>
              <w:textAlignment w:val="center"/>
              <w:rPr>
                <w:rFonts w:eastAsia="仿宋"/>
                <w:bCs/>
                <w:color w:val="000000"/>
                <w:sz w:val="20"/>
              </w:rPr>
            </w:pPr>
            <w:r>
              <w:rPr>
                <w:rStyle w:val="18"/>
                <w:rFonts w:eastAsia="仿宋"/>
                <w:bCs/>
                <w:lang w:bidi="ar"/>
              </w:rPr>
              <w:t>评价机构</w:t>
            </w:r>
          </w:p>
        </w:tc>
        <w:tc>
          <w:tcPr>
            <w:tcW w:w="10381" w:type="dxa"/>
            <w:gridSpan w:val="5"/>
            <w:noWrap w:val="0"/>
            <w:vAlign w:val="center"/>
          </w:tcPr>
          <w:p>
            <w:pPr>
              <w:spacing w:line="260" w:lineRule="exact"/>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0" w:type="dxa"/>
            <w:gridSpan w:val="2"/>
            <w:vMerge w:val="continue"/>
            <w:noWrap w:val="0"/>
            <w:vAlign w:val="center"/>
          </w:tcPr>
          <w:p>
            <w:pPr>
              <w:widowControl/>
              <w:spacing w:line="260" w:lineRule="exact"/>
              <w:jc w:val="center"/>
              <w:textAlignment w:val="center"/>
              <w:rPr>
                <w:rFonts w:eastAsia="仿宋"/>
                <w:bCs/>
                <w:color w:val="000000"/>
                <w:sz w:val="20"/>
              </w:rPr>
            </w:pPr>
          </w:p>
        </w:tc>
        <w:tc>
          <w:tcPr>
            <w:tcW w:w="1245" w:type="dxa"/>
            <w:noWrap w:val="0"/>
            <w:vAlign w:val="center"/>
          </w:tcPr>
          <w:p>
            <w:pPr>
              <w:widowControl/>
              <w:spacing w:line="260" w:lineRule="exact"/>
              <w:jc w:val="center"/>
              <w:textAlignment w:val="center"/>
              <w:rPr>
                <w:rFonts w:eastAsia="仿宋"/>
                <w:bCs/>
                <w:color w:val="000000"/>
                <w:kern w:val="0"/>
                <w:sz w:val="20"/>
                <w:lang w:bidi="ar"/>
              </w:rPr>
            </w:pPr>
            <w:r>
              <w:rPr>
                <w:rStyle w:val="18"/>
                <w:rFonts w:eastAsia="仿宋"/>
                <w:bCs/>
                <w:lang w:bidi="ar"/>
              </w:rPr>
              <w:t>经</w:t>
            </w:r>
            <w:r>
              <w:rPr>
                <w:rStyle w:val="44"/>
                <w:rFonts w:hint="default" w:ascii="Times New Roman" w:hAnsi="Times New Roman" w:eastAsia="仿宋" w:cs="Times New Roman"/>
                <w:bCs/>
                <w:lang w:bidi="ar"/>
              </w:rPr>
              <w:t xml:space="preserve">  </w:t>
            </w:r>
            <w:r>
              <w:rPr>
                <w:rStyle w:val="18"/>
                <w:rFonts w:eastAsia="仿宋"/>
                <w:bCs/>
                <w:lang w:bidi="ar"/>
              </w:rPr>
              <w:t>办</w:t>
            </w:r>
            <w:r>
              <w:rPr>
                <w:rStyle w:val="44"/>
                <w:rFonts w:hint="default" w:ascii="Times New Roman" w:hAnsi="Times New Roman" w:eastAsia="仿宋" w:cs="Times New Roman"/>
                <w:bCs/>
                <w:lang w:bidi="ar"/>
              </w:rPr>
              <w:t xml:space="preserve">  </w:t>
            </w:r>
            <w:r>
              <w:rPr>
                <w:rStyle w:val="18"/>
                <w:rFonts w:eastAsia="仿宋"/>
                <w:bCs/>
                <w:lang w:bidi="ar"/>
              </w:rPr>
              <w:t>人</w:t>
            </w:r>
          </w:p>
        </w:tc>
        <w:tc>
          <w:tcPr>
            <w:tcW w:w="1579" w:type="dxa"/>
            <w:gridSpan w:val="2"/>
            <w:noWrap w:val="0"/>
            <w:vAlign w:val="center"/>
          </w:tcPr>
          <w:p>
            <w:pPr>
              <w:spacing w:line="260" w:lineRule="exact"/>
              <w:ind w:firstLine="1000" w:firstLineChars="500"/>
              <w:rPr>
                <w:rFonts w:eastAsia="仿宋"/>
                <w:bCs/>
                <w:color w:val="000000"/>
                <w:sz w:val="20"/>
              </w:rPr>
            </w:pPr>
          </w:p>
        </w:tc>
        <w:tc>
          <w:tcPr>
            <w:tcW w:w="6156" w:type="dxa"/>
            <w:noWrap w:val="0"/>
            <w:vAlign w:val="center"/>
          </w:tcPr>
          <w:p>
            <w:pPr>
              <w:spacing w:line="260" w:lineRule="exact"/>
              <w:ind w:firstLine="200" w:firstLineChars="100"/>
              <w:rPr>
                <w:rFonts w:eastAsia="仿宋"/>
                <w:bCs/>
                <w:color w:val="000000"/>
                <w:sz w:val="20"/>
              </w:rPr>
            </w:pPr>
            <w:r>
              <w:rPr>
                <w:rFonts w:eastAsia="仿宋"/>
                <w:bCs/>
                <w:color w:val="000000"/>
                <w:sz w:val="20"/>
              </w:rPr>
              <w:t>评价日期</w:t>
            </w:r>
          </w:p>
        </w:tc>
        <w:tc>
          <w:tcPr>
            <w:tcW w:w="2646" w:type="dxa"/>
            <w:gridSpan w:val="2"/>
            <w:noWrap w:val="0"/>
            <w:vAlign w:val="center"/>
          </w:tcPr>
          <w:p>
            <w:pPr>
              <w:spacing w:line="260" w:lineRule="exact"/>
              <w:ind w:firstLine="800" w:firstLineChars="400"/>
              <w:rPr>
                <w:rFonts w:eastAsia="仿宋"/>
                <w:bCs/>
                <w:color w:val="000000"/>
                <w:sz w:val="20"/>
              </w:rPr>
            </w:pPr>
            <w:r>
              <w:rPr>
                <w:rFonts w:eastAsia="仿宋"/>
                <w:bCs/>
                <w:color w:val="000000"/>
                <w:sz w:val="20"/>
              </w:rPr>
              <w:t>年  月  日</w:t>
            </w:r>
          </w:p>
        </w:tc>
      </w:tr>
    </w:tbl>
    <w:p>
      <w:pPr>
        <w:pStyle w:val="5"/>
        <w:rPr>
          <w:rStyle w:val="18"/>
          <w:rFonts w:eastAsia="仿宋"/>
          <w:sz w:val="21"/>
          <w:szCs w:val="21"/>
          <w:lang w:bidi="ar"/>
        </w:rPr>
      </w:pPr>
      <w:r>
        <w:rPr>
          <w:rStyle w:val="18"/>
          <w:rFonts w:eastAsia="仿宋"/>
          <w:sz w:val="21"/>
          <w:szCs w:val="21"/>
          <w:lang w:bidi="ar"/>
        </w:rPr>
        <w:t>备注：加分项目加分分值上限5分，表彰奖励和表率作用累计加分分值不超过5分。</w:t>
      </w:r>
    </w:p>
    <w:p>
      <w:pPr>
        <w:rPr>
          <w:rStyle w:val="18"/>
          <w:rFonts w:eastAsia="仿宋"/>
          <w:sz w:val="21"/>
          <w:szCs w:val="21"/>
          <w:lang w:bidi="ar"/>
        </w:rPr>
      </w:pPr>
      <w:r>
        <w:rPr>
          <w:rStyle w:val="18"/>
          <w:rFonts w:eastAsia="仿宋"/>
          <w:sz w:val="21"/>
          <w:szCs w:val="21"/>
          <w:lang w:bidi="ar"/>
        </w:rPr>
        <w:br w:type="page"/>
      </w:r>
    </w:p>
    <w:p>
      <w:pPr>
        <w:jc w:val="left"/>
        <w:rPr>
          <w:rFonts w:eastAsia="方正黑体_GBK"/>
          <w:bCs/>
          <w:color w:val="000000"/>
          <w:kern w:val="0"/>
          <w:sz w:val="44"/>
          <w:szCs w:val="44"/>
          <w:lang w:bidi="ar"/>
        </w:rPr>
      </w:pPr>
      <w:r>
        <w:rPr>
          <w:rFonts w:eastAsia="方正黑体_GBK"/>
          <w:color w:val="000000"/>
          <w:sz w:val="32"/>
          <w:szCs w:val="32"/>
        </w:rPr>
        <w:t>附件1-11</w:t>
      </w:r>
    </w:p>
    <w:p>
      <w:pPr>
        <w:spacing w:line="600" w:lineRule="exact"/>
        <w:jc w:val="center"/>
        <w:rPr>
          <w:rFonts w:eastAsia="方正小标宋_GBK"/>
          <w:bCs/>
          <w:color w:val="000000"/>
          <w:kern w:val="0"/>
          <w:sz w:val="44"/>
          <w:szCs w:val="44"/>
          <w:lang w:bidi="ar"/>
        </w:rPr>
      </w:pPr>
      <w:r>
        <w:rPr>
          <w:rFonts w:eastAsia="方正小标宋_GBK"/>
          <w:bCs/>
          <w:color w:val="000000"/>
          <w:kern w:val="0"/>
          <w:sz w:val="44"/>
          <w:szCs w:val="44"/>
          <w:lang w:bidi="ar"/>
        </w:rPr>
        <w:t>重庆市汽车租赁经营者（企业）信用评价标准</w:t>
      </w:r>
    </w:p>
    <w:p>
      <w:pPr>
        <w:spacing w:line="600" w:lineRule="exact"/>
        <w:jc w:val="left"/>
        <w:rPr>
          <w:bCs/>
          <w:color w:val="000000"/>
          <w:kern w:val="0"/>
          <w:sz w:val="32"/>
          <w:szCs w:val="32"/>
          <w:lang w:bidi="ar"/>
        </w:rPr>
      </w:pPr>
      <w:r>
        <w:rPr>
          <w:rFonts w:eastAsia="方正仿宋_GBK"/>
          <w:bCs/>
          <w:color w:val="000000"/>
          <w:kern w:val="0"/>
          <w:sz w:val="28"/>
          <w:szCs w:val="28"/>
          <w:lang w:bidi="ar"/>
        </w:rPr>
        <w:t>被评价企业：                                                            评价年度：</w:t>
      </w:r>
    </w:p>
    <w:tbl>
      <w:tblPr>
        <w:tblStyle w:val="11"/>
        <w:tblW w:w="13794" w:type="dxa"/>
        <w:jc w:val="center"/>
        <w:tblLayout w:type="fixed"/>
        <w:tblCellMar>
          <w:top w:w="0" w:type="dxa"/>
          <w:left w:w="108" w:type="dxa"/>
          <w:bottom w:w="0" w:type="dxa"/>
          <w:right w:w="108" w:type="dxa"/>
        </w:tblCellMar>
      </w:tblPr>
      <w:tblGrid>
        <w:gridCol w:w="555"/>
        <w:gridCol w:w="1280"/>
        <w:gridCol w:w="2089"/>
        <w:gridCol w:w="757"/>
        <w:gridCol w:w="4360"/>
        <w:gridCol w:w="1547"/>
        <w:gridCol w:w="684"/>
        <w:gridCol w:w="1845"/>
        <w:gridCol w:w="677"/>
      </w:tblGrid>
      <w:tr>
        <w:tblPrEx>
          <w:tblCellMar>
            <w:top w:w="0" w:type="dxa"/>
            <w:left w:w="108" w:type="dxa"/>
            <w:bottom w:w="0" w:type="dxa"/>
            <w:right w:w="108" w:type="dxa"/>
          </w:tblCellMar>
        </w:tblPrEx>
        <w:trPr>
          <w:trHeight w:val="339" w:hRule="atLeast"/>
          <w:tblHeader/>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黑体_GBK"/>
                <w:bCs/>
                <w:color w:val="000000"/>
                <w:kern w:val="0"/>
                <w:sz w:val="24"/>
                <w:lang w:bidi="ar"/>
              </w:rPr>
            </w:pPr>
            <w:r>
              <w:rPr>
                <w:rFonts w:eastAsia="方正黑体_GBK"/>
                <w:bCs/>
                <w:color w:val="000000"/>
                <w:kern w:val="0"/>
                <w:sz w:val="24"/>
                <w:lang w:bidi="ar"/>
              </w:rPr>
              <w:t>序号</w:t>
            </w:r>
          </w:p>
        </w:tc>
        <w:tc>
          <w:tcPr>
            <w:tcW w:w="1280" w:type="dxa"/>
            <w:tcBorders>
              <w:top w:val="single" w:color="000000" w:sz="4" w:space="0"/>
              <w:left w:val="single" w:color="auto" w:sz="4" w:space="0"/>
              <w:bottom w:val="single" w:color="auto" w:sz="4" w:space="0"/>
              <w:right w:val="single" w:color="000000" w:sz="4" w:space="0"/>
            </w:tcBorders>
            <w:noWrap w:val="0"/>
            <w:vAlign w:val="center"/>
          </w:tcPr>
          <w:p>
            <w:pPr>
              <w:widowControl/>
              <w:spacing w:line="240" w:lineRule="exact"/>
              <w:jc w:val="center"/>
              <w:textAlignment w:val="center"/>
              <w:rPr>
                <w:rFonts w:eastAsia="方正黑体_GBK"/>
                <w:bCs/>
                <w:color w:val="000000"/>
                <w:kern w:val="0"/>
                <w:sz w:val="24"/>
                <w:lang w:bidi="ar"/>
              </w:rPr>
            </w:pPr>
            <w:r>
              <w:rPr>
                <w:rFonts w:eastAsia="方正黑体_GBK"/>
                <w:bCs/>
                <w:color w:val="000000"/>
                <w:kern w:val="0"/>
                <w:sz w:val="24"/>
                <w:lang w:bidi="ar"/>
              </w:rPr>
              <w:t>一级指标及分值</w:t>
            </w:r>
          </w:p>
        </w:tc>
        <w:tc>
          <w:tcPr>
            <w:tcW w:w="208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lang w:bidi="ar"/>
              </w:rPr>
            </w:pPr>
            <w:r>
              <w:rPr>
                <w:rFonts w:eastAsia="方正黑体_GBK"/>
                <w:bCs/>
                <w:color w:val="000000"/>
                <w:kern w:val="0"/>
                <w:sz w:val="24"/>
                <w:lang w:bidi="ar"/>
              </w:rPr>
              <w:t>二级指标</w:t>
            </w:r>
          </w:p>
        </w:tc>
        <w:tc>
          <w:tcPr>
            <w:tcW w:w="75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lang w:bidi="ar"/>
              </w:rPr>
            </w:pPr>
            <w:r>
              <w:rPr>
                <w:rFonts w:eastAsia="方正黑体_GBK"/>
                <w:bCs/>
                <w:color w:val="000000"/>
                <w:kern w:val="0"/>
                <w:sz w:val="24"/>
                <w:lang w:bidi="ar"/>
              </w:rPr>
              <w:t>分值</w:t>
            </w:r>
          </w:p>
        </w:tc>
        <w:tc>
          <w:tcPr>
            <w:tcW w:w="6591"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黑体_GBK"/>
                <w:bCs/>
                <w:color w:val="000000"/>
                <w:kern w:val="0"/>
                <w:sz w:val="24"/>
                <w:lang w:bidi="ar"/>
              </w:rPr>
            </w:pPr>
            <w:r>
              <w:rPr>
                <w:rFonts w:eastAsia="方正黑体_GBK"/>
                <w:bCs/>
                <w:color w:val="000000"/>
                <w:kern w:val="0"/>
                <w:sz w:val="24"/>
                <w:lang w:bidi="ar"/>
              </w:rPr>
              <w:t>评分标准</w:t>
            </w:r>
          </w:p>
        </w:tc>
        <w:tc>
          <w:tcPr>
            <w:tcW w:w="184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lang w:bidi="ar"/>
              </w:rPr>
            </w:pPr>
            <w:r>
              <w:rPr>
                <w:rFonts w:eastAsia="方正黑体_GBK"/>
                <w:bCs/>
                <w:color w:val="000000"/>
                <w:kern w:val="0"/>
                <w:sz w:val="24"/>
                <w:lang w:bidi="ar"/>
              </w:rPr>
              <w:t>数据来源</w:t>
            </w:r>
          </w:p>
        </w:tc>
        <w:tc>
          <w:tcPr>
            <w:tcW w:w="677" w:type="dxa"/>
            <w:tcBorders>
              <w:top w:val="single" w:color="000000" w:sz="4" w:space="0"/>
              <w:left w:val="nil"/>
              <w:bottom w:val="single" w:color="auto"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lang w:bidi="ar"/>
              </w:rPr>
            </w:pPr>
            <w:r>
              <w:rPr>
                <w:rFonts w:eastAsia="方正黑体_GBK"/>
                <w:szCs w:val="21"/>
              </w:rPr>
              <w:t>得分</w:t>
            </w:r>
          </w:p>
        </w:tc>
      </w:tr>
      <w:tr>
        <w:tblPrEx>
          <w:tblCellMar>
            <w:top w:w="0" w:type="dxa"/>
            <w:left w:w="108" w:type="dxa"/>
            <w:bottom w:w="0" w:type="dxa"/>
            <w:right w:w="108" w:type="dxa"/>
          </w:tblCellMar>
        </w:tblPrEx>
        <w:trPr>
          <w:trHeight w:val="112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1</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经营管理</w:t>
            </w:r>
          </w:p>
          <w:p>
            <w:pPr>
              <w:widowControl/>
              <w:spacing w:line="240" w:lineRule="exact"/>
              <w:jc w:val="center"/>
              <w:textAlignment w:val="center"/>
              <w:rPr>
                <w:rFonts w:eastAsia="方正楷体_GBK"/>
                <w:bCs/>
                <w:color w:val="000000"/>
                <w:sz w:val="22"/>
                <w:szCs w:val="22"/>
              </w:rPr>
            </w:pPr>
            <w:r>
              <w:rPr>
                <w:rFonts w:eastAsia="方正楷体_GBK"/>
                <w:color w:val="000000"/>
                <w:kern w:val="0"/>
                <w:sz w:val="22"/>
                <w:szCs w:val="22"/>
                <w:lang w:bidi="ar"/>
              </w:rPr>
              <w:t>（20分）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落实行业管理要求</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楷体_GBK"/>
                <w:color w:val="000000"/>
                <w:kern w:val="0"/>
                <w:sz w:val="24"/>
                <w:lang w:bidi="ar"/>
              </w:rPr>
              <w:t>10</w:t>
            </w:r>
          </w:p>
        </w:tc>
        <w:tc>
          <w:tcPr>
            <w:tcW w:w="659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eastAsia="方正楷体_GBK"/>
                <w:bCs/>
                <w:color w:val="000000"/>
                <w:sz w:val="24"/>
              </w:rPr>
            </w:pPr>
            <w:r>
              <w:rPr>
                <w:rFonts w:eastAsia="方正仿宋_GBK"/>
                <w:color w:val="000000"/>
                <w:kern w:val="0"/>
                <w:sz w:val="22"/>
                <w:szCs w:val="22"/>
                <w:lang w:bidi="ar"/>
              </w:rPr>
              <w:t>不按照行业管理的要求或者行业自律安排，在落实工作责任或者维护行业运营秩序方面存在问题被交通行业管理部门通报，轻微事项的每次0.5分，情形严重的每次扣1分；被行政管理部门约谈的，每次加扣2分，约谈后仍不整改的，每次加扣3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4"/>
              </w:rPr>
            </w:pPr>
          </w:p>
        </w:tc>
      </w:tr>
      <w:tr>
        <w:tblPrEx>
          <w:tblCellMar>
            <w:top w:w="0" w:type="dxa"/>
            <w:left w:w="108" w:type="dxa"/>
            <w:bottom w:w="0" w:type="dxa"/>
            <w:right w:w="108" w:type="dxa"/>
          </w:tblCellMar>
        </w:tblPrEx>
        <w:trPr>
          <w:trHeight w:val="807"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2</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承诺履行情况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10</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在行政管理事项中按要求作出了承诺但不履行被通报的，每次扣2分；被行政管理部门约谈的，每次加扣2分，经约谈、告诫提醒后仍不履行的，每次加扣3分。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000000"/>
                <w:sz w:val="20"/>
              </w:rPr>
            </w:pPr>
          </w:p>
        </w:tc>
      </w:tr>
      <w:tr>
        <w:tblPrEx>
          <w:tblCellMar>
            <w:top w:w="0" w:type="dxa"/>
            <w:left w:w="108" w:type="dxa"/>
            <w:bottom w:w="0" w:type="dxa"/>
            <w:right w:w="108" w:type="dxa"/>
          </w:tblCellMar>
        </w:tblPrEx>
        <w:trPr>
          <w:trHeight w:val="851"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3</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安全生产</w:t>
            </w:r>
          </w:p>
          <w:p>
            <w:pPr>
              <w:widowControl/>
              <w:spacing w:line="240" w:lineRule="exact"/>
              <w:jc w:val="center"/>
              <w:textAlignment w:val="center"/>
              <w:rPr>
                <w:rFonts w:eastAsia="方正楷体_GBK"/>
                <w:bCs/>
                <w:color w:val="000000"/>
                <w:sz w:val="22"/>
                <w:szCs w:val="22"/>
              </w:rPr>
            </w:pPr>
            <w:r>
              <w:rPr>
                <w:rFonts w:eastAsia="方正楷体_GBK"/>
                <w:color w:val="000000"/>
                <w:kern w:val="0"/>
                <w:sz w:val="22"/>
                <w:szCs w:val="22"/>
                <w:lang w:bidi="ar"/>
              </w:rPr>
              <w:t>（30分）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责任事故伤人率</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15</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承租人承租期间发生安全事故造成人员伤亡，经公安部门认定车辆存在技术问题，或者未按要求保持车辆技术性能完好所采取必要的维护等原因导致的，仅有人员受伤的，每人次扣0.1分；有人员死亡情况的，每死亡1人扣5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公安部门数据共享（年度统计）</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74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4</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安全事故报告情况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5</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发生拖延报告亡人事故（1小时）的，每次扣0.5分；存在瞒报、谎报亡人事故的，每次扣1分。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交通和公安部门数据共享</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92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5</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安全生产隐患整顿</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10</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按要求落实双重预防机制，扣1分；因存在安全生产隐患，被行政部门挂牌或者通报要求整改的，每次扣2分；因存在严重安全生产隐患，被列入重点安全监管名单的，每次扣3分，被处以部分或者全部停业整顿的，每次扣4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公安应急等部门数据共享</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816"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6</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服务质量</w:t>
            </w:r>
          </w:p>
          <w:p>
            <w:pPr>
              <w:widowControl/>
              <w:spacing w:line="240" w:lineRule="exact"/>
              <w:jc w:val="center"/>
              <w:textAlignment w:val="center"/>
              <w:rPr>
                <w:rFonts w:eastAsia="方正楷体_GBK"/>
                <w:bCs/>
                <w:color w:val="000000"/>
                <w:sz w:val="22"/>
                <w:szCs w:val="22"/>
              </w:rPr>
            </w:pPr>
            <w:r>
              <w:rPr>
                <w:rFonts w:eastAsia="方正楷体_GBK"/>
                <w:color w:val="000000"/>
                <w:kern w:val="0"/>
                <w:sz w:val="22"/>
                <w:szCs w:val="22"/>
                <w:lang w:bidi="ar"/>
              </w:rPr>
              <w:t>（30分）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经营服务情况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15</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经营者未按期办理转办的服务投诉的，每件次扣0.2分，未按合同要求等落实服务事项被投诉举报并查实的，每件次扣0.5分；经行政管理部门督促仍不落实的，每件次扣1分。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108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7</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投诉处理及执法检查情况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15</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交通执法部门查处汽车租赁违法违规行为，并依法做出行政处罚的，每件次扣0.5分；因车辆使用性质未变更而对外租赁被交通执法部门查处的，每件次扣1分；被交通部门通报督促整改的，每次扣1.5分。</w:t>
            </w:r>
          </w:p>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在考核周期届满时，存在未履行交通运输行政处罚决定的，按照该交通运输行政处罚信用扣分标准，再次扣除相应分数。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677" w:type="dxa"/>
            <w:tcBorders>
              <w:top w:val="single" w:color="auto" w:sz="4" w:space="0"/>
              <w:left w:val="single" w:color="auto" w:sz="4" w:space="0"/>
              <w:bottom w:val="single" w:color="auto" w:sz="4" w:space="0"/>
              <w:right w:val="single" w:color="auto" w:sz="4" w:space="0"/>
            </w:tcBorders>
            <w:noWrap w:val="0"/>
            <w:vAlign w:val="bottom"/>
          </w:tcPr>
          <w:p>
            <w:pPr>
              <w:widowControl/>
              <w:spacing w:line="24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1049"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8</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社会责任</w:t>
            </w:r>
          </w:p>
          <w:p>
            <w:pPr>
              <w:widowControl/>
              <w:spacing w:line="240" w:lineRule="exact"/>
              <w:jc w:val="center"/>
              <w:textAlignment w:val="center"/>
              <w:rPr>
                <w:rFonts w:eastAsia="方正楷体_GBK"/>
                <w:bCs/>
                <w:color w:val="000000"/>
                <w:sz w:val="22"/>
                <w:szCs w:val="22"/>
              </w:rPr>
            </w:pPr>
            <w:r>
              <w:rPr>
                <w:rFonts w:eastAsia="方正楷体_GBK"/>
                <w:color w:val="000000"/>
                <w:kern w:val="0"/>
                <w:sz w:val="22"/>
                <w:szCs w:val="22"/>
                <w:lang w:bidi="ar"/>
              </w:rPr>
              <w:t>（20分）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公共事件处置情况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10</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发生公共事件，企业不服从政府或者行政管理调度部署的，每次扣2分；经交通行业管理部门约谈仍不履行的，每次扣3分。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市级部门数据共享或动态录入</w:t>
            </w:r>
          </w:p>
        </w:tc>
        <w:tc>
          <w:tcPr>
            <w:tcW w:w="677" w:type="dxa"/>
            <w:tcBorders>
              <w:top w:val="single" w:color="auto" w:sz="4" w:space="0"/>
              <w:left w:val="single" w:color="auto" w:sz="4" w:space="0"/>
              <w:bottom w:val="single" w:color="auto" w:sz="4" w:space="0"/>
              <w:right w:val="single" w:color="auto" w:sz="4" w:space="0"/>
            </w:tcBorders>
            <w:noWrap w:val="0"/>
            <w:vAlign w:val="bottom"/>
          </w:tcPr>
          <w:p>
            <w:pPr>
              <w:widowControl/>
              <w:spacing w:line="24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60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9</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社会信用情况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10</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企业在经营过程中，因企业经营行为违反法律、法规等被除交通行业管理部门外的有关部门启动调查并被处以行政处罚的，每次扣2分。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市级部门数据共享或动态录入</w:t>
            </w:r>
          </w:p>
        </w:tc>
        <w:tc>
          <w:tcPr>
            <w:tcW w:w="677" w:type="dxa"/>
            <w:tcBorders>
              <w:top w:val="single" w:color="auto" w:sz="4" w:space="0"/>
              <w:left w:val="single" w:color="auto" w:sz="4" w:space="0"/>
              <w:bottom w:val="single" w:color="auto" w:sz="4" w:space="0"/>
              <w:right w:val="single" w:color="auto" w:sz="4" w:space="0"/>
            </w:tcBorders>
            <w:noWrap w:val="0"/>
            <w:vAlign w:val="bottom"/>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77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10</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楷体_GBK"/>
                <w:bCs/>
                <w:color w:val="000000"/>
                <w:sz w:val="22"/>
                <w:szCs w:val="22"/>
              </w:rPr>
            </w:pPr>
            <w:r>
              <w:rPr>
                <w:rFonts w:eastAsia="方正楷体_GBK"/>
                <w:color w:val="000000"/>
                <w:kern w:val="0"/>
                <w:sz w:val="22"/>
                <w:szCs w:val="22"/>
                <w:lang w:bidi="ar"/>
              </w:rPr>
              <w:t>加分项目</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行业正面典型及荣誉表彰情况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p>
        </w:tc>
        <w:tc>
          <w:tcPr>
            <w:tcW w:w="659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经营过程中获得了荣誉或者通报表彰的，国家级每次加2分；部级或者市级政府每次加1分；市级部门或者区县政府级加0.5分；区县部门级加0.2分。同一行为多层次表彰的，以最高级别奖励的标准加分。（最高不超过2.5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11</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新闻媒体正面报道</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企业所属工作人员出现好人好事被新闻媒体报道的，国家级每件次加0.5分；市级每件次加0.3分；区县级每件次加0.1分。同一事迹多层次报道的，以最高级别媒体报道的标准加分。（最高不超过2.5分）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677" w:type="dxa"/>
            <w:tcBorders>
              <w:top w:val="single" w:color="auto" w:sz="4" w:space="0"/>
              <w:left w:val="single" w:color="auto" w:sz="4" w:space="0"/>
              <w:bottom w:val="single" w:color="auto" w:sz="4" w:space="0"/>
              <w:right w:val="single" w:color="auto" w:sz="4" w:space="0"/>
            </w:tcBorders>
            <w:noWrap w:val="0"/>
            <w:vAlign w:val="top"/>
          </w:tcPr>
          <w:p>
            <w:pPr>
              <w:pStyle w:val="4"/>
              <w:spacing w:line="240" w:lineRule="exact"/>
              <w:ind w:firstLine="240" w:firstLineChars="100"/>
            </w:pPr>
          </w:p>
        </w:tc>
      </w:tr>
      <w:tr>
        <w:tblPrEx>
          <w:tblCellMar>
            <w:top w:w="0" w:type="dxa"/>
            <w:left w:w="108" w:type="dxa"/>
            <w:bottom w:w="0" w:type="dxa"/>
            <w:right w:w="108" w:type="dxa"/>
          </w:tblCellMar>
        </w:tblPrEx>
        <w:trPr>
          <w:trHeight w:val="402"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楷体_GBK"/>
                <w:bCs/>
                <w:color w:val="000000"/>
                <w:sz w:val="22"/>
                <w:szCs w:val="22"/>
              </w:rPr>
            </w:pPr>
            <w:r>
              <w:rPr>
                <w:rFonts w:eastAsia="方正楷体_GBK"/>
                <w:bCs/>
                <w:color w:val="000000"/>
                <w:sz w:val="22"/>
                <w:szCs w:val="22"/>
              </w:rPr>
              <w:t>合计</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r>
              <w:rPr>
                <w:rFonts w:eastAsia="方正楷体_GBK"/>
                <w:bCs/>
                <w:color w:val="000000"/>
                <w:sz w:val="22"/>
                <w:szCs w:val="22"/>
              </w:rPr>
              <w:t>100分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100分</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284" w:hRule="atLeast"/>
          <w:jc w:val="center"/>
        </w:trPr>
        <w:tc>
          <w:tcPr>
            <w:tcW w:w="1835"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楷体_GBK"/>
                <w:bCs/>
                <w:color w:val="000000"/>
                <w:sz w:val="22"/>
                <w:szCs w:val="22"/>
              </w:rPr>
            </w:pPr>
            <w:r>
              <w:rPr>
                <w:rFonts w:eastAsia="方正楷体_GBK"/>
                <w:bCs/>
                <w:color w:val="000000"/>
                <w:sz w:val="22"/>
                <w:szCs w:val="22"/>
              </w:rPr>
              <w:t>评价结论</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987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284" w:hRule="atLeast"/>
          <w:jc w:val="center"/>
        </w:trPr>
        <w:tc>
          <w:tcPr>
            <w:tcW w:w="183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987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284" w:hRule="atLeast"/>
          <w:jc w:val="center"/>
        </w:trPr>
        <w:tc>
          <w:tcPr>
            <w:tcW w:w="183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1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320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sz w:val="20"/>
              </w:rPr>
            </w:pPr>
            <w:r>
              <w:rPr>
                <w:rFonts w:eastAsia="仿宋_GB2312"/>
                <w:color w:val="000000"/>
                <w:sz w:val="20"/>
              </w:rPr>
              <w:t xml:space="preserve">         年    月    日</w:t>
            </w:r>
          </w:p>
        </w:tc>
      </w:tr>
    </w:tbl>
    <w:p>
      <w:pPr>
        <w:pStyle w:val="5"/>
        <w:rPr>
          <w:rFonts w:hint="eastAsia" w:eastAsia="方正仿宋_GBK"/>
          <w:color w:val="000000"/>
          <w:sz w:val="24"/>
          <w:lang w:eastAsia="zh-CN"/>
        </w:rPr>
      </w:pPr>
      <w:r>
        <w:rPr>
          <w:rFonts w:eastAsia="方正仿宋_GBK"/>
          <w:color w:val="000000"/>
          <w:sz w:val="24"/>
        </w:rPr>
        <w:t>备注：每个考核专项以分项分值为最高扣（加）分，此项扣（加）满最高分后，不再额外增加扣（加）分</w:t>
      </w:r>
      <w:r>
        <w:rPr>
          <w:rFonts w:hint="eastAsia" w:eastAsia="方正仿宋_GBK"/>
          <w:color w:val="000000"/>
          <w:sz w:val="24"/>
          <w:lang w:eastAsia="zh-CN"/>
        </w:rPr>
        <w:t>。</w:t>
      </w:r>
    </w:p>
    <w:p>
      <w:pPr>
        <w:rPr>
          <w:rFonts w:hint="eastAsia" w:eastAsia="方正仿宋_GBK"/>
          <w:color w:val="000000"/>
          <w:sz w:val="24"/>
          <w:lang w:eastAsia="zh-CN"/>
        </w:rPr>
      </w:pPr>
      <w:r>
        <w:rPr>
          <w:rFonts w:hint="eastAsia" w:eastAsia="方正仿宋_GBK"/>
          <w:color w:val="000000"/>
          <w:sz w:val="24"/>
          <w:lang w:eastAsia="zh-CN"/>
        </w:rPr>
        <w:br w:type="page"/>
      </w:r>
    </w:p>
    <w:p>
      <w:pPr>
        <w:jc w:val="left"/>
        <w:rPr>
          <w:rFonts w:eastAsia="方正黑体_GBK"/>
          <w:color w:val="000000"/>
        </w:rPr>
      </w:pPr>
      <w:r>
        <w:rPr>
          <w:rFonts w:eastAsia="方正黑体_GBK"/>
          <w:color w:val="000000"/>
          <w:sz w:val="32"/>
          <w:szCs w:val="32"/>
        </w:rPr>
        <w:t>附件1-12</w:t>
      </w:r>
    </w:p>
    <w:p>
      <w:pPr>
        <w:spacing w:line="600" w:lineRule="exact"/>
        <w:jc w:val="center"/>
        <w:rPr>
          <w:rFonts w:eastAsia="方正小标宋_GBK"/>
          <w:bCs/>
          <w:dstrike/>
          <w:color w:val="000000"/>
          <w:kern w:val="0"/>
          <w:sz w:val="44"/>
          <w:szCs w:val="44"/>
          <w:lang w:bidi="ar"/>
        </w:rPr>
      </w:pPr>
      <w:r>
        <w:rPr>
          <w:rFonts w:eastAsia="方正小标宋_GBK"/>
          <w:bCs/>
          <w:color w:val="000000"/>
          <w:kern w:val="0"/>
          <w:sz w:val="44"/>
          <w:szCs w:val="44"/>
          <w:lang w:bidi="ar"/>
        </w:rPr>
        <w:t>重庆市道路运输从业人员（驾驶员）信用评价（</w:t>
      </w:r>
      <w:r>
        <w:rPr>
          <w:rFonts w:eastAsia="方正小标宋_GBK"/>
          <w:bCs/>
          <w:kern w:val="0"/>
          <w:sz w:val="44"/>
          <w:szCs w:val="44"/>
          <w:lang w:bidi="ar"/>
        </w:rPr>
        <w:t>诚信考核）标准</w:t>
      </w:r>
    </w:p>
    <w:tbl>
      <w:tblPr>
        <w:tblStyle w:val="11"/>
        <w:tblW w:w="139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34"/>
        <w:gridCol w:w="8640"/>
        <w:gridCol w:w="1108"/>
        <w:gridCol w:w="34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tblHeader/>
          <w:jc w:val="center"/>
        </w:trPr>
        <w:tc>
          <w:tcPr>
            <w:tcW w:w="734" w:type="dxa"/>
            <w:noWrap/>
            <w:vAlign w:val="center"/>
          </w:tcPr>
          <w:p>
            <w:pPr>
              <w:overflowPunct w:val="0"/>
              <w:spacing w:line="260" w:lineRule="exact"/>
              <w:contextualSpacing/>
              <w:jc w:val="center"/>
              <w:rPr>
                <w:rFonts w:eastAsia="方正黑体_GBK"/>
                <w:bCs/>
                <w:color w:val="000000"/>
                <w:sz w:val="24"/>
              </w:rPr>
            </w:pPr>
            <w:r>
              <w:rPr>
                <w:rFonts w:eastAsia="方正黑体_GBK"/>
                <w:bCs/>
                <w:color w:val="000000"/>
                <w:sz w:val="24"/>
              </w:rPr>
              <w:t>序号</w:t>
            </w:r>
          </w:p>
        </w:tc>
        <w:tc>
          <w:tcPr>
            <w:tcW w:w="8640" w:type="dxa"/>
            <w:noWrap/>
            <w:vAlign w:val="center"/>
          </w:tcPr>
          <w:p>
            <w:pPr>
              <w:overflowPunct w:val="0"/>
              <w:spacing w:line="260" w:lineRule="exact"/>
              <w:contextualSpacing/>
              <w:jc w:val="center"/>
              <w:rPr>
                <w:rFonts w:eastAsia="方正黑体_GBK"/>
                <w:bCs/>
                <w:color w:val="000000"/>
                <w:sz w:val="24"/>
              </w:rPr>
            </w:pPr>
            <w:r>
              <w:rPr>
                <w:rFonts w:eastAsia="方正黑体_GBK"/>
                <w:bCs/>
                <w:color w:val="000000"/>
                <w:sz w:val="24"/>
              </w:rPr>
              <w:t>计分事项</w:t>
            </w:r>
          </w:p>
        </w:tc>
        <w:tc>
          <w:tcPr>
            <w:tcW w:w="1108" w:type="dxa"/>
            <w:noWrap/>
            <w:vAlign w:val="center"/>
          </w:tcPr>
          <w:p>
            <w:pPr>
              <w:overflowPunct w:val="0"/>
              <w:spacing w:line="260" w:lineRule="exact"/>
              <w:contextualSpacing/>
              <w:jc w:val="center"/>
              <w:rPr>
                <w:rFonts w:eastAsia="方正黑体_GBK"/>
                <w:bCs/>
                <w:color w:val="000000"/>
                <w:sz w:val="24"/>
              </w:rPr>
            </w:pPr>
            <w:r>
              <w:rPr>
                <w:rFonts w:eastAsia="方正黑体_GBK"/>
                <w:bCs/>
                <w:color w:val="000000"/>
                <w:sz w:val="24"/>
              </w:rPr>
              <w:t>计分分值</w:t>
            </w:r>
          </w:p>
        </w:tc>
        <w:tc>
          <w:tcPr>
            <w:tcW w:w="3450" w:type="dxa"/>
            <w:noWrap/>
            <w:vAlign w:val="center"/>
          </w:tcPr>
          <w:p>
            <w:pPr>
              <w:overflowPunct w:val="0"/>
              <w:spacing w:line="260" w:lineRule="exact"/>
              <w:contextualSpacing/>
              <w:jc w:val="center"/>
              <w:rPr>
                <w:rFonts w:eastAsia="方正黑体_GBK"/>
                <w:bCs/>
                <w:color w:val="000000"/>
                <w:sz w:val="24"/>
              </w:rPr>
            </w:pPr>
            <w:r>
              <w:rPr>
                <w:rFonts w:eastAsia="方正黑体_GBK"/>
                <w:bCs/>
                <w:color w:val="000000"/>
                <w:sz w:val="24"/>
              </w:rPr>
              <w:t>信息来源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未取得道路运输经营许可，擅自从事道路运输经营活动的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超越从业资格证件核定范围，从事道路运输活动的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转借、转让、出租、涂改从业资格证、车辆营运证以及其他证件的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发生死亡一人以上交通事故，驾驶人员负同等及以上责任的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本次诚信考核过程中发现其有弄虚作假、隐瞒相关诚信考核情况，且情节严重的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驾驶未取得《道路运输证》的危险货物运输车辆，擅自从事道路危险货物运输的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在危险货物运输过程中发生燃烧、爆炸、污染、中毒或者被盗、丢失、流散、泄漏等事故时，驾驶员未按照要求进行应急处置并报告的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出租汽车驾驶员拾到乘客遗留物品拒不上交的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出租汽车驾驶员拒绝接受依法检查，或者采取故意堵塞交通等方式阻碍行政执法的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出租汽车驾驶员违反法律法规，参与影响社会公共秩序、损害社会公共利益等停运事件的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转让、倒卖、伪造巡游出租汽车相关票据的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网络预约出租汽车驾驶员对举报、投诉其服务质量或者对其服务作出不满意评价的乘客实施报复行为的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驾驶其他道路运输经营者的车辆从事营运的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pStyle w:val="2"/>
              <w:spacing w:after="0" w:line="260" w:lineRule="exact"/>
              <w:ind w:left="0" w:leftChars="0" w:firstLine="0" w:firstLineChars="0"/>
              <w:jc w:val="center"/>
              <w:rPr>
                <w:rFonts w:eastAsia="方正仿宋_GBK"/>
                <w:color w:val="000000"/>
                <w:kern w:val="0"/>
                <w:sz w:val="24"/>
                <w:lang w:bidi="ar"/>
              </w:rPr>
            </w:pPr>
            <w:r>
              <w:rPr>
                <w:rFonts w:eastAsia="方正仿宋_GBK"/>
                <w:color w:val="000000"/>
                <w:kern w:val="0"/>
                <w:sz w:val="24"/>
                <w:lang w:bidi="ar"/>
              </w:rPr>
              <w:t>14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将车辆交给无相应从业资格证的人员从事营运的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破坏卫星定位装置、视频监控装置以及恶意人为干扰、屏蔽卫星定位装置、视频监控装置的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使用失效、伪造、变造的从业资格证，从事道路运输经营活动的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考核周期内，发生一次死亡1人及以上道路运输责任事故，负次要责任的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公安部门数据共享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有受到省级及以上交通运输主管部门通报的服务质量记录的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驾驶未取得《道路运输证》的旅客或者货物运输车辆，从事道路旅客或者货物运输经营活动的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驾驶未取得《超限运输车辆通行证》的车辆，从事超限运输经营活动的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发生突发事件时，客运驾驶员等从业人员未采取措施，妥善安置或有序疏散乘客，先于乘客弃车逃离的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驾驶无包车客运标志牌的车辆，从事客运包车经营的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86"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公共汽车客运驾驶员未按照核准的线路和站点营运，擅自跨线营运的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道路危险货物运输驾驶员不按规定，将危险货物与普通货物混装的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道路危险货物运输驾驶员利用危险货物运输车辆运输食品、生活用品、药品、医疗器具的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起讫点均不在许可的经营区域从事巡游出租汽车经营活动的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接受巡游出租汽车电召任务后未履行约定的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未经约车人或者乘客同意、网络预约出租汽车驾驶员无正当理由未按承诺到达约定地点提供预约服务</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驾驶擅自改装的车辆，从事道路运输经营活动的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有受到设区的市级交通运输主管部门通报的服务质量记录的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驾驶长途客运班车凌晨2时至5时违规运行或者虚假接驳的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公安部门数据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随意上下客、滞站揽客、中途甩客、拒载和倒客</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驾驶无道路客运班线经营许可的车辆，从事班车客运经营的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驾驶客运班车不按批准的客运站点停靠或者不按规定的线路、班次行驶的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道路旅客运输驾驶员在沿途、站外、旅游景区停车场内揽客的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道路旅客运输驾驶员中途甩客或者倒客的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在旅客运输途中擅自变更运输车辆或者将旅客移交他人运输的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驾驶客运包车未按照约定的时间、起始地、目的地或者线路行驶的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未配合汽车客运站执行车辆安全例行检查以及出站检查制度，擅自驾驶客车出站的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危险货物道路运输驾驶员未按照规定悬挂符合国家标准的标志灯和标志牌的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未执行国家和本市出租汽车客运经营服务规范、标准</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overflowPunct w:val="0"/>
              <w:spacing w:line="260" w:lineRule="exact"/>
              <w:contextualSpacing/>
              <w:jc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遮挡、损毁车载智能终端或者车载智能终端具备在线支付功能拒绝乘客使用终端支付运费</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有言行骚扰、侮辱乘客、随地便溺等违背社会公序良俗的行为</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未明示从业服务注册信息</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在未开启空车标志的情况下揽客，或者开启空车标志时拒载</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以预设目的地的方式从事定线运输</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未经乘客同意擅自变更乘客指定的行驶路线</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未经乘客同意，搭载其他乘客</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网络预约出租汽车驾驶员未通过取得经营许可的网络预约出租汽车平台公司获取订单，从事运输服务的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出租汽车驾驶员营运途中甩客或者故意绕道行驶</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在机场、火车站、汽车客运站、港口、公共交通枢纽等客流集散地不服从调度私自揽客的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网络预约出租汽车驾驶员违反规定巡游揽客、站点候客</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实际提供服务车辆、驾驶员与线上提供服务车辆驾驶员不一致的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驾驶未按规定维护、检测的车辆，从事道路运输经营活动的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未按《道路运输从业人员管理规定》及本细则要求参加继续教育的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有受到县级交通运输主管部门通报、行业协会组织公告、有关媒体曝光并经核实的服务质量记录的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驾驶未按规定投保承运人责任险的车辆，从事道路旅客或者危险货物运输经营活动的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疲劳驾驶的，或者客运驾驶员24小时累计驾驶时间超过8个小时，日间连续驾驶超过4个小时，夜间连续驾驶超过2个小时，每次停车休息时间少于20分钟的；道路货物运输驾驶员和道路危险货物运输驾驶员连续驾驶时间超过4个小时，每次停车休息时间少于20分钟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在运营途中发生故障不能继续运营时，未按照乘客意愿安排乘客免费乘坐同线路同方向的公共汽车客运车辆或者未按照票价退还车费</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道路货物运输驾驶员没有采取必要措施防止货物脱落、扬撒的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取得从业资格证的出租汽车驾驶员，未经从业资格注册，从事出租汽车客运服务</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出租汽车驾驶员不按照规定使用文明用语，车容车貌不符合要求的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巡游出租汽车驾驶员不按照规定使用计程计价设备、违规收费或者网络预约出租汽车驾驶员违规收费</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通过12328交通运输服务监督热线受理、12345等地方政务服务便民热线转办的投诉举报，经核实属实且有责的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公共汽车客运驾驶员未为老、弱、病、残、孕和携带婴幼儿的乘客提供必要帮助的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未按规定随车携带《道路客运班线经营信息表》，从事班线客运经营的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未随车携带包车客运标志牌或者包车合同，或者未在规定位置放置班车客运标志牌的，承运国家规定限运、凭证运输的货物未随车携带准运证明或者批准手续的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道路旅客运输驾驶员和道路危险货物运输驾驶员未按照规定填写行车日志的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危险货物道路运输驾驶员未按照规定随车携带危险货物运单、安全卡</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bl>
    <w:p>
      <w:pPr>
        <w:pStyle w:val="5"/>
        <w:rPr>
          <w:rFonts w:hint="eastAsia" w:eastAsia="方正仿宋_GBK"/>
          <w:color w:val="000000"/>
          <w:sz w:val="24"/>
          <w:lang w:val="en-US" w:eastAsia="zh-CN"/>
        </w:rPr>
      </w:pPr>
    </w:p>
    <w:sectPr>
      <w:pgSz w:w="16838" w:h="11906" w:orient="landscape"/>
      <w:pgMar w:top="1587" w:right="1962" w:bottom="1474" w:left="1848" w:header="567" w:footer="624"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ZjQ1NjI4MGZkZWEwNWZkMGZkMzg3MmE5ZmY2Y2Q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3F443B"/>
    <w:rsid w:val="22440422"/>
    <w:rsid w:val="22BB4BBB"/>
    <w:rsid w:val="25EB1AF4"/>
    <w:rsid w:val="2C62672A"/>
    <w:rsid w:val="2C6D42C9"/>
    <w:rsid w:val="2DD05FE1"/>
    <w:rsid w:val="2DF46E8A"/>
    <w:rsid w:val="2EAE3447"/>
    <w:rsid w:val="31A15F24"/>
    <w:rsid w:val="34E23FF7"/>
    <w:rsid w:val="36FB1DF0"/>
    <w:rsid w:val="395347B5"/>
    <w:rsid w:val="39A232A0"/>
    <w:rsid w:val="39E745AA"/>
    <w:rsid w:val="3B5A6BBB"/>
    <w:rsid w:val="3C415A44"/>
    <w:rsid w:val="3CA154E3"/>
    <w:rsid w:val="3EDA13A6"/>
    <w:rsid w:val="3FF56C14"/>
    <w:rsid w:val="406876DB"/>
    <w:rsid w:val="417B75E9"/>
    <w:rsid w:val="42430A63"/>
    <w:rsid w:val="42F058B7"/>
    <w:rsid w:val="436109F6"/>
    <w:rsid w:val="441A38D4"/>
    <w:rsid w:val="4504239D"/>
    <w:rsid w:val="474336DA"/>
    <w:rsid w:val="4BC77339"/>
    <w:rsid w:val="4C9236C5"/>
    <w:rsid w:val="4E250A85"/>
    <w:rsid w:val="4FFD4925"/>
    <w:rsid w:val="505C172E"/>
    <w:rsid w:val="506405EA"/>
    <w:rsid w:val="52F46F0B"/>
    <w:rsid w:val="53196AC6"/>
    <w:rsid w:val="532B6A10"/>
    <w:rsid w:val="539E4E99"/>
    <w:rsid w:val="53D8014D"/>
    <w:rsid w:val="550C209A"/>
    <w:rsid w:val="55E064E0"/>
    <w:rsid w:val="572C6D10"/>
    <w:rsid w:val="5DC34279"/>
    <w:rsid w:val="5FCD688E"/>
    <w:rsid w:val="5FF9BDAA"/>
    <w:rsid w:val="608816D1"/>
    <w:rsid w:val="60EF4E7F"/>
    <w:rsid w:val="648B0A32"/>
    <w:rsid w:val="658F6764"/>
    <w:rsid w:val="665233C1"/>
    <w:rsid w:val="684D1DB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next w:val="5"/>
    <w:uiPriority w:val="0"/>
    <w:pPr>
      <w:widowControl w:val="0"/>
      <w:snapToGrid w:val="0"/>
      <w:spacing w:line="300" w:lineRule="auto"/>
      <w:jc w:val="both"/>
    </w:pPr>
    <w:rPr>
      <w:kern w:val="2"/>
      <w:sz w:val="24"/>
      <w:lang w:val="en-US" w:eastAsia="zh-CN" w:bidi="ar-SA"/>
    </w:rPr>
  </w:style>
  <w:style w:type="paragraph" w:styleId="5">
    <w:name w:val="Balloon Text"/>
    <w:basedOn w:val="1"/>
    <w:semiHidden/>
    <w:qFormat/>
    <w:uiPriority w:val="0"/>
    <w:rPr>
      <w:sz w:val="18"/>
      <w:szCs w:val="18"/>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列出段落1"/>
    <w:basedOn w:val="1"/>
    <w:qFormat/>
    <w:uiPriority w:val="0"/>
    <w:pPr>
      <w:ind w:firstLine="420" w:firstLineChars="200"/>
    </w:pPr>
    <w:rPr>
      <w:szCs w:val="21"/>
    </w:rPr>
  </w:style>
  <w:style w:type="paragraph" w:customStyle="1" w:styleId="17">
    <w:name w:val="Body text|1"/>
    <w:basedOn w:val="1"/>
    <w:qFormat/>
    <w:uiPriority w:val="0"/>
    <w:pPr>
      <w:spacing w:line="406" w:lineRule="auto"/>
      <w:ind w:firstLine="400"/>
    </w:pPr>
    <w:rPr>
      <w:rFonts w:ascii="宋体" w:hAnsi="宋体" w:cs="宋体"/>
      <w:sz w:val="30"/>
      <w:szCs w:val="30"/>
      <w:lang w:val="zh-TW" w:eastAsia="zh-TW" w:bidi="zh-TW"/>
    </w:rPr>
  </w:style>
  <w:style w:type="character" w:customStyle="1" w:styleId="18">
    <w:name w:val="font81"/>
    <w:basedOn w:val="12"/>
    <w:qFormat/>
    <w:uiPriority w:val="0"/>
    <w:rPr>
      <w:rFonts w:hint="default" w:ascii="Times New Roman" w:hAnsi="Times New Roman" w:cs="Times New Roman"/>
      <w:color w:val="000000"/>
      <w:sz w:val="20"/>
      <w:szCs w:val="20"/>
      <w:u w:val="none"/>
    </w:rPr>
  </w:style>
  <w:style w:type="paragraph" w:customStyle="1" w:styleId="19">
    <w:name w:val="Header or footer|1"/>
    <w:basedOn w:val="1"/>
    <w:qFormat/>
    <w:uiPriority w:val="0"/>
    <w:rPr>
      <w:sz w:val="28"/>
      <w:szCs w:val="28"/>
      <w:lang w:val="zh-TW" w:eastAsia="zh-TW" w:bidi="zh-TW"/>
    </w:rPr>
  </w:style>
  <w:style w:type="character" w:customStyle="1" w:styleId="20">
    <w:name w:val="font401"/>
    <w:basedOn w:val="12"/>
    <w:qFormat/>
    <w:uiPriority w:val="0"/>
    <w:rPr>
      <w:rFonts w:hint="eastAsia" w:ascii="方正仿宋_GBK" w:hAnsi="方正仿宋_GBK" w:eastAsia="方正仿宋_GBK" w:cs="方正仿宋_GBK"/>
      <w:color w:val="auto"/>
      <w:sz w:val="28"/>
      <w:szCs w:val="28"/>
      <w:u w:val="none"/>
    </w:rPr>
  </w:style>
  <w:style w:type="character" w:customStyle="1" w:styleId="21">
    <w:name w:val="font421"/>
    <w:basedOn w:val="12"/>
    <w:qFormat/>
    <w:uiPriority w:val="0"/>
    <w:rPr>
      <w:rFonts w:hint="eastAsia" w:ascii="方正楷体_GBK" w:hAnsi="方正楷体_GBK" w:eastAsia="方正楷体_GBK" w:cs="方正楷体_GBK"/>
      <w:color w:val="auto"/>
      <w:sz w:val="24"/>
      <w:szCs w:val="24"/>
      <w:u w:val="none"/>
    </w:rPr>
  </w:style>
  <w:style w:type="character" w:customStyle="1" w:styleId="22">
    <w:name w:val="font431"/>
    <w:basedOn w:val="12"/>
    <w:qFormat/>
    <w:uiPriority w:val="0"/>
    <w:rPr>
      <w:rFonts w:hint="eastAsia" w:ascii="方正楷体_GBK" w:hAnsi="方正楷体_GBK" w:eastAsia="方正楷体_GBK" w:cs="方正楷体_GBK"/>
      <w:color w:val="FF0000"/>
      <w:sz w:val="24"/>
      <w:szCs w:val="24"/>
      <w:u w:val="none"/>
    </w:rPr>
  </w:style>
  <w:style w:type="character" w:customStyle="1" w:styleId="23">
    <w:name w:val="font441"/>
    <w:basedOn w:val="12"/>
    <w:qFormat/>
    <w:uiPriority w:val="0"/>
    <w:rPr>
      <w:rFonts w:hint="eastAsia" w:ascii="方正仿宋_GBK" w:hAnsi="方正仿宋_GBK" w:eastAsia="方正仿宋_GBK" w:cs="方正仿宋_GBK"/>
      <w:color w:val="auto"/>
      <w:sz w:val="22"/>
      <w:szCs w:val="22"/>
      <w:u w:val="none"/>
    </w:rPr>
  </w:style>
  <w:style w:type="character" w:customStyle="1" w:styleId="24">
    <w:name w:val="font451"/>
    <w:basedOn w:val="12"/>
    <w:qFormat/>
    <w:uiPriority w:val="0"/>
    <w:rPr>
      <w:rFonts w:hint="eastAsia" w:ascii="方正楷体_GBK" w:hAnsi="方正楷体_GBK" w:eastAsia="方正楷体_GBK" w:cs="方正楷体_GBK"/>
      <w:color w:val="auto"/>
      <w:sz w:val="22"/>
      <w:szCs w:val="22"/>
      <w:u w:val="none"/>
    </w:rPr>
  </w:style>
  <w:style w:type="character" w:customStyle="1" w:styleId="25">
    <w:name w:val="font141"/>
    <w:basedOn w:val="12"/>
    <w:qFormat/>
    <w:uiPriority w:val="0"/>
    <w:rPr>
      <w:rFonts w:hint="eastAsia" w:ascii="方正仿宋_GBK" w:hAnsi="方正仿宋_GBK" w:eastAsia="方正仿宋_GBK" w:cs="方正仿宋_GBK"/>
      <w:color w:val="FF0000"/>
      <w:sz w:val="24"/>
      <w:szCs w:val="24"/>
      <w:u w:val="none"/>
    </w:rPr>
  </w:style>
  <w:style w:type="character" w:customStyle="1" w:styleId="26">
    <w:name w:val="font101"/>
    <w:basedOn w:val="12"/>
    <w:qFormat/>
    <w:uiPriority w:val="0"/>
    <w:rPr>
      <w:rFonts w:hint="default" w:ascii="Times New Roman" w:hAnsi="Times New Roman" w:cs="Times New Roman"/>
      <w:color w:val="auto"/>
      <w:sz w:val="22"/>
      <w:szCs w:val="22"/>
      <w:u w:val="none"/>
    </w:rPr>
  </w:style>
  <w:style w:type="character" w:customStyle="1" w:styleId="27">
    <w:name w:val="font461"/>
    <w:basedOn w:val="12"/>
    <w:qFormat/>
    <w:uiPriority w:val="0"/>
    <w:rPr>
      <w:rFonts w:hint="eastAsia" w:ascii="方正仿宋_GBK" w:hAnsi="方正仿宋_GBK" w:eastAsia="方正仿宋_GBK" w:cs="方正仿宋_GBK"/>
      <w:color w:val="auto"/>
      <w:sz w:val="22"/>
      <w:szCs w:val="22"/>
      <w:u w:val="none"/>
    </w:rPr>
  </w:style>
  <w:style w:type="character" w:customStyle="1" w:styleId="28">
    <w:name w:val="font471"/>
    <w:basedOn w:val="12"/>
    <w:qFormat/>
    <w:uiPriority w:val="0"/>
    <w:rPr>
      <w:rFonts w:hint="eastAsia" w:ascii="方正楷体_GBK" w:hAnsi="方正楷体_GBK" w:eastAsia="方正楷体_GBK" w:cs="方正楷体_GBK"/>
      <w:color w:val="auto"/>
      <w:sz w:val="22"/>
      <w:szCs w:val="22"/>
      <w:u w:val="none"/>
    </w:rPr>
  </w:style>
  <w:style w:type="character" w:customStyle="1" w:styleId="29">
    <w:name w:val="font481"/>
    <w:basedOn w:val="12"/>
    <w:uiPriority w:val="0"/>
    <w:rPr>
      <w:rFonts w:hint="eastAsia" w:ascii="方正仿宋_GBK" w:hAnsi="方正仿宋_GBK" w:eastAsia="方正仿宋_GBK" w:cs="方正仿宋_GBK"/>
      <w:color w:val="FF0000"/>
      <w:sz w:val="24"/>
      <w:szCs w:val="24"/>
      <w:u w:val="none"/>
    </w:rPr>
  </w:style>
  <w:style w:type="character" w:customStyle="1" w:styleId="30">
    <w:name w:val="font221"/>
    <w:basedOn w:val="12"/>
    <w:qFormat/>
    <w:uiPriority w:val="0"/>
    <w:rPr>
      <w:rFonts w:hint="eastAsia" w:ascii="方正仿宋_GBK" w:hAnsi="方正仿宋_GBK" w:eastAsia="方正仿宋_GBK" w:cs="方正仿宋_GBK"/>
      <w:color w:val="000000"/>
      <w:sz w:val="28"/>
      <w:szCs w:val="28"/>
      <w:u w:val="none"/>
    </w:rPr>
  </w:style>
  <w:style w:type="character" w:customStyle="1" w:styleId="31">
    <w:name w:val="font231"/>
    <w:basedOn w:val="12"/>
    <w:qFormat/>
    <w:uiPriority w:val="0"/>
    <w:rPr>
      <w:rFonts w:ascii="方正楷体_GBK" w:hAnsi="方正楷体_GBK" w:eastAsia="方正楷体_GBK" w:cs="方正楷体_GBK"/>
      <w:color w:val="000000"/>
      <w:sz w:val="24"/>
      <w:szCs w:val="24"/>
      <w:u w:val="none"/>
    </w:rPr>
  </w:style>
  <w:style w:type="character" w:customStyle="1" w:styleId="32">
    <w:name w:val="font241"/>
    <w:basedOn w:val="12"/>
    <w:qFormat/>
    <w:uiPriority w:val="0"/>
    <w:rPr>
      <w:rFonts w:hint="eastAsia" w:ascii="方正楷体_GBK" w:hAnsi="方正楷体_GBK" w:eastAsia="方正楷体_GBK" w:cs="方正楷体_GBK"/>
      <w:color w:val="000000"/>
      <w:sz w:val="22"/>
      <w:szCs w:val="22"/>
      <w:u w:val="none"/>
    </w:rPr>
  </w:style>
  <w:style w:type="character" w:customStyle="1" w:styleId="33">
    <w:name w:val="font251"/>
    <w:basedOn w:val="12"/>
    <w:qFormat/>
    <w:uiPriority w:val="0"/>
    <w:rPr>
      <w:rFonts w:hint="eastAsia" w:ascii="宋体" w:hAnsi="宋体" w:eastAsia="宋体" w:cs="宋体"/>
      <w:color w:val="000000"/>
      <w:sz w:val="22"/>
      <w:szCs w:val="22"/>
      <w:u w:val="none"/>
    </w:rPr>
  </w:style>
  <w:style w:type="character" w:customStyle="1" w:styleId="34">
    <w:name w:val="font261"/>
    <w:basedOn w:val="12"/>
    <w:qFormat/>
    <w:uiPriority w:val="0"/>
    <w:rPr>
      <w:rFonts w:hint="eastAsia" w:ascii="方正楷体_GBK" w:hAnsi="方正楷体_GBK" w:eastAsia="方正楷体_GBK" w:cs="方正楷体_GBK"/>
      <w:color w:val="000000"/>
      <w:sz w:val="40"/>
      <w:szCs w:val="40"/>
      <w:u w:val="none"/>
    </w:rPr>
  </w:style>
  <w:style w:type="character" w:customStyle="1" w:styleId="35">
    <w:name w:val="font151"/>
    <w:basedOn w:val="12"/>
    <w:qFormat/>
    <w:uiPriority w:val="0"/>
    <w:rPr>
      <w:rFonts w:hint="eastAsia" w:ascii="方正仿宋_GBK" w:hAnsi="方正仿宋_GBK" w:eastAsia="方正仿宋_GBK" w:cs="方正仿宋_GBK"/>
      <w:color w:val="FF0000"/>
      <w:sz w:val="22"/>
      <w:szCs w:val="22"/>
      <w:u w:val="none"/>
    </w:rPr>
  </w:style>
  <w:style w:type="character" w:customStyle="1" w:styleId="36">
    <w:name w:val="font161"/>
    <w:basedOn w:val="12"/>
    <w:qFormat/>
    <w:uiPriority w:val="0"/>
    <w:rPr>
      <w:rFonts w:hint="eastAsia" w:ascii="方正仿宋_GBK" w:hAnsi="方正仿宋_GBK" w:eastAsia="方正仿宋_GBK" w:cs="方正仿宋_GBK"/>
      <w:color w:val="FF0000"/>
      <w:sz w:val="22"/>
      <w:szCs w:val="22"/>
      <w:u w:val="none"/>
    </w:rPr>
  </w:style>
  <w:style w:type="character" w:customStyle="1" w:styleId="37">
    <w:name w:val="font11"/>
    <w:basedOn w:val="12"/>
    <w:qFormat/>
    <w:uiPriority w:val="0"/>
    <w:rPr>
      <w:rFonts w:hint="default" w:ascii="仿宋_GB2312" w:eastAsia="仿宋_GB2312" w:cs="仿宋_GB2312"/>
      <w:b/>
      <w:bCs/>
      <w:color w:val="000000"/>
      <w:sz w:val="21"/>
      <w:szCs w:val="21"/>
      <w:u w:val="none"/>
    </w:rPr>
  </w:style>
  <w:style w:type="character" w:customStyle="1" w:styleId="38">
    <w:name w:val="font112"/>
    <w:basedOn w:val="12"/>
    <w:qFormat/>
    <w:uiPriority w:val="0"/>
    <w:rPr>
      <w:rFonts w:hint="eastAsia" w:ascii="方正仿宋_GBK" w:hAnsi="方正仿宋_GBK" w:eastAsia="方正仿宋_GBK" w:cs="方正仿宋_GBK"/>
      <w:color w:val="000000"/>
      <w:sz w:val="20"/>
      <w:szCs w:val="20"/>
      <w:u w:val="none"/>
    </w:rPr>
  </w:style>
  <w:style w:type="character" w:customStyle="1" w:styleId="39">
    <w:name w:val="font281"/>
    <w:basedOn w:val="12"/>
    <w:qFormat/>
    <w:uiPriority w:val="0"/>
    <w:rPr>
      <w:rFonts w:hint="eastAsia" w:ascii="方正仿宋_GBK" w:hAnsi="方正仿宋_GBK" w:eastAsia="方正仿宋_GBK" w:cs="方正仿宋_GBK"/>
      <w:color w:val="000000"/>
      <w:sz w:val="22"/>
      <w:szCs w:val="22"/>
      <w:u w:val="none"/>
    </w:rPr>
  </w:style>
  <w:style w:type="character" w:customStyle="1" w:styleId="40">
    <w:name w:val="font291"/>
    <w:basedOn w:val="12"/>
    <w:qFormat/>
    <w:uiPriority w:val="0"/>
    <w:rPr>
      <w:rFonts w:hint="eastAsia" w:ascii="方正仿宋_GBK" w:hAnsi="方正仿宋_GBK" w:eastAsia="方正仿宋_GBK" w:cs="方正仿宋_GBK"/>
      <w:color w:val="FF0000"/>
      <w:sz w:val="24"/>
      <w:szCs w:val="24"/>
      <w:u w:val="none"/>
    </w:rPr>
  </w:style>
  <w:style w:type="paragraph" w:customStyle="1" w:styleId="41">
    <w:name w:val="表格"/>
    <w:basedOn w:val="1"/>
    <w:qFormat/>
    <w:uiPriority w:val="0"/>
    <w:pPr>
      <w:widowControl/>
      <w:jc w:val="left"/>
    </w:pPr>
    <w:rPr>
      <w:bCs/>
      <w:iCs/>
      <w:color w:val="000000"/>
      <w:kern w:val="0"/>
      <w:sz w:val="24"/>
    </w:rPr>
  </w:style>
  <w:style w:type="character" w:customStyle="1" w:styleId="42">
    <w:name w:val="font01"/>
    <w:basedOn w:val="12"/>
    <w:qFormat/>
    <w:uiPriority w:val="0"/>
    <w:rPr>
      <w:rFonts w:hint="eastAsia" w:ascii="方正仿宋_GBK" w:hAnsi="方正仿宋_GBK" w:eastAsia="方正仿宋_GBK" w:cs="方正仿宋_GBK"/>
      <w:color w:val="FF0000"/>
      <w:sz w:val="22"/>
      <w:szCs w:val="22"/>
      <w:u w:val="none"/>
    </w:rPr>
  </w:style>
  <w:style w:type="character" w:customStyle="1" w:styleId="43">
    <w:name w:val="font21"/>
    <w:basedOn w:val="12"/>
    <w:qFormat/>
    <w:uiPriority w:val="0"/>
    <w:rPr>
      <w:rFonts w:ascii="方正楷体_GBK" w:hAnsi="方正楷体_GBK" w:eastAsia="方正楷体_GBK" w:cs="方正楷体_GBK"/>
      <w:color w:val="000000"/>
      <w:sz w:val="24"/>
      <w:szCs w:val="24"/>
      <w:u w:val="none"/>
    </w:rPr>
  </w:style>
  <w:style w:type="character" w:customStyle="1" w:styleId="44">
    <w:name w:val="font71"/>
    <w:basedOn w:val="12"/>
    <w:qFormat/>
    <w:uiPriority w:val="0"/>
    <w:rPr>
      <w:rFonts w:hint="eastAsia" w:ascii="方正仿宋_GBK" w:hAnsi="方正仿宋_GBK" w:eastAsia="方正仿宋_GBK" w:cs="方正仿宋_GBK"/>
      <w:color w:val="000000"/>
      <w:sz w:val="20"/>
      <w:szCs w:val="20"/>
      <w:u w:val="none"/>
    </w:rPr>
  </w:style>
  <w:style w:type="character" w:customStyle="1" w:styleId="45">
    <w:name w:val="font91"/>
    <w:basedOn w:val="12"/>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2024-11-13T06:17:58Z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5F4E22659D7042FDA20B5670E1FF19BE_13</vt:lpwstr>
  </property>
</Properties>
</file>