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hint="eastAsia" w:ascii="黑体" w:eastAsia="黑体"/>
          <w:sz w:val="52"/>
        </w:rPr>
      </w:pP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政府采购</w:t>
      </w: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招 标 文 件</w:t>
      </w: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spacing w:line="500" w:lineRule="exact"/>
        <w:outlineLvl w:val="0"/>
        <w:rPr>
          <w:rFonts w:ascii="方正小标宋_GBK" w:hAnsi="宋体" w:eastAsia="方正小标宋_GBK"/>
          <w:sz w:val="32"/>
        </w:rPr>
      </w:pPr>
      <w:r>
        <w:rPr>
          <w:rFonts w:hint="eastAsia" w:ascii="方正小标宋_GBK" w:hAnsi="宋体" w:eastAsia="方正小标宋_GBK"/>
          <w:sz w:val="32"/>
        </w:rPr>
        <w:t xml:space="preserve">      招标项目编号：HC2020公17</w:t>
      </w:r>
    </w:p>
    <w:p>
      <w:pPr>
        <w:pStyle w:val="25"/>
        <w:spacing w:line="500" w:lineRule="exact"/>
        <w:outlineLvl w:val="0"/>
        <w:rPr>
          <w:rFonts w:ascii="方正小标宋_GBK" w:hAnsi="宋体" w:eastAsia="方正小标宋_GBK"/>
          <w:sz w:val="32"/>
        </w:rPr>
      </w:pPr>
      <w:r>
        <w:rPr>
          <w:rFonts w:hint="eastAsia" w:ascii="方正小标宋_GBK" w:hAnsi="宋体" w:eastAsia="方正小标宋_GBK"/>
          <w:sz w:val="32"/>
        </w:rPr>
        <w:t>采购计划编号：20A00308</w:t>
      </w:r>
    </w:p>
    <w:p>
      <w:pPr>
        <w:pStyle w:val="25"/>
        <w:spacing w:line="500" w:lineRule="exact"/>
        <w:ind w:left="0"/>
        <w:jc w:val="center"/>
        <w:outlineLvl w:val="0"/>
        <w:rPr>
          <w:rFonts w:hint="eastAsia" w:ascii="方正小标宋_GBK" w:hAnsi="宋体" w:eastAsia="方正小标宋_GBK"/>
          <w:sz w:val="32"/>
        </w:rPr>
      </w:pPr>
      <w:r>
        <w:rPr>
          <w:rFonts w:hint="eastAsia" w:ascii="方正小标宋_GBK" w:hAnsi="宋体" w:eastAsia="方正小标宋_GBK"/>
          <w:sz w:val="32"/>
        </w:rPr>
        <w:t xml:space="preserve">      招标项目名称：重庆市合川区人民医院数据中心核心设备及配套软件采购</w:t>
      </w: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pStyle w:val="25"/>
        <w:spacing w:line="500" w:lineRule="exact"/>
        <w:ind w:left="0"/>
        <w:jc w:val="center"/>
        <w:rPr>
          <w:rFonts w:hint="eastAsia" w:eastAsia="黑体"/>
          <w:sz w:val="32"/>
        </w:rPr>
      </w:pPr>
    </w:p>
    <w:p>
      <w:pPr>
        <w:spacing w:line="500" w:lineRule="exact"/>
        <w:jc w:val="center"/>
        <w:rPr>
          <w:rFonts w:hint="eastAsia"/>
          <w:sz w:val="32"/>
        </w:rPr>
      </w:pPr>
    </w:p>
    <w:p>
      <w:pPr>
        <w:spacing w:line="500" w:lineRule="exact"/>
        <w:jc w:val="center"/>
        <w:rPr>
          <w:rFonts w:hint="eastAsia"/>
          <w:sz w:val="32"/>
        </w:rPr>
      </w:pPr>
    </w:p>
    <w:p>
      <w:pPr>
        <w:spacing w:line="500" w:lineRule="exact"/>
        <w:outlineLvl w:val="0"/>
        <w:rPr>
          <w:rFonts w:hint="eastAsia" w:ascii="方正小标宋_GBK" w:eastAsia="方正小标宋_GBK"/>
          <w:sz w:val="36"/>
        </w:rPr>
      </w:pPr>
      <w:r>
        <w:rPr>
          <w:rFonts w:hint="eastAsia" w:ascii="方正小标宋_GBK" w:eastAsia="方正小标宋_GBK"/>
          <w:sz w:val="36"/>
        </w:rPr>
        <w:t xml:space="preserve">      采购人：</w:t>
      </w:r>
      <w:r>
        <w:rPr>
          <w:rFonts w:hint="eastAsia" w:ascii="方正小标宋_GBK" w:eastAsia="方正小标宋_GBK"/>
          <w:sz w:val="36"/>
          <w:szCs w:val="22"/>
        </w:rPr>
        <w:t>重庆市</w:t>
      </w:r>
      <w:r>
        <w:rPr>
          <w:rFonts w:hint="eastAsia" w:ascii="方正小标宋_GBK" w:eastAsia="方正小标宋_GBK"/>
          <w:sz w:val="36"/>
        </w:rPr>
        <w:t xml:space="preserve">合川区人民医院 </w:t>
      </w:r>
    </w:p>
    <w:p>
      <w:pPr>
        <w:spacing w:line="500" w:lineRule="exact"/>
        <w:outlineLvl w:val="0"/>
        <w:rPr>
          <w:rFonts w:hint="eastAsia" w:ascii="方正小标宋_GBK" w:eastAsia="方正小标宋_GBK"/>
          <w:sz w:val="36"/>
        </w:rPr>
      </w:pPr>
      <w:r>
        <w:rPr>
          <w:rFonts w:hint="eastAsia" w:ascii="方正小标宋_GBK" w:eastAsia="方正小标宋_GBK"/>
          <w:sz w:val="36"/>
        </w:rPr>
        <w:t xml:space="preserve">      集中采购机构：重庆市合川区公共资源交易中心 </w:t>
      </w:r>
    </w:p>
    <w:p>
      <w:pPr>
        <w:snapToGrid w:val="0"/>
        <w:spacing w:line="500" w:lineRule="exact"/>
        <w:jc w:val="center"/>
        <w:rPr>
          <w:rFonts w:hint="eastAsia" w:ascii="方正小标宋_GBK" w:eastAsia="方正小标宋_GBK"/>
          <w:sz w:val="36"/>
        </w:rPr>
      </w:pPr>
    </w:p>
    <w:p>
      <w:pPr>
        <w:snapToGrid w:val="0"/>
        <w:spacing w:line="500" w:lineRule="exact"/>
        <w:jc w:val="center"/>
        <w:rPr>
          <w:rFonts w:hint="eastAsia" w:ascii="方正黑体_GBK" w:eastAsia="方正黑体_GBK"/>
          <w:sz w:val="44"/>
        </w:rPr>
      </w:pPr>
      <w:r>
        <w:rPr>
          <w:rFonts w:hint="eastAsia" w:ascii="方正黑体_GBK" w:eastAsia="方正黑体_GBK"/>
          <w:sz w:val="44"/>
        </w:rPr>
        <w:t>二○二一年一月</w:t>
      </w:r>
    </w:p>
    <w:p>
      <w:pPr>
        <w:snapToGrid w:val="0"/>
        <w:spacing w:line="500" w:lineRule="exact"/>
        <w:rPr>
          <w:rFonts w:hint="eastAsia" w:eastAsia="黑体"/>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500" w:lineRule="exact"/>
        <w:jc w:val="center"/>
        <w:rPr>
          <w:rFonts w:hint="eastAsia" w:ascii="方正黑体_GBK" w:eastAsia="方正黑体_GBK"/>
          <w:sz w:val="44"/>
        </w:rPr>
      </w:pPr>
      <w:r>
        <w:rPr>
          <w:rFonts w:hint="eastAsia" w:ascii="方正黑体_GBK" w:eastAsia="方正黑体_GBK"/>
          <w:sz w:val="44"/>
        </w:rPr>
        <w:t>目  录</w:t>
      </w:r>
    </w:p>
    <w:p>
      <w:pPr>
        <w:pStyle w:val="38"/>
        <w:ind w:firstLine="210"/>
        <w:rPr>
          <w:sz w:val="21"/>
          <w:szCs w:val="22"/>
          <w:lang w:val="en-US" w:eastAsia="zh-CN"/>
        </w:rPr>
      </w:pP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TOC \o "1-2" \h \z </w:instrText>
      </w:r>
      <w:r>
        <w:rPr>
          <w:rFonts w:hint="eastAsia" w:ascii="方正仿宋_GBK" w:hAnsi="宋体" w:eastAsia="方正仿宋_GBK"/>
          <w:sz w:val="21"/>
          <w:szCs w:val="21"/>
        </w:rPr>
        <w:fldChar w:fldCharType="separate"/>
      </w:r>
      <w:r>
        <w:fldChar w:fldCharType="begin"/>
      </w:r>
      <w:r>
        <w:instrText xml:space="preserve"> HYPERLINK \l "_Toc441065652" </w:instrText>
      </w:r>
      <w:r>
        <w:fldChar w:fldCharType="separate"/>
      </w:r>
      <w:r>
        <w:rPr>
          <w:rStyle w:val="66"/>
          <w:rFonts w:hint="eastAsia" w:ascii="方正小标宋_GBK" w:eastAsia="方正小标宋_GBK"/>
          <w:u w:val="none"/>
        </w:rPr>
        <w:t>第一篇</w:t>
      </w:r>
      <w:r>
        <w:rPr>
          <w:sz w:val="21"/>
          <w:szCs w:val="22"/>
          <w:lang w:val="en-US" w:eastAsia="zh-CN"/>
        </w:rPr>
        <w:tab/>
      </w:r>
      <w:r>
        <w:rPr>
          <w:rStyle w:val="66"/>
          <w:rFonts w:hint="eastAsia" w:ascii="方正小标宋_GBK" w:eastAsia="方正小标宋_GBK"/>
          <w:u w:val="none"/>
        </w:rPr>
        <w:t>投标邀请书</w:t>
      </w:r>
      <w:r>
        <w:tab/>
      </w:r>
      <w:r>
        <w:fldChar w:fldCharType="begin"/>
      </w:r>
      <w:r>
        <w:instrText xml:space="preserve"> PAGEREF _Toc441065652 \h </w:instrText>
      </w:r>
      <w:r>
        <w:fldChar w:fldCharType="separate"/>
      </w:r>
      <w:r>
        <w:t>- 3 -</w:t>
      </w:r>
      <w:r>
        <w:fldChar w:fldCharType="end"/>
      </w:r>
      <w:r>
        <w:fldChar w:fldCharType="end"/>
      </w:r>
    </w:p>
    <w:p>
      <w:pPr>
        <w:pStyle w:val="46"/>
        <w:ind w:right="-255"/>
        <w:rPr>
          <w:sz w:val="21"/>
          <w:szCs w:val="22"/>
          <w:lang w:val="en-US" w:eastAsia="zh-CN"/>
        </w:rPr>
      </w:pPr>
      <w:r>
        <w:fldChar w:fldCharType="begin"/>
      </w:r>
      <w:r>
        <w:instrText xml:space="preserve"> HYPERLINK \l "_Toc441065653" </w:instrText>
      </w:r>
      <w:r>
        <w:fldChar w:fldCharType="separate"/>
      </w:r>
      <w:r>
        <w:rPr>
          <w:rStyle w:val="66"/>
          <w:rFonts w:hint="eastAsia" w:ascii="方正仿宋_GBK" w:eastAsia="方正仿宋_GBK"/>
          <w:b/>
          <w:u w:val="none"/>
          <w:lang w:val="en-US" w:eastAsia="zh-CN"/>
        </w:rPr>
        <w:t>一、招标项目内容</w:t>
      </w:r>
      <w:r>
        <w:rPr>
          <w:lang w:val="en-US" w:eastAsia="zh-CN"/>
        </w:rPr>
        <w:tab/>
      </w:r>
      <w:r>
        <w:rPr>
          <w:lang w:val="en-US" w:eastAsia="zh-CN"/>
        </w:rPr>
        <w:fldChar w:fldCharType="begin"/>
      </w:r>
      <w:r>
        <w:rPr>
          <w:lang w:val="en-US" w:eastAsia="zh-CN"/>
        </w:rPr>
        <w:instrText xml:space="preserve"> PAGEREF _Toc441065653 \h </w:instrText>
      </w:r>
      <w:r>
        <w:rPr>
          <w:lang w:val="en-US" w:eastAsia="zh-CN"/>
        </w:rPr>
        <w:fldChar w:fldCharType="separate"/>
      </w:r>
      <w:r>
        <w:rPr>
          <w:lang w:val="en-US" w:eastAsia="zh-CN"/>
        </w:rPr>
        <w:t>- 3 -</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"_Toc441065654" </w:instrText>
      </w:r>
      <w:r>
        <w:fldChar w:fldCharType="separate"/>
      </w:r>
      <w:r>
        <w:rPr>
          <w:rStyle w:val="66"/>
          <w:rFonts w:hint="eastAsia" w:ascii="方正仿宋_GBK" w:eastAsia="方正仿宋_GBK"/>
          <w:b/>
          <w:u w:val="none"/>
          <w:lang w:val="en-US" w:eastAsia="zh-CN"/>
        </w:rPr>
        <w:t>二、资金来源</w:t>
      </w:r>
      <w:r>
        <w:rPr>
          <w:lang w:val="en-US" w:eastAsia="zh-CN"/>
        </w:rPr>
        <w:tab/>
      </w:r>
      <w:r>
        <w:rPr>
          <w:lang w:val="en-US" w:eastAsia="zh-CN"/>
        </w:rPr>
        <w:fldChar w:fldCharType="begin"/>
      </w:r>
      <w:r>
        <w:rPr>
          <w:lang w:val="en-US" w:eastAsia="zh-CN"/>
        </w:rPr>
        <w:instrText xml:space="preserve"> PAGEREF _Toc441065654 \h </w:instrText>
      </w:r>
      <w:r>
        <w:rPr>
          <w:lang w:val="en-US" w:eastAsia="zh-CN"/>
        </w:rPr>
        <w:fldChar w:fldCharType="separate"/>
      </w:r>
      <w:r>
        <w:rPr>
          <w:lang w:val="en-US" w:eastAsia="zh-CN"/>
        </w:rPr>
        <w:t>- 3 -</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"_Toc441065655" </w:instrText>
      </w:r>
      <w:r>
        <w:fldChar w:fldCharType="separate"/>
      </w:r>
      <w:r>
        <w:rPr>
          <w:rStyle w:val="66"/>
          <w:rFonts w:hint="eastAsia" w:ascii="方正仿宋_GBK" w:eastAsia="方正仿宋_GBK"/>
          <w:b/>
          <w:u w:val="none"/>
          <w:lang w:val="en-US" w:eastAsia="zh-CN"/>
        </w:rPr>
        <w:t>三、投标人资格要求</w:t>
      </w:r>
      <w:r>
        <w:rPr>
          <w:lang w:val="en-US" w:eastAsia="zh-CN"/>
        </w:rPr>
        <w:tab/>
      </w:r>
      <w:r>
        <w:rPr>
          <w:lang w:val="en-US" w:eastAsia="zh-CN"/>
        </w:rPr>
        <w:fldChar w:fldCharType="begin"/>
      </w:r>
      <w:r>
        <w:rPr>
          <w:lang w:val="en-US" w:eastAsia="zh-CN"/>
        </w:rPr>
        <w:instrText xml:space="preserve"> PAGEREF _Toc441065655 \h </w:instrText>
      </w:r>
      <w:r>
        <w:rPr>
          <w:lang w:val="en-US" w:eastAsia="zh-CN"/>
        </w:rPr>
        <w:fldChar w:fldCharType="separate"/>
      </w:r>
      <w:r>
        <w:rPr>
          <w:lang w:val="en-US" w:eastAsia="zh-CN"/>
        </w:rPr>
        <w:t>- 3 -</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"_Toc441065656" </w:instrText>
      </w:r>
      <w:r>
        <w:fldChar w:fldCharType="separate"/>
      </w:r>
      <w:r>
        <w:rPr>
          <w:rStyle w:val="66"/>
          <w:rFonts w:hint="eastAsia" w:ascii="方正仿宋_GBK" w:eastAsia="方正仿宋_GBK"/>
          <w:b/>
          <w:u w:val="none"/>
          <w:lang w:val="en-US" w:eastAsia="zh-CN"/>
        </w:rPr>
        <w:t>四、投标、开标有关说明</w:t>
      </w:r>
      <w:r>
        <w:rPr>
          <w:lang w:val="en-US" w:eastAsia="zh-CN"/>
        </w:rPr>
        <w:tab/>
      </w:r>
      <w:r>
        <w:rPr>
          <w:lang w:val="en-US" w:eastAsia="zh-CN"/>
        </w:rPr>
        <w:fldChar w:fldCharType="begin"/>
      </w:r>
      <w:r>
        <w:rPr>
          <w:lang w:val="en-US" w:eastAsia="zh-CN"/>
        </w:rPr>
        <w:instrText xml:space="preserve"> PAGEREF _Toc441065656 \h </w:instrText>
      </w:r>
      <w:r>
        <w:rPr>
          <w:lang w:val="en-US" w:eastAsia="zh-CN"/>
        </w:rPr>
        <w:fldChar w:fldCharType="separate"/>
      </w:r>
      <w:r>
        <w:rPr>
          <w:lang w:val="en-US" w:eastAsia="zh-CN"/>
        </w:rPr>
        <w:t>- 3 -</w:t>
      </w:r>
      <w:r>
        <w:rPr>
          <w:lang w:val="en-US" w:eastAsia="zh-CN"/>
        </w:rPr>
        <w:fldChar w:fldCharType="end"/>
      </w:r>
      <w:r>
        <w:rPr>
          <w:lang w:val="en-US" w:eastAsia="zh-CN"/>
        </w:rPr>
        <w:fldChar w:fldCharType="end"/>
      </w:r>
    </w:p>
    <w:p>
      <w:pPr>
        <w:pStyle w:val="46"/>
        <w:ind w:right="-255"/>
        <w:rPr>
          <w:rFonts w:hint="eastAsia"/>
          <w:szCs w:val="22"/>
          <w:lang w:val="en-US" w:eastAsia="zh-CN"/>
        </w:rPr>
      </w:pPr>
      <w:r>
        <w:fldChar w:fldCharType="begin"/>
      </w:r>
      <w:r>
        <w:instrText xml:space="preserve"> HYPERLINK \l "_Toc441065657" </w:instrText>
      </w:r>
      <w:r>
        <w:fldChar w:fldCharType="separate"/>
      </w:r>
      <w:r>
        <w:rPr>
          <w:rFonts w:hint="eastAsia"/>
          <w:b/>
          <w:bCs/>
          <w:szCs w:val="22"/>
          <w:lang w:val="en-US" w:eastAsia="zh-CN"/>
        </w:rPr>
        <w:t>五、投标保证金</w:t>
      </w:r>
      <w:r>
        <w:rPr>
          <w:rFonts w:hint="eastAsia"/>
          <w:szCs w:val="22"/>
          <w:lang w:val="en-US" w:eastAsia="zh-CN"/>
        </w:rPr>
        <w:tab/>
      </w:r>
      <w:r>
        <w:rPr>
          <w:rFonts w:hint="eastAsia"/>
          <w:szCs w:val="22"/>
          <w:lang w:val="en-US" w:eastAsia="zh-CN"/>
        </w:rPr>
        <w:fldChar w:fldCharType="begin"/>
      </w:r>
      <w:r>
        <w:rPr>
          <w:rFonts w:hint="eastAsia"/>
          <w:szCs w:val="22"/>
          <w:lang w:val="en-US" w:eastAsia="zh-CN"/>
        </w:rPr>
        <w:instrText xml:space="preserve"> PAGEREF _Toc441065657 \h </w:instrText>
      </w:r>
      <w:r>
        <w:rPr>
          <w:rFonts w:hint="eastAsia"/>
          <w:szCs w:val="22"/>
          <w:lang w:val="en-US" w:eastAsia="zh-CN"/>
        </w:rPr>
        <w:fldChar w:fldCharType="separate"/>
      </w:r>
      <w:r>
        <w:rPr>
          <w:szCs w:val="22"/>
          <w:lang w:val="en-US" w:eastAsia="zh-CN"/>
        </w:rPr>
        <w:t>- 4 -</w:t>
      </w:r>
      <w:r>
        <w:rPr>
          <w:rFonts w:hint="eastAsia"/>
          <w:szCs w:val="22"/>
          <w:lang w:val="en-US" w:eastAsia="zh-CN"/>
        </w:rPr>
        <w:fldChar w:fldCharType="end"/>
      </w:r>
      <w:r>
        <w:rPr>
          <w:rFonts w:hint="eastAsia"/>
          <w:szCs w:val="22"/>
          <w:lang w:val="en-US" w:eastAsia="zh-CN"/>
        </w:rPr>
        <w:fldChar w:fldCharType="end"/>
      </w:r>
    </w:p>
    <w:p>
      <w:pPr>
        <w:pStyle w:val="46"/>
        <w:ind w:right="-255"/>
        <w:rPr>
          <w:rFonts w:hint="eastAsia"/>
          <w:szCs w:val="22"/>
          <w:lang w:val="en-US" w:eastAsia="zh-CN"/>
        </w:rPr>
      </w:pPr>
      <w:r>
        <w:fldChar w:fldCharType="begin"/>
      </w:r>
      <w:r>
        <w:instrText xml:space="preserve"> HYPERLINK \l "_Toc493506283" </w:instrText>
      </w:r>
      <w:r>
        <w:fldChar w:fldCharType="separate"/>
      </w:r>
      <w:r>
        <w:rPr>
          <w:rFonts w:hint="eastAsia"/>
          <w:b/>
          <w:bCs/>
          <w:szCs w:val="22"/>
        </w:rPr>
        <w:t>六、采购项目需落实的政府采购政策</w:t>
      </w:r>
      <w:r>
        <w:rPr>
          <w:rFonts w:hint="eastAsia"/>
          <w:szCs w:val="22"/>
        </w:rPr>
        <w:tab/>
      </w:r>
      <w:r>
        <w:rPr>
          <w:rFonts w:hint="eastAsia"/>
          <w:szCs w:val="22"/>
        </w:rPr>
        <w:fldChar w:fldCharType="begin"/>
      </w:r>
      <w:r>
        <w:rPr>
          <w:rFonts w:hint="eastAsia"/>
          <w:szCs w:val="22"/>
        </w:rPr>
        <w:instrText xml:space="preserve"> PAGEREF _Toc493506283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Fonts w:hint="eastAsia"/>
          <w:szCs w:val="22"/>
          <w:lang w:val="en-US" w:eastAsia="zh-CN"/>
        </w:rPr>
      </w:pPr>
      <w:r>
        <w:fldChar w:fldCharType="begin"/>
      </w:r>
      <w:r>
        <w:instrText xml:space="preserve"> HYPERLINK \l "_Toc441065658" </w:instrText>
      </w:r>
      <w:r>
        <w:fldChar w:fldCharType="separate"/>
      </w:r>
      <w:r>
        <w:rPr>
          <w:rFonts w:hint="eastAsia"/>
          <w:b/>
          <w:bCs/>
          <w:szCs w:val="22"/>
          <w:lang w:val="en-US" w:eastAsia="zh-CN"/>
        </w:rPr>
        <w:t>七、投标有关规定</w:t>
      </w:r>
      <w:r>
        <w:rPr>
          <w:rFonts w:hint="eastAsia"/>
          <w:szCs w:val="22"/>
          <w:lang w:val="en-US" w:eastAsia="zh-CN"/>
        </w:rPr>
        <w:tab/>
      </w:r>
      <w:r>
        <w:rPr>
          <w:rFonts w:hint="eastAsia"/>
          <w:szCs w:val="22"/>
          <w:lang w:val="en-US" w:eastAsia="zh-CN"/>
        </w:rPr>
        <w:fldChar w:fldCharType="begin"/>
      </w:r>
      <w:r>
        <w:rPr>
          <w:rFonts w:hint="eastAsia"/>
          <w:szCs w:val="22"/>
          <w:lang w:val="en-US" w:eastAsia="zh-CN"/>
        </w:rPr>
        <w:instrText xml:space="preserve"> PAGEREF _Toc441065658 \h </w:instrText>
      </w:r>
      <w:r>
        <w:rPr>
          <w:rFonts w:hint="eastAsia"/>
          <w:szCs w:val="22"/>
          <w:lang w:val="en-US" w:eastAsia="zh-CN"/>
        </w:rPr>
        <w:fldChar w:fldCharType="separate"/>
      </w:r>
      <w:r>
        <w:rPr>
          <w:szCs w:val="22"/>
          <w:lang w:val="en-US" w:eastAsia="zh-CN"/>
        </w:rPr>
        <w:t>- 5 -</w:t>
      </w:r>
      <w:r>
        <w:rPr>
          <w:rFonts w:hint="eastAsia"/>
          <w:szCs w:val="22"/>
          <w:lang w:val="en-US" w:eastAsia="zh-CN"/>
        </w:rPr>
        <w:fldChar w:fldCharType="end"/>
      </w:r>
      <w:r>
        <w:rPr>
          <w:rFonts w:hint="eastAsia"/>
          <w:szCs w:val="22"/>
          <w:lang w:val="en-US" w:eastAsia="zh-CN"/>
        </w:rPr>
        <w:fldChar w:fldCharType="end"/>
      </w:r>
    </w:p>
    <w:p>
      <w:pPr>
        <w:pStyle w:val="46"/>
        <w:ind w:right="-255"/>
        <w:rPr>
          <w:sz w:val="21"/>
          <w:szCs w:val="22"/>
          <w:lang w:val="en-US" w:eastAsia="zh-CN"/>
        </w:rPr>
      </w:pPr>
      <w:r>
        <w:fldChar w:fldCharType="begin"/>
      </w:r>
      <w:r>
        <w:instrText xml:space="preserve"> HYPERLINK \l "_Toc441065659" </w:instrText>
      </w:r>
      <w:r>
        <w:fldChar w:fldCharType="separate"/>
      </w:r>
      <w:r>
        <w:rPr>
          <w:rStyle w:val="66"/>
          <w:rFonts w:hint="eastAsia" w:ascii="方正仿宋_GBK" w:eastAsia="方正仿宋_GBK"/>
          <w:b/>
          <w:u w:val="none"/>
          <w:lang w:val="en-US" w:eastAsia="zh-CN"/>
        </w:rPr>
        <w:t>八、联系方式</w:t>
      </w:r>
      <w:r>
        <w:rPr>
          <w:lang w:val="en-US" w:eastAsia="zh-CN"/>
        </w:rPr>
        <w:tab/>
      </w:r>
      <w:r>
        <w:rPr>
          <w:lang w:val="en-US" w:eastAsia="zh-CN"/>
        </w:rPr>
        <w:fldChar w:fldCharType="begin"/>
      </w:r>
      <w:r>
        <w:rPr>
          <w:lang w:val="en-US" w:eastAsia="zh-CN"/>
        </w:rPr>
        <w:instrText xml:space="preserve"> PAGEREF _Toc441065659 \h </w:instrText>
      </w:r>
      <w:r>
        <w:rPr>
          <w:lang w:val="en-US" w:eastAsia="zh-CN"/>
        </w:rPr>
        <w:fldChar w:fldCharType="separate"/>
      </w:r>
      <w:r>
        <w:rPr>
          <w:lang w:val="en-US" w:eastAsia="zh-CN"/>
        </w:rPr>
        <w:t>- 6 -</w:t>
      </w:r>
      <w:r>
        <w:rPr>
          <w:lang w:val="en-US" w:eastAsia="zh-CN"/>
        </w:rPr>
        <w:fldChar w:fldCharType="end"/>
      </w:r>
      <w:r>
        <w:rPr>
          <w:lang w:val="en-US" w:eastAsia="zh-CN"/>
        </w:rPr>
        <w:fldChar w:fldCharType="end"/>
      </w:r>
    </w:p>
    <w:p>
      <w:pPr>
        <w:pStyle w:val="38"/>
        <w:rPr>
          <w:sz w:val="21"/>
          <w:szCs w:val="22"/>
          <w:lang w:val="en-US" w:eastAsia="zh-CN"/>
        </w:rPr>
      </w:pPr>
      <w:r>
        <w:fldChar w:fldCharType="begin"/>
      </w:r>
      <w:r>
        <w:instrText xml:space="preserve"> HYPERLINK \l "_Toc441065660" </w:instrText>
      </w:r>
      <w:r>
        <w:fldChar w:fldCharType="separate"/>
      </w:r>
      <w:r>
        <w:rPr>
          <w:rStyle w:val="66"/>
          <w:rFonts w:hint="eastAsia" w:ascii="方正小标宋_GBK" w:eastAsia="方正小标宋_GBK"/>
          <w:u w:val="none"/>
        </w:rPr>
        <w:t>第二篇</w:t>
      </w:r>
      <w:r>
        <w:rPr>
          <w:rStyle w:val="66"/>
          <w:rFonts w:ascii="方正小标宋_GBK" w:eastAsia="方正小标宋_GBK"/>
          <w:u w:val="none"/>
        </w:rPr>
        <w:t xml:space="preserve"> </w:t>
      </w:r>
      <w:r>
        <w:rPr>
          <w:rStyle w:val="66"/>
          <w:rFonts w:hint="eastAsia" w:ascii="方正小标宋_GBK" w:eastAsia="方正小标宋_GBK"/>
          <w:u w:val="none"/>
        </w:rPr>
        <w:t>项目技术规格、数量及质量要求</w:t>
      </w:r>
      <w:r>
        <w:tab/>
      </w:r>
      <w:r>
        <w:fldChar w:fldCharType="begin"/>
      </w:r>
      <w:r>
        <w:instrText xml:space="preserve"> PAGEREF _Toc441065660 \h </w:instrText>
      </w:r>
      <w:r>
        <w:fldChar w:fldCharType="separate"/>
      </w:r>
      <w:r>
        <w:t>- 7 -</w:t>
      </w:r>
      <w:r>
        <w:fldChar w:fldCharType="end"/>
      </w:r>
      <w:r>
        <w:fldChar w:fldCharType="end"/>
      </w:r>
    </w:p>
    <w:p>
      <w:pPr>
        <w:pStyle w:val="46"/>
        <w:ind w:right="-255"/>
        <w:rPr>
          <w:sz w:val="21"/>
          <w:szCs w:val="22"/>
          <w:lang w:val="en-US" w:eastAsia="zh-CN"/>
        </w:rPr>
      </w:pPr>
      <w:r>
        <w:fldChar w:fldCharType="begin"/>
      </w:r>
      <w:r>
        <w:instrText xml:space="preserve"> HYPERLINK \l "_Toc441065661" </w:instrText>
      </w:r>
      <w:r>
        <w:fldChar w:fldCharType="separate"/>
      </w:r>
      <w:r>
        <w:rPr>
          <w:rStyle w:val="66"/>
          <w:rFonts w:hint="eastAsia" w:ascii="方正仿宋_GBK" w:eastAsia="方正仿宋_GBK"/>
          <w:b/>
          <w:u w:val="none"/>
          <w:lang w:val="en-US" w:eastAsia="zh-CN"/>
        </w:rPr>
        <w:t>一、招标项目一览表</w:t>
      </w:r>
      <w:r>
        <w:rPr>
          <w:lang w:val="en-US" w:eastAsia="zh-CN"/>
        </w:rPr>
        <w:tab/>
      </w:r>
      <w:r>
        <w:rPr>
          <w:lang w:val="en-US" w:eastAsia="zh-CN"/>
        </w:rPr>
        <w:fldChar w:fldCharType="begin"/>
      </w:r>
      <w:r>
        <w:rPr>
          <w:lang w:val="en-US" w:eastAsia="zh-CN"/>
        </w:rPr>
        <w:instrText xml:space="preserve"> PAGEREF _Toc441065661 \h </w:instrText>
      </w:r>
      <w:r>
        <w:rPr>
          <w:lang w:val="en-US" w:eastAsia="zh-CN"/>
        </w:rPr>
        <w:fldChar w:fldCharType="separate"/>
      </w:r>
      <w:r>
        <w:rPr>
          <w:lang w:val="en-US" w:eastAsia="zh-CN"/>
        </w:rPr>
        <w:t>- 7 -</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"_Toc441065662" </w:instrText>
      </w:r>
      <w:r>
        <w:fldChar w:fldCharType="separate"/>
      </w:r>
      <w:r>
        <w:rPr>
          <w:rStyle w:val="66"/>
          <w:rFonts w:hint="eastAsia" w:ascii="方正仿宋_GBK" w:eastAsia="方正仿宋_GBK"/>
          <w:b/>
          <w:u w:val="none"/>
          <w:lang w:val="en-US" w:eastAsia="zh-CN"/>
        </w:rPr>
        <w:t>二、招标项目技术需求</w:t>
      </w:r>
      <w:r>
        <w:rPr>
          <w:lang w:val="en-US" w:eastAsia="zh-CN"/>
        </w:rPr>
        <w:tab/>
      </w:r>
      <w:r>
        <w:rPr>
          <w:lang w:val="en-US" w:eastAsia="zh-CN"/>
        </w:rPr>
        <w:fldChar w:fldCharType="begin"/>
      </w:r>
      <w:r>
        <w:rPr>
          <w:lang w:val="en-US" w:eastAsia="zh-CN"/>
        </w:rPr>
        <w:instrText xml:space="preserve"> PAGEREF _Toc441065662 \h </w:instrText>
      </w:r>
      <w:r>
        <w:rPr>
          <w:lang w:val="en-US" w:eastAsia="zh-CN"/>
        </w:rPr>
        <w:fldChar w:fldCharType="separate"/>
      </w:r>
      <w:r>
        <w:rPr>
          <w:lang w:val="en-US" w:eastAsia="zh-CN"/>
        </w:rPr>
        <w:t>- 7 -</w:t>
      </w:r>
      <w:r>
        <w:rPr>
          <w:lang w:val="en-US" w:eastAsia="zh-CN"/>
        </w:rPr>
        <w:fldChar w:fldCharType="end"/>
      </w:r>
      <w:r>
        <w:rPr>
          <w:lang w:val="en-US" w:eastAsia="zh-CN"/>
        </w:rPr>
        <w:fldChar w:fldCharType="end"/>
      </w:r>
    </w:p>
    <w:p>
      <w:pPr>
        <w:pStyle w:val="38"/>
        <w:rPr>
          <w:sz w:val="21"/>
          <w:szCs w:val="22"/>
          <w:lang w:val="en-US" w:eastAsia="zh-CN"/>
        </w:rPr>
      </w:pPr>
      <w:r>
        <w:fldChar w:fldCharType="begin"/>
      </w:r>
      <w:r>
        <w:instrText xml:space="preserve"> HYPERLINK \l "_Toc441065665" </w:instrText>
      </w:r>
      <w:r>
        <w:fldChar w:fldCharType="separate"/>
      </w:r>
      <w:r>
        <w:rPr>
          <w:rStyle w:val="66"/>
          <w:rFonts w:hint="eastAsia" w:ascii="方正小标宋_GBK" w:eastAsia="方正小标宋_GBK"/>
          <w:u w:val="none"/>
        </w:rPr>
        <w:t>第三篇</w:t>
      </w:r>
      <w:r>
        <w:rPr>
          <w:rStyle w:val="66"/>
          <w:rFonts w:ascii="方正小标宋_GBK" w:eastAsia="方正小标宋_GBK"/>
          <w:u w:val="none"/>
        </w:rPr>
        <w:t xml:space="preserve">  </w:t>
      </w:r>
      <w:r>
        <w:rPr>
          <w:rStyle w:val="66"/>
          <w:rFonts w:hint="eastAsia" w:ascii="方正小标宋_GBK" w:eastAsia="方正小标宋_GBK"/>
          <w:u w:val="none"/>
        </w:rPr>
        <w:t>项目商务要求</w:t>
      </w:r>
      <w:r>
        <w:tab/>
      </w:r>
      <w:r>
        <w:fldChar w:fldCharType="begin"/>
      </w:r>
      <w:r>
        <w:instrText xml:space="preserve"> PAGEREF _Toc441065665 \h </w:instrText>
      </w:r>
      <w:r>
        <w:fldChar w:fldCharType="separate"/>
      </w:r>
      <w:r>
        <w:t>- 7 -</w:t>
      </w:r>
      <w:r>
        <w:fldChar w:fldCharType="end"/>
      </w:r>
      <w:r>
        <w:fldChar w:fldCharType="end"/>
      </w:r>
    </w:p>
    <w:p>
      <w:pPr>
        <w:pStyle w:val="46"/>
        <w:ind w:right="-255"/>
        <w:rPr>
          <w:sz w:val="21"/>
          <w:szCs w:val="22"/>
          <w:lang w:val="en-US" w:eastAsia="zh-CN"/>
        </w:rPr>
      </w:pPr>
      <w:r>
        <w:fldChar w:fldCharType="begin"/>
      </w:r>
      <w:r>
        <w:instrText xml:space="preserve"> HYPERLINK \l "_Toc441065666" </w:instrText>
      </w:r>
      <w:r>
        <w:fldChar w:fldCharType="separate"/>
      </w:r>
      <w:r>
        <w:rPr>
          <w:rStyle w:val="66"/>
          <w:rFonts w:hint="eastAsia" w:ascii="方正仿宋_GBK" w:eastAsia="方正仿宋_GBK"/>
          <w:b/>
          <w:u w:val="none"/>
          <w:lang w:val="en-US" w:eastAsia="zh-CN"/>
        </w:rPr>
        <w:t>一、交货期（或为：实施时间）、地点及验收方式</w:t>
      </w:r>
      <w:r>
        <w:rPr>
          <w:lang w:val="en-US" w:eastAsia="zh-CN"/>
        </w:rPr>
        <w:tab/>
      </w:r>
      <w:r>
        <w:rPr>
          <w:lang w:val="en-US" w:eastAsia="zh-CN"/>
        </w:rPr>
        <w:fldChar w:fldCharType="begin"/>
      </w:r>
      <w:r>
        <w:rPr>
          <w:lang w:val="en-US" w:eastAsia="zh-CN"/>
        </w:rPr>
        <w:instrText xml:space="preserve"> PAGEREF _Toc441065666 \h </w:instrText>
      </w:r>
      <w:r>
        <w:rPr>
          <w:lang w:val="en-US" w:eastAsia="zh-CN"/>
        </w:rPr>
        <w:fldChar w:fldCharType="separate"/>
      </w:r>
      <w:r>
        <w:rPr>
          <w:rFonts w:hint="eastAsia"/>
          <w:b/>
          <w:bCs/>
          <w:lang w:val="en-US" w:eastAsia="zh-CN"/>
        </w:rPr>
        <w:t>错误！未定义书签。</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"_Toc441065667" </w:instrText>
      </w:r>
      <w:r>
        <w:fldChar w:fldCharType="separate"/>
      </w:r>
      <w:r>
        <w:rPr>
          <w:rStyle w:val="66"/>
          <w:rFonts w:hint="eastAsia" w:ascii="方正仿宋_GBK" w:eastAsia="方正仿宋_GBK"/>
          <w:b/>
          <w:u w:val="none"/>
          <w:lang w:val="en-US" w:eastAsia="zh-CN"/>
        </w:rPr>
        <w:t>二、报价要求</w:t>
      </w:r>
      <w:r>
        <w:rPr>
          <w:lang w:val="en-US" w:eastAsia="zh-CN"/>
        </w:rPr>
        <w:tab/>
      </w:r>
      <w:r>
        <w:rPr>
          <w:lang w:val="en-US" w:eastAsia="zh-CN"/>
        </w:rPr>
        <w:fldChar w:fldCharType="begin"/>
      </w:r>
      <w:r>
        <w:rPr>
          <w:lang w:val="en-US" w:eastAsia="zh-CN"/>
        </w:rPr>
        <w:instrText xml:space="preserve"> PAGEREF _Toc441065667 \h </w:instrText>
      </w:r>
      <w:r>
        <w:rPr>
          <w:lang w:val="en-US" w:eastAsia="zh-CN"/>
        </w:rPr>
        <w:fldChar w:fldCharType="separate"/>
      </w:r>
      <w:r>
        <w:rPr>
          <w:rFonts w:hint="eastAsia"/>
          <w:b/>
          <w:bCs/>
          <w:lang w:val="en-US" w:eastAsia="zh-CN"/>
        </w:rPr>
        <w:t>错误！未定义书签。</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"_Toc441065668" </w:instrText>
      </w:r>
      <w:r>
        <w:fldChar w:fldCharType="separate"/>
      </w:r>
      <w:r>
        <w:rPr>
          <w:rStyle w:val="66"/>
          <w:rFonts w:hint="eastAsia" w:ascii="方正仿宋_GBK" w:eastAsia="方正仿宋_GBK"/>
          <w:b/>
          <w:u w:val="none"/>
          <w:lang w:val="en-US" w:eastAsia="zh-CN"/>
        </w:rPr>
        <w:t>三、质量保证及售后服务</w:t>
      </w:r>
      <w:r>
        <w:rPr>
          <w:lang w:val="en-US" w:eastAsia="zh-CN"/>
        </w:rPr>
        <w:tab/>
      </w:r>
      <w:r>
        <w:rPr>
          <w:lang w:val="en-US" w:eastAsia="zh-CN"/>
        </w:rPr>
        <w:fldChar w:fldCharType="begin"/>
      </w:r>
      <w:r>
        <w:rPr>
          <w:lang w:val="en-US" w:eastAsia="zh-CN"/>
        </w:rPr>
        <w:instrText xml:space="preserve"> PAGEREF _Toc441065668 \h </w:instrText>
      </w:r>
      <w:r>
        <w:rPr>
          <w:lang w:val="en-US" w:eastAsia="zh-CN"/>
        </w:rPr>
        <w:fldChar w:fldCharType="separate"/>
      </w:r>
      <w:r>
        <w:rPr>
          <w:rFonts w:hint="eastAsia"/>
          <w:b/>
          <w:bCs/>
          <w:lang w:val="en-US" w:eastAsia="zh-CN"/>
        </w:rPr>
        <w:t>错误！未定义书签。</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"_Toc441065669" </w:instrText>
      </w:r>
      <w:r>
        <w:fldChar w:fldCharType="separate"/>
      </w:r>
      <w:r>
        <w:rPr>
          <w:rStyle w:val="66"/>
          <w:rFonts w:hint="eastAsia" w:ascii="方正仿宋_GBK" w:eastAsia="方正仿宋_GBK"/>
          <w:b/>
          <w:u w:val="none"/>
          <w:lang w:val="en-US" w:eastAsia="zh-CN"/>
        </w:rPr>
        <w:t>四、付款方式</w:t>
      </w:r>
      <w:r>
        <w:rPr>
          <w:lang w:val="en-US" w:eastAsia="zh-CN"/>
        </w:rPr>
        <w:tab/>
      </w:r>
      <w:r>
        <w:rPr>
          <w:lang w:val="en-US" w:eastAsia="zh-CN"/>
        </w:rPr>
        <w:fldChar w:fldCharType="begin"/>
      </w:r>
      <w:r>
        <w:rPr>
          <w:lang w:val="en-US" w:eastAsia="zh-CN"/>
        </w:rPr>
        <w:instrText xml:space="preserve"> PAGEREF _Toc441065669 \h </w:instrText>
      </w:r>
      <w:r>
        <w:rPr>
          <w:lang w:val="en-US" w:eastAsia="zh-CN"/>
        </w:rPr>
        <w:fldChar w:fldCharType="separate"/>
      </w:r>
      <w:r>
        <w:rPr>
          <w:rFonts w:hint="eastAsia"/>
          <w:b/>
          <w:bCs/>
          <w:lang w:val="en-US" w:eastAsia="zh-CN"/>
        </w:rPr>
        <w:t>错误！未定义书签。</w:t>
      </w:r>
      <w:r>
        <w:rPr>
          <w:lang w:val="en-US" w:eastAsia="zh-CN"/>
        </w:rPr>
        <w:fldChar w:fldCharType="end"/>
      </w:r>
      <w:r>
        <w:rPr>
          <w:lang w:val="en-US" w:eastAsia="zh-CN"/>
        </w:rPr>
        <w:fldChar w:fldCharType="end"/>
      </w:r>
    </w:p>
    <w:p>
      <w:pPr>
        <w:pStyle w:val="46"/>
        <w:ind w:right="-255"/>
        <w:rPr>
          <w:lang w:val="en-US" w:eastAsia="zh-CN"/>
        </w:rPr>
      </w:pPr>
      <w:r>
        <w:fldChar w:fldCharType="begin"/>
      </w:r>
      <w:r>
        <w:instrText xml:space="preserve"> HYPERLINK \l "_Toc441065670" </w:instrText>
      </w:r>
      <w:r>
        <w:fldChar w:fldCharType="separate"/>
      </w:r>
      <w:r>
        <w:rPr>
          <w:rStyle w:val="66"/>
          <w:rFonts w:hint="eastAsia" w:ascii="方正仿宋_GBK" w:eastAsia="方正仿宋_GBK"/>
          <w:b/>
          <w:u w:val="none"/>
        </w:rPr>
        <w:t>五、履约保证金</w:t>
      </w:r>
      <w:r>
        <w:tab/>
      </w:r>
      <w:r>
        <w:fldChar w:fldCharType="begin"/>
      </w:r>
      <w:r>
        <w:instrText xml:space="preserve"> PAGEREF _Toc441065670 \h </w:instrText>
      </w:r>
      <w:r>
        <w:fldChar w:fldCharType="separate"/>
      </w:r>
      <w:r>
        <w:rPr>
          <w:rFonts w:hint="eastAsia"/>
          <w:b/>
          <w:bCs/>
          <w:lang w:val="en-US" w:eastAsia="zh-CN"/>
        </w:rPr>
        <w:t>错误！未定义书签。</w:t>
      </w:r>
      <w:r>
        <w:fldChar w:fldCharType="end"/>
      </w:r>
      <w:r>
        <w:fldChar w:fldCharType="end"/>
      </w:r>
    </w:p>
    <w:p>
      <w:pPr>
        <w:pStyle w:val="46"/>
        <w:ind w:right="-255"/>
        <w:rPr>
          <w:sz w:val="21"/>
          <w:szCs w:val="22"/>
          <w:lang w:val="en-US" w:eastAsia="zh-CN"/>
        </w:rPr>
      </w:pPr>
      <w:r>
        <w:fldChar w:fldCharType="begin"/>
      </w:r>
      <w:r>
        <w:instrText xml:space="preserve"> HYPERLINK \l "_Toc441065670" </w:instrText>
      </w:r>
      <w:r>
        <w:fldChar w:fldCharType="separate"/>
      </w:r>
      <w:r>
        <w:rPr>
          <w:rStyle w:val="66"/>
          <w:rFonts w:hint="eastAsia" w:ascii="方正仿宋_GBK" w:eastAsia="方正仿宋_GBK"/>
          <w:b/>
          <w:u w:val="none"/>
          <w:lang w:val="en-US" w:eastAsia="zh-CN"/>
        </w:rPr>
        <w:t>六、知识产权</w:t>
      </w:r>
      <w:r>
        <w:rPr>
          <w:lang w:val="en-US" w:eastAsia="zh-CN"/>
        </w:rPr>
        <w:tab/>
      </w:r>
      <w:r>
        <w:rPr>
          <w:lang w:val="en-US" w:eastAsia="zh-CN"/>
        </w:rPr>
        <w:fldChar w:fldCharType="begin"/>
      </w:r>
      <w:r>
        <w:rPr>
          <w:lang w:val="en-US" w:eastAsia="zh-CN"/>
        </w:rPr>
        <w:instrText xml:space="preserve"> PAGEREF _Toc441065670 \h </w:instrText>
      </w:r>
      <w:r>
        <w:rPr>
          <w:lang w:val="en-US" w:eastAsia="zh-CN"/>
        </w:rPr>
        <w:fldChar w:fldCharType="separate"/>
      </w:r>
      <w:r>
        <w:rPr>
          <w:rFonts w:hint="eastAsia"/>
          <w:b/>
          <w:bCs/>
          <w:lang w:val="en-US" w:eastAsia="zh-CN"/>
        </w:rPr>
        <w:t>错误！未定义书签。</w:t>
      </w:r>
      <w:r>
        <w:rPr>
          <w:lang w:val="en-US" w:eastAsia="zh-CN"/>
        </w:rPr>
        <w:fldChar w:fldCharType="end"/>
      </w:r>
      <w:r>
        <w:rPr>
          <w:lang w:val="en-US" w:eastAsia="zh-CN"/>
        </w:rPr>
        <w:fldChar w:fldCharType="end"/>
      </w:r>
    </w:p>
    <w:p>
      <w:pPr>
        <w:pStyle w:val="46"/>
        <w:ind w:right="-255"/>
        <w:rPr>
          <w:szCs w:val="22"/>
          <w:lang w:val="en-US" w:eastAsia="zh-CN"/>
        </w:rPr>
      </w:pPr>
      <w:r>
        <w:fldChar w:fldCharType="begin"/>
      </w:r>
      <w:r>
        <w:instrText xml:space="preserve"> HYPERLINK \l "_Toc441065671" </w:instrText>
      </w:r>
      <w:r>
        <w:fldChar w:fldCharType="separate"/>
      </w:r>
      <w:r>
        <w:rPr>
          <w:rFonts w:hint="eastAsia"/>
          <w:b/>
          <w:bCs/>
          <w:szCs w:val="22"/>
          <w:lang w:val="en-US" w:eastAsia="zh-CN"/>
        </w:rPr>
        <w:t>七、培训</w:t>
      </w:r>
      <w:r>
        <w:rPr>
          <w:szCs w:val="22"/>
          <w:lang w:val="en-US" w:eastAsia="zh-CN"/>
        </w:rPr>
        <w:tab/>
      </w:r>
      <w:r>
        <w:rPr>
          <w:szCs w:val="22"/>
          <w:lang w:val="en-US" w:eastAsia="zh-CN"/>
        </w:rPr>
        <w:fldChar w:fldCharType="begin"/>
      </w:r>
      <w:r>
        <w:rPr>
          <w:szCs w:val="22"/>
          <w:lang w:val="en-US" w:eastAsia="zh-CN"/>
        </w:rPr>
        <w:instrText xml:space="preserve"> PAGEREF _Toc441065671 \h </w:instrText>
      </w:r>
      <w:r>
        <w:rPr>
          <w:szCs w:val="22"/>
          <w:lang w:val="en-US" w:eastAsia="zh-CN"/>
        </w:rPr>
        <w:fldChar w:fldCharType="separate"/>
      </w:r>
      <w:r>
        <w:rPr>
          <w:rFonts w:hint="eastAsia"/>
          <w:b/>
          <w:bCs/>
          <w:szCs w:val="22"/>
          <w:lang w:val="en-US" w:eastAsia="zh-CN"/>
        </w:rPr>
        <w:t>错误！未定义书签。</w:t>
      </w:r>
      <w:r>
        <w:rPr>
          <w:szCs w:val="22"/>
          <w:lang w:val="en-US" w:eastAsia="zh-CN"/>
        </w:rPr>
        <w:fldChar w:fldCharType="end"/>
      </w:r>
      <w:r>
        <w:rPr>
          <w:szCs w:val="22"/>
          <w:lang w:val="en-US" w:eastAsia="zh-CN"/>
        </w:rPr>
        <w:fldChar w:fldCharType="end"/>
      </w:r>
    </w:p>
    <w:p>
      <w:pPr>
        <w:pStyle w:val="46"/>
        <w:ind w:right="-255"/>
        <w:rPr>
          <w:szCs w:val="22"/>
          <w:lang w:val="en-US" w:eastAsia="zh-CN"/>
        </w:rPr>
      </w:pPr>
      <w:r>
        <w:fldChar w:fldCharType="begin"/>
      </w:r>
      <w:r>
        <w:instrText xml:space="preserve"> HYPERLINK \l "_Toc441065671" </w:instrText>
      </w:r>
      <w:r>
        <w:fldChar w:fldCharType="separate"/>
      </w:r>
      <w:r>
        <w:rPr>
          <w:rFonts w:hint="eastAsia"/>
          <w:b/>
          <w:bCs/>
          <w:szCs w:val="22"/>
        </w:rPr>
        <w:t>八、附件、图纸及包装要求</w:t>
      </w:r>
      <w:r>
        <w:rPr>
          <w:szCs w:val="22"/>
        </w:rPr>
        <w:tab/>
      </w:r>
      <w:r>
        <w:rPr>
          <w:szCs w:val="22"/>
        </w:rPr>
        <w:fldChar w:fldCharType="begin"/>
      </w:r>
      <w:r>
        <w:rPr>
          <w:szCs w:val="22"/>
        </w:rPr>
        <w:instrText xml:space="preserve"> PAGEREF _Toc441065671 \h </w:instrText>
      </w:r>
      <w:r>
        <w:rPr>
          <w:szCs w:val="22"/>
        </w:rPr>
        <w:fldChar w:fldCharType="separate"/>
      </w:r>
      <w:r>
        <w:rPr>
          <w:rFonts w:hint="eastAsia"/>
          <w:b/>
          <w:bCs/>
          <w:szCs w:val="22"/>
          <w:lang w:val="en-US" w:eastAsia="zh-CN"/>
        </w:rPr>
        <w:t>错误！未定义书签。</w:t>
      </w:r>
      <w:r>
        <w:rPr>
          <w:szCs w:val="22"/>
        </w:rPr>
        <w:fldChar w:fldCharType="end"/>
      </w:r>
      <w:r>
        <w:rPr>
          <w:szCs w:val="22"/>
        </w:rPr>
        <w:fldChar w:fldCharType="end"/>
      </w:r>
    </w:p>
    <w:p>
      <w:pPr>
        <w:pStyle w:val="46"/>
        <w:ind w:right="-255"/>
        <w:rPr>
          <w:sz w:val="21"/>
          <w:szCs w:val="22"/>
          <w:lang w:val="en-US" w:eastAsia="zh-CN"/>
        </w:rPr>
      </w:pPr>
      <w:r>
        <w:fldChar w:fldCharType="begin"/>
      </w:r>
      <w:r>
        <w:instrText xml:space="preserve"> HYPERLINK \l "_Toc441065672" </w:instrText>
      </w:r>
      <w:r>
        <w:fldChar w:fldCharType="separate"/>
      </w:r>
      <w:r>
        <w:rPr>
          <w:rFonts w:hint="eastAsia"/>
          <w:b/>
          <w:bCs/>
          <w:szCs w:val="22"/>
          <w:lang w:val="en-US" w:eastAsia="zh-CN"/>
        </w:rPr>
        <w:t>九、其他</w:t>
      </w:r>
      <w:r>
        <w:rPr>
          <w:szCs w:val="22"/>
          <w:lang w:val="en-US" w:eastAsia="zh-CN"/>
        </w:rPr>
        <w:tab/>
      </w:r>
      <w:r>
        <w:rPr>
          <w:szCs w:val="22"/>
          <w:lang w:val="en-US" w:eastAsia="zh-CN"/>
        </w:rPr>
        <w:fldChar w:fldCharType="begin"/>
      </w:r>
      <w:r>
        <w:rPr>
          <w:szCs w:val="22"/>
          <w:lang w:val="en-US" w:eastAsia="zh-CN"/>
        </w:rPr>
        <w:instrText xml:space="preserve"> PAGEREF _Toc441065672 \h </w:instrText>
      </w:r>
      <w:r>
        <w:rPr>
          <w:szCs w:val="22"/>
          <w:lang w:val="en-US" w:eastAsia="zh-CN"/>
        </w:rPr>
        <w:fldChar w:fldCharType="separate"/>
      </w:r>
      <w:r>
        <w:rPr>
          <w:rFonts w:hint="eastAsia"/>
          <w:b/>
          <w:bCs/>
          <w:szCs w:val="22"/>
          <w:lang w:val="en-US" w:eastAsia="zh-CN"/>
        </w:rPr>
        <w:t>错误！未定义书签。</w:t>
      </w:r>
      <w:r>
        <w:rPr>
          <w:szCs w:val="22"/>
          <w:lang w:val="en-US" w:eastAsia="zh-CN"/>
        </w:rPr>
        <w:fldChar w:fldCharType="end"/>
      </w:r>
      <w:r>
        <w:rPr>
          <w:szCs w:val="22"/>
          <w:lang w:val="en-US" w:eastAsia="zh-CN"/>
        </w:rPr>
        <w:fldChar w:fldCharType="end"/>
      </w:r>
    </w:p>
    <w:p>
      <w:pPr>
        <w:pStyle w:val="38"/>
        <w:rPr>
          <w:sz w:val="21"/>
          <w:szCs w:val="22"/>
          <w:lang w:val="en-US" w:eastAsia="zh-CN"/>
        </w:rPr>
      </w:pPr>
      <w:r>
        <w:fldChar w:fldCharType="begin"/>
      </w:r>
      <w:r>
        <w:instrText xml:space="preserve"> HYPERLINK \l "_Toc441065673" </w:instrText>
      </w:r>
      <w:r>
        <w:fldChar w:fldCharType="separate"/>
      </w:r>
      <w:r>
        <w:rPr>
          <w:rStyle w:val="66"/>
          <w:rFonts w:hint="eastAsia" w:ascii="方正小标宋_GBK" w:eastAsia="方正小标宋_GBK"/>
          <w:u w:val="none"/>
        </w:rPr>
        <w:t>第四篇</w:t>
      </w:r>
      <w:r>
        <w:rPr>
          <w:rStyle w:val="66"/>
          <w:rFonts w:ascii="方正小标宋_GBK" w:eastAsia="方正小标宋_GBK"/>
          <w:u w:val="none"/>
        </w:rPr>
        <w:t xml:space="preserve">  </w:t>
      </w:r>
      <w:r>
        <w:rPr>
          <w:rStyle w:val="66"/>
          <w:rFonts w:hint="eastAsia" w:ascii="方正仿宋_GBK" w:hAnsi="方正仿宋_GBK" w:eastAsia="方正仿宋_GBK" w:cs="方正仿宋_GBK"/>
          <w:b/>
          <w:u w:val="none"/>
        </w:rPr>
        <w:t>资格审查及评标办法</w:t>
      </w:r>
      <w:r>
        <w:tab/>
      </w:r>
      <w:r>
        <w:fldChar w:fldCharType="begin"/>
      </w:r>
      <w:r>
        <w:instrText xml:space="preserve"> PAGEREF _Toc441065673 \h </w:instrText>
      </w:r>
      <w:r>
        <w:fldChar w:fldCharType="separate"/>
      </w:r>
      <w:r>
        <w:t>- 13 -</w:t>
      </w:r>
      <w:r>
        <w:fldChar w:fldCharType="end"/>
      </w:r>
      <w: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"_Toc493506298" </w:instrText>
      </w:r>
      <w:r>
        <w:fldChar w:fldCharType="separate"/>
      </w:r>
      <w:r>
        <w:rPr>
          <w:rStyle w:val="66"/>
          <w:rFonts w:hint="eastAsia" w:ascii="方正仿宋_GBK" w:hAnsi="方正仿宋_GBK" w:eastAsia="方正仿宋_GBK" w:cs="方正仿宋_GBK"/>
          <w:b/>
          <w:bCs/>
          <w:u w:val="none"/>
        </w:rPr>
        <w:t>一、资格审查</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_Toc493506298 \h </w:instrText>
      </w:r>
      <w:r>
        <w:rPr>
          <w:rFonts w:hint="eastAsia"/>
          <w:szCs w:val="22"/>
        </w:rPr>
        <w:fldChar w:fldCharType="separate"/>
      </w:r>
      <w:r>
        <w:rPr>
          <w:szCs w:val="22"/>
          <w:lang w:val="en-US" w:eastAsia="zh-CN"/>
        </w:rPr>
        <w:t>- 13 -</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"_Toc493506299" </w:instrText>
      </w:r>
      <w:r>
        <w:fldChar w:fldCharType="separate"/>
      </w:r>
      <w:r>
        <w:rPr>
          <w:rStyle w:val="66"/>
          <w:rFonts w:hint="eastAsia" w:ascii="方正仿宋_GBK" w:hAnsi="方正仿宋_GBK" w:eastAsia="方正仿宋_GBK" w:cs="方正仿宋_GBK"/>
          <w:b/>
          <w:bCs/>
          <w:u w:val="none"/>
        </w:rPr>
        <w:t>二、评标方法</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_Toc493506299 \h </w:instrText>
      </w:r>
      <w:r>
        <w:rPr>
          <w:rFonts w:hint="eastAsia"/>
          <w:szCs w:val="22"/>
        </w:rPr>
        <w:fldChar w:fldCharType="separate"/>
      </w:r>
      <w:r>
        <w:rPr>
          <w:szCs w:val="22"/>
          <w:lang w:val="en-US" w:eastAsia="zh-CN"/>
        </w:rPr>
        <w:t>- 14 -</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"_Toc493506300" </w:instrText>
      </w:r>
      <w:r>
        <w:fldChar w:fldCharType="separate"/>
      </w:r>
      <w:r>
        <w:rPr>
          <w:rStyle w:val="66"/>
          <w:rFonts w:hint="eastAsia" w:ascii="方正仿宋_GBK" w:hAnsi="方正仿宋_GBK" w:eastAsia="方正仿宋_GBK" w:cs="方正仿宋_GBK"/>
          <w:b/>
          <w:bCs/>
          <w:u w:val="none"/>
        </w:rPr>
        <w:t>三、评标标准</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_Toc493506300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"_Toc493506301" </w:instrText>
      </w:r>
      <w:r>
        <w:fldChar w:fldCharType="separate"/>
      </w:r>
      <w:r>
        <w:rPr>
          <w:rStyle w:val="66"/>
          <w:rFonts w:hint="eastAsia" w:ascii="方正仿宋_GBK" w:hAnsi="方正仿宋_GBK" w:eastAsia="方正仿宋_GBK" w:cs="方正仿宋_GBK"/>
          <w:b/>
          <w:bCs/>
          <w:u w:val="none"/>
        </w:rPr>
        <w:t>四、无效投标条款</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_Toc493506301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sz w:val="21"/>
          <w:szCs w:val="22"/>
          <w:lang w:val="en-US" w:eastAsia="zh-CN"/>
        </w:rPr>
      </w:pPr>
      <w:r>
        <w:fldChar w:fldCharType="begin"/>
      </w:r>
      <w:r>
        <w:instrText xml:space="preserve"> HYPERLINK \l "_Toc493506302" </w:instrText>
      </w:r>
      <w:r>
        <w:fldChar w:fldCharType="separate"/>
      </w:r>
      <w:r>
        <w:rPr>
          <w:rStyle w:val="66"/>
          <w:rFonts w:hint="eastAsia" w:ascii="方正仿宋_GBK" w:hAnsi="方正仿宋_GBK" w:eastAsia="方正仿宋_GBK" w:cs="方正仿宋_GBK"/>
          <w:b/>
          <w:bCs/>
          <w:u w:val="none"/>
        </w:rPr>
        <w:t>五、废标条款</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_Toc493506302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38"/>
        <w:rPr>
          <w:sz w:val="21"/>
          <w:szCs w:val="22"/>
          <w:lang w:val="en-US" w:eastAsia="zh-CN"/>
        </w:rPr>
      </w:pPr>
      <w:r>
        <w:fldChar w:fldCharType="begin"/>
      </w:r>
      <w:r>
        <w:instrText xml:space="preserve"> HYPERLINK \l "_Toc441065678" </w:instrText>
      </w:r>
      <w:r>
        <w:fldChar w:fldCharType="separate"/>
      </w:r>
      <w:r>
        <w:rPr>
          <w:rStyle w:val="66"/>
          <w:rFonts w:hint="eastAsia" w:ascii="方正小标宋_GBK" w:eastAsia="方正小标宋_GBK"/>
          <w:u w:val="none"/>
        </w:rPr>
        <w:t>第五篇</w:t>
      </w:r>
      <w:r>
        <w:rPr>
          <w:rStyle w:val="66"/>
          <w:rFonts w:ascii="方正小标宋_GBK" w:eastAsia="方正小标宋_GBK"/>
          <w:u w:val="none"/>
        </w:rPr>
        <w:t xml:space="preserve">  </w:t>
      </w:r>
      <w:r>
        <w:rPr>
          <w:rStyle w:val="66"/>
          <w:rFonts w:hint="eastAsia" w:ascii="方正小标宋_GBK" w:eastAsia="方正小标宋_GBK"/>
          <w:u w:val="none"/>
        </w:rPr>
        <w:t>投标人须知</w:t>
      </w:r>
      <w:r>
        <w:tab/>
      </w:r>
      <w:r>
        <w:fldChar w:fldCharType="begin"/>
      </w:r>
      <w:r>
        <w:instrText xml:space="preserve"> PAGEREF _Toc441065678 \h </w:instrText>
      </w:r>
      <w:r>
        <w:fldChar w:fldCharType="separate"/>
      </w:r>
      <w:r>
        <w:t>- 18 -</w:t>
      </w:r>
      <w:r>
        <w:fldChar w:fldCharType="end"/>
      </w:r>
      <w: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"_Toc493506304" </w:instrText>
      </w:r>
      <w:r>
        <w:fldChar w:fldCharType="separate"/>
      </w:r>
      <w:r>
        <w:rPr>
          <w:rStyle w:val="66"/>
          <w:rFonts w:hint="eastAsia" w:ascii="方正仿宋_GBK" w:hAnsi="方正仿宋_GBK" w:eastAsia="方正仿宋_GBK" w:cs="方正仿宋_GBK"/>
          <w:b/>
          <w:bCs/>
          <w:u w:val="none"/>
        </w:rPr>
        <w:t>一、投标人</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_Toc493506304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"_Toc493506305" </w:instrText>
      </w:r>
      <w:r>
        <w:fldChar w:fldCharType="separate"/>
      </w:r>
      <w:r>
        <w:rPr>
          <w:rStyle w:val="66"/>
          <w:rFonts w:hint="eastAsia" w:ascii="方正仿宋_GBK" w:hAnsi="方正仿宋_GBK" w:eastAsia="方正仿宋_GBK" w:cs="方正仿宋_GBK"/>
          <w:b/>
          <w:bCs/>
          <w:u w:val="none"/>
        </w:rPr>
        <w:t>二、招标文件</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_Toc493506305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"_Toc493506306" </w:instrText>
      </w:r>
      <w:r>
        <w:fldChar w:fldCharType="separate"/>
      </w:r>
      <w:r>
        <w:rPr>
          <w:rStyle w:val="66"/>
          <w:rFonts w:hint="eastAsia" w:ascii="方正仿宋_GBK" w:hAnsi="方正仿宋_GBK" w:eastAsia="方正仿宋_GBK" w:cs="方正仿宋_GBK"/>
          <w:b/>
          <w:bCs/>
          <w:u w:val="none"/>
        </w:rPr>
        <w:t>三、投标文件</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_Toc493506306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"_Toc493506307" </w:instrText>
      </w:r>
      <w:r>
        <w:fldChar w:fldCharType="separate"/>
      </w:r>
      <w:r>
        <w:rPr>
          <w:rStyle w:val="66"/>
          <w:rFonts w:hint="eastAsia" w:ascii="方正仿宋_GBK" w:hAnsi="方正仿宋_GBK" w:eastAsia="方正仿宋_GBK" w:cs="方正仿宋_GBK"/>
          <w:b/>
          <w:bCs/>
          <w:u w:val="none"/>
        </w:rPr>
        <w:t>四、开标</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_Toc493506307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"_Toc493506308" </w:instrText>
      </w:r>
      <w:r>
        <w:fldChar w:fldCharType="separate"/>
      </w:r>
      <w:r>
        <w:rPr>
          <w:rStyle w:val="66"/>
          <w:rFonts w:hint="eastAsia" w:ascii="方正仿宋_GBK" w:hAnsi="方正仿宋_GBK" w:eastAsia="方正仿宋_GBK" w:cs="方正仿宋_GBK"/>
          <w:b/>
          <w:bCs/>
          <w:u w:val="none"/>
        </w:rPr>
        <w:t>五、评标</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_Toc493506308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"_Toc493506309" </w:instrText>
      </w:r>
      <w:r>
        <w:fldChar w:fldCharType="separate"/>
      </w:r>
      <w:r>
        <w:rPr>
          <w:rStyle w:val="66"/>
          <w:rFonts w:hint="eastAsia" w:ascii="方正仿宋_GBK" w:hAnsi="方正仿宋_GBK" w:eastAsia="方正仿宋_GBK" w:cs="方正仿宋_GBK"/>
          <w:b/>
          <w:bCs/>
          <w:u w:val="none"/>
        </w:rPr>
        <w:t>六、定标</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_Toc493506309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"_Toc493506310" </w:instrText>
      </w:r>
      <w:r>
        <w:fldChar w:fldCharType="separate"/>
      </w:r>
      <w:r>
        <w:rPr>
          <w:rStyle w:val="66"/>
          <w:rFonts w:hint="eastAsia" w:ascii="方正仿宋_GBK" w:hAnsi="方正仿宋_GBK" w:eastAsia="方正仿宋_GBK" w:cs="方正仿宋_GBK"/>
          <w:b/>
          <w:bCs/>
          <w:u w:val="none"/>
        </w:rPr>
        <w:t>七、中标通知书</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_Toc493506310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"_Toc493506311" </w:instrText>
      </w:r>
      <w:r>
        <w:fldChar w:fldCharType="separate"/>
      </w:r>
      <w:r>
        <w:rPr>
          <w:rStyle w:val="66"/>
          <w:rFonts w:hint="eastAsia" w:ascii="方正仿宋_GBK" w:hAnsi="方正仿宋_GBK" w:eastAsia="方正仿宋_GBK" w:cs="方正仿宋_GBK"/>
          <w:b/>
          <w:bCs/>
          <w:u w:val="none"/>
        </w:rPr>
        <w:t>八、询问、质疑和投诉</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_Toc493506311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"_Toc493506313" </w:instrText>
      </w:r>
      <w:r>
        <w:fldChar w:fldCharType="separate"/>
      </w:r>
      <w:r>
        <w:rPr>
          <w:rFonts w:hint="eastAsia" w:ascii="方正仿宋_GBK" w:hAnsi="方正仿宋_GBK" w:eastAsia="方正仿宋_GBK" w:cs="方正仿宋_GBK"/>
          <w:b/>
          <w:bCs/>
        </w:rPr>
        <w:t>九</w:t>
      </w:r>
      <w:r>
        <w:rPr>
          <w:rStyle w:val="66"/>
          <w:rFonts w:hint="eastAsia" w:ascii="方正仿宋_GBK" w:hAnsi="方正仿宋_GBK" w:eastAsia="方正仿宋_GBK" w:cs="方正仿宋_GBK"/>
          <w:b/>
          <w:bCs/>
          <w:u w:val="none"/>
        </w:rPr>
        <w:t>、</w:t>
      </w:r>
      <w:bookmarkStart w:id="0" w:name="_Hlt494101623"/>
      <w:bookmarkEnd w:id="0"/>
      <w:bookmarkStart w:id="1" w:name="_Hlt494101622"/>
      <w:bookmarkEnd w:id="1"/>
      <w:bookmarkStart w:id="2" w:name="_Hlt494101702"/>
      <w:bookmarkEnd w:id="2"/>
      <w:r>
        <w:rPr>
          <w:rStyle w:val="66"/>
          <w:rFonts w:hint="eastAsia" w:ascii="方正仿宋_GBK" w:hAnsi="方正仿宋_GBK" w:eastAsia="方正仿宋_GBK" w:cs="方正仿宋_GBK"/>
          <w:b/>
          <w:bCs/>
          <w:u w:val="none"/>
        </w:rPr>
        <w:t>签订合同</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_Toc493506313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sz w:val="21"/>
          <w:szCs w:val="22"/>
          <w:lang w:val="en-US" w:eastAsia="zh-CN"/>
        </w:rPr>
      </w:pPr>
      <w:r>
        <w:fldChar w:fldCharType="begin"/>
      </w:r>
      <w:r>
        <w:instrText xml:space="preserve"> HYPERLINK \l "_Toc493506314" </w:instrText>
      </w:r>
      <w:r>
        <w:fldChar w:fldCharType="separate"/>
      </w:r>
      <w:r>
        <w:rPr>
          <w:rStyle w:val="66"/>
          <w:rFonts w:hint="eastAsia" w:ascii="方正仿宋_GBK" w:hAnsi="方正仿宋_GBK" w:eastAsia="方正仿宋_GBK" w:cs="方正仿宋_GBK"/>
          <w:b/>
          <w:bCs/>
          <w:u w:val="none"/>
        </w:rPr>
        <w:t>十、政府采购信用融资</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_Toc493506314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38"/>
        <w:rPr>
          <w:sz w:val="21"/>
          <w:szCs w:val="22"/>
          <w:lang w:val="en-US" w:eastAsia="zh-CN"/>
        </w:rPr>
      </w:pPr>
      <w:r>
        <w:fldChar w:fldCharType="begin"/>
      </w:r>
      <w:r>
        <w:instrText xml:space="preserve"> HYPERLINK \l "_Toc441065690" </w:instrText>
      </w:r>
      <w:r>
        <w:fldChar w:fldCharType="separate"/>
      </w:r>
      <w:r>
        <w:rPr>
          <w:rStyle w:val="66"/>
          <w:rFonts w:hint="eastAsia" w:ascii="方正小标宋_GBK" w:eastAsia="方正小标宋_GBK"/>
          <w:u w:val="none"/>
        </w:rPr>
        <w:t>第六篇</w:t>
      </w:r>
      <w:r>
        <w:rPr>
          <w:rStyle w:val="66"/>
          <w:rFonts w:ascii="方正小标宋_GBK" w:eastAsia="方正小标宋_GBK"/>
          <w:u w:val="none"/>
        </w:rPr>
        <w:t xml:space="preserve">  </w:t>
      </w:r>
      <w:r>
        <w:rPr>
          <w:rStyle w:val="66"/>
          <w:rFonts w:hint="eastAsia" w:ascii="方正小标宋_GBK" w:eastAsia="方正小标宋_GBK"/>
          <w:u w:val="none"/>
        </w:rPr>
        <w:t>合同主要条款和格式合同（样本）</w:t>
      </w:r>
      <w:r>
        <w:tab/>
      </w:r>
      <w:r>
        <w:fldChar w:fldCharType="begin"/>
      </w:r>
      <w:r>
        <w:instrText xml:space="preserve"> PAGEREF _Toc441065690 \h </w:instrText>
      </w:r>
      <w:r>
        <w:fldChar w:fldCharType="separate"/>
      </w:r>
      <w:r>
        <w:t>- 24 -</w:t>
      </w:r>
      <w:r>
        <w:fldChar w:fldCharType="end"/>
      </w:r>
      <w:r>
        <w:fldChar w:fldCharType="end"/>
      </w:r>
    </w:p>
    <w:p>
      <w:pPr>
        <w:pStyle w:val="46"/>
        <w:ind w:right="-255"/>
        <w:rPr>
          <w:sz w:val="21"/>
          <w:szCs w:val="22"/>
          <w:lang w:val="en-US" w:eastAsia="zh-CN"/>
        </w:rPr>
      </w:pPr>
      <w:r>
        <w:fldChar w:fldCharType="begin"/>
      </w:r>
      <w:r>
        <w:instrText xml:space="preserve"> HYPERLINK \l "_Toc441065691" </w:instrText>
      </w:r>
      <w:r>
        <w:fldChar w:fldCharType="separate"/>
      </w:r>
      <w:r>
        <w:rPr>
          <w:rStyle w:val="66"/>
          <w:rFonts w:hint="eastAsia" w:ascii="方正仿宋_GBK" w:eastAsia="方正仿宋_GBK"/>
          <w:b/>
          <w:u w:val="none"/>
          <w:lang w:val="en-US" w:eastAsia="zh-CN"/>
        </w:rPr>
        <w:t>一、合同主要条款</w:t>
      </w:r>
      <w:r>
        <w:rPr>
          <w:lang w:val="en-US" w:eastAsia="zh-CN"/>
        </w:rPr>
        <w:tab/>
      </w:r>
      <w:r>
        <w:rPr>
          <w:lang w:val="en-US" w:eastAsia="zh-CN"/>
        </w:rPr>
        <w:fldChar w:fldCharType="begin"/>
      </w:r>
      <w:r>
        <w:rPr>
          <w:lang w:val="en-US" w:eastAsia="zh-CN"/>
        </w:rPr>
        <w:instrText xml:space="preserve"> PAGEREF _Toc441065691 \h </w:instrText>
      </w:r>
      <w:r>
        <w:rPr>
          <w:lang w:val="en-US" w:eastAsia="zh-CN"/>
        </w:rPr>
        <w:fldChar w:fldCharType="separate"/>
      </w:r>
      <w:r>
        <w:rPr>
          <w:lang w:val="en-US" w:eastAsia="zh-CN"/>
        </w:rPr>
        <w:t>- 24 -</w:t>
      </w:r>
      <w:r>
        <w:rPr>
          <w:lang w:val="en-US" w:eastAsia="zh-CN"/>
        </w:rPr>
        <w:fldChar w:fldCharType="end"/>
      </w:r>
      <w:r>
        <w:rPr>
          <w:lang w:val="en-US" w:eastAsia="zh-CN"/>
        </w:rPr>
        <w:fldChar w:fldCharType="end"/>
      </w:r>
    </w:p>
    <w:p>
      <w:pPr>
        <w:pStyle w:val="46"/>
        <w:ind w:right="-255"/>
        <w:rPr>
          <w:sz w:val="21"/>
          <w:szCs w:val="22"/>
          <w:lang w:val="en-US" w:eastAsia="zh-CN"/>
        </w:rPr>
      </w:pPr>
      <w:r>
        <w:fldChar w:fldCharType="begin"/>
      </w:r>
      <w:r>
        <w:instrText xml:space="preserve"> HYPERLINK \l "_Toc441065692" </w:instrText>
      </w:r>
      <w:r>
        <w:fldChar w:fldCharType="separate"/>
      </w:r>
      <w:r>
        <w:rPr>
          <w:rStyle w:val="66"/>
          <w:rFonts w:hint="eastAsia" w:ascii="方正仿宋_GBK" w:eastAsia="方正仿宋_GBK"/>
          <w:b/>
          <w:u w:val="none"/>
          <w:lang w:val="en-US" w:eastAsia="zh-CN"/>
        </w:rPr>
        <w:t>二、政府采购合同（格式）</w:t>
      </w:r>
      <w:r>
        <w:rPr>
          <w:lang w:val="en-US" w:eastAsia="zh-CN"/>
        </w:rPr>
        <w:tab/>
      </w:r>
      <w:r>
        <w:rPr>
          <w:lang w:val="en-US" w:eastAsia="zh-CN"/>
        </w:rPr>
        <w:fldChar w:fldCharType="begin"/>
      </w:r>
      <w:r>
        <w:rPr>
          <w:lang w:val="en-US" w:eastAsia="zh-CN"/>
        </w:rPr>
        <w:instrText xml:space="preserve"> PAGEREF _Toc441065692 \h </w:instrText>
      </w:r>
      <w:r>
        <w:rPr>
          <w:lang w:val="en-US" w:eastAsia="zh-CN"/>
        </w:rPr>
        <w:fldChar w:fldCharType="separate"/>
      </w:r>
      <w:r>
        <w:rPr>
          <w:lang w:val="en-US" w:eastAsia="zh-CN"/>
        </w:rPr>
        <w:t>- 27 -</w:t>
      </w:r>
      <w:r>
        <w:rPr>
          <w:lang w:val="en-US" w:eastAsia="zh-CN"/>
        </w:rPr>
        <w:fldChar w:fldCharType="end"/>
      </w:r>
      <w:r>
        <w:rPr>
          <w:lang w:val="en-US" w:eastAsia="zh-CN"/>
        </w:rPr>
        <w:fldChar w:fldCharType="end"/>
      </w:r>
    </w:p>
    <w:p>
      <w:pPr>
        <w:pStyle w:val="38"/>
        <w:rPr>
          <w:sz w:val="21"/>
          <w:szCs w:val="22"/>
          <w:lang w:val="en-US" w:eastAsia="zh-CN"/>
        </w:rPr>
      </w:pPr>
      <w:r>
        <w:fldChar w:fldCharType="begin"/>
      </w:r>
      <w:r>
        <w:instrText xml:space="preserve"> HYPERLINK \l "_Toc441065693" </w:instrText>
      </w:r>
      <w:r>
        <w:fldChar w:fldCharType="separate"/>
      </w:r>
      <w:r>
        <w:rPr>
          <w:rStyle w:val="66"/>
          <w:rFonts w:hint="eastAsia" w:ascii="方正小标宋_GBK" w:eastAsia="方正小标宋_GBK"/>
          <w:u w:val="none"/>
        </w:rPr>
        <w:t>第七篇</w:t>
      </w:r>
      <w:r>
        <w:rPr>
          <w:rStyle w:val="66"/>
          <w:rFonts w:ascii="方正小标宋_GBK" w:eastAsia="方正小标宋_GBK"/>
          <w:u w:val="none"/>
        </w:rPr>
        <w:t xml:space="preserve">  </w:t>
      </w:r>
      <w:r>
        <w:rPr>
          <w:rStyle w:val="66"/>
          <w:rFonts w:hint="eastAsia" w:ascii="方正小标宋_GBK" w:eastAsia="方正小标宋_GBK"/>
          <w:u w:val="none"/>
        </w:rPr>
        <w:t>投标文件格式</w:t>
      </w:r>
      <w:r>
        <w:tab/>
      </w:r>
      <w:r>
        <w:fldChar w:fldCharType="begin"/>
      </w:r>
      <w:r>
        <w:instrText xml:space="preserve"> PAGEREF _Toc441065693 \h </w:instrText>
      </w:r>
      <w:r>
        <w:fldChar w:fldCharType="separate"/>
      </w:r>
      <w:r>
        <w:t>- 35 -</w:t>
      </w:r>
      <w:r>
        <w:fldChar w:fldCharType="end"/>
      </w:r>
      <w: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"_Toc493506319" </w:instrText>
      </w:r>
      <w:r>
        <w:fldChar w:fldCharType="separate"/>
      </w:r>
      <w:r>
        <w:rPr>
          <w:rStyle w:val="66"/>
          <w:rFonts w:hint="eastAsia" w:ascii="方正仿宋_GBK" w:hAnsi="方正仿宋_GBK" w:eastAsia="方正仿宋_GBK" w:cs="方正仿宋_GBK"/>
          <w:b/>
          <w:bCs/>
          <w:u w:val="none"/>
        </w:rPr>
        <w:t>一、经济文件</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_Toc493506319 \h </w:instrText>
      </w:r>
      <w:r>
        <w:rPr>
          <w:rFonts w:hint="eastAsia"/>
          <w:szCs w:val="22"/>
        </w:rPr>
        <w:fldChar w:fldCharType="separate"/>
      </w:r>
      <w:r>
        <w:rPr>
          <w:rFonts w:hint="eastAsia"/>
          <w:b/>
          <w:bCs/>
          <w:szCs w:val="22"/>
          <w:lang w:val="en-US" w:eastAsia="zh-CN"/>
        </w:rPr>
        <w:t>错误！未定义书签。</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"_Toc493506320" </w:instrText>
      </w:r>
      <w:r>
        <w:fldChar w:fldCharType="separate"/>
      </w:r>
      <w:r>
        <w:rPr>
          <w:rStyle w:val="66"/>
          <w:rFonts w:hint="eastAsia" w:ascii="方正仿宋_GBK" w:hAnsi="方正仿宋_GBK" w:eastAsia="方正仿宋_GBK" w:cs="方正仿宋_GBK"/>
          <w:b/>
          <w:bCs/>
          <w:u w:val="none"/>
        </w:rPr>
        <w:t>二、技术文件</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_Toc493506320 \h </w:instrText>
      </w:r>
      <w:r>
        <w:rPr>
          <w:rFonts w:hint="eastAsia"/>
          <w:szCs w:val="22"/>
        </w:rPr>
        <w:fldChar w:fldCharType="separate"/>
      </w:r>
      <w:r>
        <w:rPr>
          <w:szCs w:val="22"/>
          <w:lang w:val="en-US" w:eastAsia="zh-CN"/>
        </w:rPr>
        <w:t>- 38 -</w:t>
      </w:r>
      <w:r>
        <w:rPr>
          <w:rFonts w:hint="eastAsia"/>
          <w:szCs w:val="22"/>
        </w:rPr>
        <w:fldChar w:fldCharType="end"/>
      </w:r>
      <w:r>
        <w:rPr>
          <w:rFonts w:hint="eastAsia"/>
          <w:szCs w:val="22"/>
        </w:rPr>
        <w:fldChar w:fldCharType="end"/>
      </w:r>
    </w:p>
    <w:p>
      <w:pPr>
        <w:pStyle w:val="46"/>
        <w:ind w:right="-255"/>
        <w:rPr>
          <w:rStyle w:val="66"/>
          <w:rFonts w:hint="eastAsia" w:ascii="方正仿宋_GBK" w:hAnsi="方正仿宋_GBK" w:eastAsia="方正仿宋_GBK" w:cs="方正仿宋_GBK"/>
          <w:u w:val="none"/>
        </w:rPr>
      </w:pPr>
      <w:r>
        <w:fldChar w:fldCharType="begin"/>
      </w:r>
      <w:r>
        <w:instrText xml:space="preserve"> HYPERLINK \l "_Toc493506321" </w:instrText>
      </w:r>
      <w:r>
        <w:fldChar w:fldCharType="separate"/>
      </w:r>
      <w:r>
        <w:rPr>
          <w:rStyle w:val="66"/>
          <w:rFonts w:hint="eastAsia" w:ascii="方正仿宋_GBK" w:hAnsi="方正仿宋_GBK" w:eastAsia="方正仿宋_GBK" w:cs="方正仿宋_GBK"/>
          <w:b/>
          <w:bCs/>
          <w:u w:val="none"/>
        </w:rPr>
        <w:t>三、商务文件</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_Toc493506321 \h </w:instrText>
      </w:r>
      <w:r>
        <w:rPr>
          <w:rFonts w:hint="eastAsia"/>
          <w:szCs w:val="22"/>
        </w:rPr>
        <w:fldChar w:fldCharType="separate"/>
      </w:r>
      <w:r>
        <w:rPr>
          <w:szCs w:val="22"/>
          <w:lang w:val="en-US" w:eastAsia="zh-CN"/>
        </w:rPr>
        <w:t>- 40 -</w:t>
      </w:r>
      <w:r>
        <w:rPr>
          <w:rFonts w:hint="eastAsia"/>
          <w:szCs w:val="22"/>
        </w:rPr>
        <w:fldChar w:fldCharType="end"/>
      </w:r>
      <w:r>
        <w:rPr>
          <w:rFonts w:hint="eastAsia"/>
          <w:szCs w:val="22"/>
        </w:rPr>
        <w:fldChar w:fldCharType="end"/>
      </w:r>
    </w:p>
    <w:p>
      <w:pPr>
        <w:pStyle w:val="46"/>
        <w:ind w:right="-255"/>
        <w:rPr>
          <w:sz w:val="21"/>
          <w:szCs w:val="22"/>
          <w:lang w:val="en-US" w:eastAsia="zh-CN"/>
        </w:rPr>
      </w:pPr>
      <w:r>
        <w:fldChar w:fldCharType="begin"/>
      </w:r>
      <w:r>
        <w:instrText xml:space="preserve"> HYPERLINK \l "_Toc493506323" </w:instrText>
      </w:r>
      <w:r>
        <w:fldChar w:fldCharType="separate"/>
      </w:r>
      <w:r>
        <w:rPr>
          <w:rStyle w:val="66"/>
          <w:rFonts w:hint="eastAsia" w:ascii="方正仿宋_GBK" w:hAnsi="方正仿宋_GBK" w:eastAsia="方正仿宋_GBK" w:cs="方正仿宋_GBK"/>
          <w:b/>
          <w:bCs/>
          <w:u w:val="none"/>
        </w:rPr>
        <w:t>四、资格文件（单独装订）</w:t>
      </w:r>
      <w:r>
        <w:rPr>
          <w:rStyle w:val="66"/>
          <w:rFonts w:hint="eastAsia" w:ascii="方正仿宋_GBK" w:hAnsi="方正仿宋_GBK" w:eastAsia="方正仿宋_GBK" w:cs="方正仿宋_GBK"/>
          <w:u w:val="none"/>
        </w:rPr>
        <w:tab/>
      </w:r>
      <w:r>
        <w:rPr>
          <w:rFonts w:hint="eastAsia"/>
          <w:szCs w:val="22"/>
        </w:rPr>
        <w:fldChar w:fldCharType="begin"/>
      </w:r>
      <w:r>
        <w:rPr>
          <w:rFonts w:hint="eastAsia"/>
          <w:szCs w:val="22"/>
        </w:rPr>
        <w:instrText xml:space="preserve"> PAGEREF _Toc493506323 \h </w:instrText>
      </w:r>
      <w:r>
        <w:rPr>
          <w:rFonts w:hint="eastAsia"/>
          <w:szCs w:val="22"/>
        </w:rPr>
        <w:fldChar w:fldCharType="separate"/>
      </w:r>
      <w:r>
        <w:rPr>
          <w:szCs w:val="22"/>
          <w:lang w:val="en-US" w:eastAsia="zh-CN"/>
        </w:rPr>
        <w:t>- 47 -</w:t>
      </w:r>
      <w:r>
        <w:rPr>
          <w:rFonts w:hint="eastAsia"/>
          <w:szCs w:val="22"/>
        </w:rPr>
        <w:fldChar w:fldCharType="end"/>
      </w:r>
      <w:r>
        <w:rPr>
          <w:rFonts w:hint="eastAsia"/>
          <w:szCs w:val="22"/>
        </w:rPr>
        <w:fldChar w:fldCharType="end"/>
      </w:r>
    </w:p>
    <w:p>
      <w:pPr>
        <w:pStyle w:val="46"/>
        <w:ind w:right="-255"/>
        <w:rPr>
          <w:sz w:val="21"/>
          <w:szCs w:val="22"/>
          <w:lang w:val="en-US" w:eastAsia="zh-CN"/>
        </w:rPr>
      </w:pPr>
    </w:p>
    <w:p>
      <w:pPr>
        <w:pStyle w:val="38"/>
        <w:ind w:firstLine="0" w:firstLineChars="0"/>
        <w:rPr>
          <w:rFonts w:hint="eastAsia"/>
          <w:sz w:val="32"/>
        </w:rPr>
        <w:sectPr>
          <w:pgSz w:w="11907" w:h="16840"/>
          <w:pgMar w:top="1134" w:right="1191" w:bottom="1134" w:left="1304" w:header="964" w:footer="992" w:gutter="0"/>
          <w:pgNumType w:fmt="numberInDash" w:start="1"/>
          <w:cols w:space="720" w:num="1"/>
          <w:docGrid w:linePitch="312" w:charSpace="0"/>
        </w:sectPr>
      </w:pPr>
      <w:r>
        <w:rPr>
          <w:rFonts w:hint="eastAsia" w:ascii="方正仿宋_GBK" w:hAnsi="宋体" w:eastAsia="方正仿宋_GBK"/>
          <w:sz w:val="21"/>
          <w:szCs w:val="21"/>
        </w:rPr>
        <w:fldChar w:fldCharType="end"/>
      </w:r>
    </w:p>
    <w:p>
      <w:pPr>
        <w:pStyle w:val="4"/>
        <w:numPr>
          <w:ilvl w:val="0"/>
          <w:numId w:val="16"/>
        </w:numPr>
        <w:spacing w:beforeLines="0" w:afterLines="0" w:line="360" w:lineRule="auto"/>
        <w:ind w:left="1531" w:hanging="1531"/>
        <w:rPr>
          <w:rFonts w:hint="eastAsia" w:ascii="方正小标宋_GBK" w:eastAsia="方正小标宋_GBK"/>
        </w:rPr>
      </w:pPr>
      <w:bookmarkStart w:id="3" w:name="_Toc441065652"/>
      <w:r>
        <w:rPr>
          <w:rFonts w:hint="eastAsia" w:ascii="方正小标宋_GBK" w:eastAsia="方正小标宋_GBK"/>
        </w:rPr>
        <w:t>投标邀请书</w:t>
      </w:r>
      <w:bookmarkEnd w:id="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重庆市合川区公共资源交易中心（以下简称：集中采购机构）受</w:t>
      </w:r>
      <w:r>
        <w:rPr>
          <w:rFonts w:hint="eastAsia" w:ascii="方正仿宋_GBK" w:hAnsi="宋体" w:eastAsia="方正仿宋_GBK"/>
          <w:sz w:val="24"/>
          <w:szCs w:val="24"/>
          <w:u w:val="single"/>
        </w:rPr>
        <w:t xml:space="preserve"> 重庆市合川区人民医院</w:t>
      </w:r>
      <w:r>
        <w:rPr>
          <w:rFonts w:hint="eastAsia" w:ascii="方正仿宋_GBK" w:hAnsi="宋体" w:eastAsia="方正仿宋_GBK"/>
          <w:sz w:val="24"/>
          <w:szCs w:val="24"/>
        </w:rPr>
        <w:t>的委托，对</w:t>
      </w:r>
      <w:r>
        <w:rPr>
          <w:rFonts w:hint="eastAsia" w:ascii="方正仿宋_GBK" w:hAnsi="宋体" w:eastAsia="方正仿宋_GBK"/>
          <w:sz w:val="24"/>
          <w:szCs w:val="24"/>
          <w:u w:val="single"/>
        </w:rPr>
        <w:t xml:space="preserve"> 重庆市合川区人民医院数据中心核心设备及配套软件采购</w:t>
      </w:r>
      <w:r>
        <w:rPr>
          <w:rFonts w:hint="eastAsia" w:ascii="方正仿宋_GBK" w:hAnsi="宋体" w:eastAsia="方正仿宋_GBK"/>
          <w:sz w:val="24"/>
          <w:szCs w:val="24"/>
        </w:rPr>
        <w:t>进行公开招标，欢迎有资格的供应商参加投标。</w:t>
      </w:r>
    </w:p>
    <w:p>
      <w:pPr>
        <w:pStyle w:val="5"/>
        <w:numPr>
          <w:ilvl w:val="0"/>
          <w:numId w:val="17"/>
        </w:numPr>
        <w:spacing w:line="500" w:lineRule="exact"/>
        <w:ind w:firstLine="482" w:firstLineChars="200"/>
      </w:pPr>
      <w:bookmarkStart w:id="4" w:name="_Toc441065653"/>
      <w:r>
        <w:rPr>
          <w:rFonts w:hint="eastAsia" w:ascii="方正仿宋_GBK" w:eastAsia="方正仿宋_GBK"/>
          <w:b/>
          <w:sz w:val="24"/>
        </w:rPr>
        <w:t>招标项目内容</w:t>
      </w:r>
      <w:bookmarkEnd w:id="4"/>
      <w:r>
        <w:rPr>
          <w:rFonts w:hint="eastAsia"/>
        </w:rPr>
        <w:t xml:space="preserve"> </w:t>
      </w:r>
    </w:p>
    <w:tbl>
      <w:tblPr>
        <w:tblStyle w:val="59"/>
        <w:tblW w:w="9897"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1122"/>
        <w:gridCol w:w="1900"/>
        <w:gridCol w:w="1663"/>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2640" w:type="dxa"/>
            <w:vAlign w:val="center"/>
          </w:tcPr>
          <w:p>
            <w:pPr>
              <w:snapToGrid w:val="0"/>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rPr>
              <w:t>项目名称</w:t>
            </w:r>
          </w:p>
        </w:tc>
        <w:tc>
          <w:tcPr>
            <w:tcW w:w="1122" w:type="dxa"/>
            <w:vAlign w:val="center"/>
          </w:tcPr>
          <w:p>
            <w:pPr>
              <w:snapToGrid w:val="0"/>
              <w:spacing w:line="400" w:lineRule="exact"/>
              <w:ind w:firstLine="240" w:firstLineChars="100"/>
              <w:rPr>
                <w:rFonts w:hint="eastAsia" w:ascii="方正仿宋_GBK" w:hAnsi="宋体" w:eastAsia="方正仿宋_GBK"/>
                <w:sz w:val="24"/>
                <w:szCs w:val="24"/>
              </w:rPr>
            </w:pPr>
            <w:r>
              <w:rPr>
                <w:rFonts w:hint="eastAsia" w:ascii="方正仿宋_GBK" w:hAnsi="宋体" w:eastAsia="方正仿宋_GBK"/>
                <w:sz w:val="24"/>
                <w:szCs w:val="24"/>
              </w:rPr>
              <w:t>数量</w:t>
            </w:r>
          </w:p>
        </w:tc>
        <w:tc>
          <w:tcPr>
            <w:tcW w:w="1900" w:type="dxa"/>
            <w:vAlign w:val="center"/>
          </w:tcPr>
          <w:p>
            <w:pPr>
              <w:snapToGrid w:val="0"/>
              <w:spacing w:line="400" w:lineRule="exact"/>
              <w:ind w:left="238" w:leftChars="85" w:firstLine="240" w:firstLineChars="100"/>
              <w:rPr>
                <w:rFonts w:hint="eastAsia" w:ascii="方正仿宋_GBK" w:hAnsi="宋体" w:eastAsia="方正仿宋_GBK"/>
                <w:sz w:val="24"/>
                <w:szCs w:val="24"/>
              </w:rPr>
            </w:pPr>
            <w:r>
              <w:rPr>
                <w:rFonts w:hint="eastAsia" w:ascii="方正仿宋_GBK" w:hAnsi="宋体" w:eastAsia="方正仿宋_GBK"/>
                <w:sz w:val="24"/>
                <w:szCs w:val="24"/>
              </w:rPr>
              <w:t>最高限价</w:t>
            </w:r>
          </w:p>
          <w:p>
            <w:pPr>
              <w:snapToGrid w:val="0"/>
              <w:spacing w:line="400" w:lineRule="exact"/>
              <w:ind w:left="238" w:leftChars="85" w:firstLine="240" w:firstLineChars="100"/>
              <w:rPr>
                <w:rFonts w:ascii="方正仿宋_GBK" w:hAnsi="宋体" w:eastAsia="方正仿宋_GBK"/>
                <w:sz w:val="24"/>
                <w:szCs w:val="24"/>
              </w:rPr>
            </w:pPr>
            <w:r>
              <w:rPr>
                <w:rFonts w:hint="eastAsia" w:ascii="方正仿宋_GBK" w:hAnsi="宋体" w:eastAsia="方正仿宋_GBK"/>
                <w:sz w:val="24"/>
                <w:szCs w:val="24"/>
              </w:rPr>
              <w:t>（万元）</w:t>
            </w:r>
          </w:p>
        </w:tc>
        <w:tc>
          <w:tcPr>
            <w:tcW w:w="1663" w:type="dxa"/>
            <w:vAlign w:val="center"/>
          </w:tcPr>
          <w:p>
            <w:pPr>
              <w:snapToGrid w:val="0"/>
              <w:spacing w:line="400" w:lineRule="exact"/>
              <w:ind w:left="240" w:hanging="240" w:hangingChars="100"/>
              <w:rPr>
                <w:rFonts w:hint="eastAsia" w:ascii="方正仿宋_GBK" w:hAnsi="宋体" w:eastAsia="方正仿宋_GBK"/>
                <w:sz w:val="24"/>
                <w:szCs w:val="24"/>
              </w:rPr>
            </w:pPr>
            <w:r>
              <w:rPr>
                <w:rFonts w:hint="eastAsia" w:ascii="方正仿宋_GBK" w:hAnsi="宋体" w:eastAsia="方正仿宋_GBK"/>
                <w:sz w:val="24"/>
                <w:szCs w:val="24"/>
              </w:rPr>
              <w:t>投标保证金（万元）</w:t>
            </w:r>
          </w:p>
        </w:tc>
        <w:tc>
          <w:tcPr>
            <w:tcW w:w="2572" w:type="dxa"/>
            <w:vAlign w:val="center"/>
          </w:tcPr>
          <w:p>
            <w:pPr>
              <w:snapToGrid w:val="0"/>
              <w:spacing w:line="400" w:lineRule="exact"/>
              <w:ind w:firstLine="960" w:firstLineChars="400"/>
              <w:rPr>
                <w:rFonts w:hint="eastAsia"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trPr>
        <w:tc>
          <w:tcPr>
            <w:tcW w:w="2640" w:type="dxa"/>
            <w:vAlign w:val="center"/>
          </w:tcPr>
          <w:p>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重庆市合川区人民医院数据中心核心设备及配套软件</w:t>
            </w:r>
          </w:p>
        </w:tc>
        <w:tc>
          <w:tcPr>
            <w:tcW w:w="1122" w:type="dxa"/>
            <w:vAlign w:val="center"/>
          </w:tcPr>
          <w:p>
            <w:pPr>
              <w:snapToGrid w:val="0"/>
              <w:spacing w:line="400" w:lineRule="exact"/>
              <w:ind w:firstLine="240" w:firstLineChars="100"/>
              <w:jc w:val="center"/>
              <w:rPr>
                <w:rFonts w:ascii="方正仿宋_GBK" w:hAnsi="宋体" w:eastAsia="方正仿宋_GBK"/>
                <w:sz w:val="24"/>
                <w:szCs w:val="24"/>
              </w:rPr>
            </w:pPr>
            <w:r>
              <w:rPr>
                <w:rFonts w:hint="eastAsia" w:ascii="方正仿宋_GBK" w:hAnsi="宋体" w:eastAsia="方正仿宋_GBK"/>
                <w:sz w:val="24"/>
                <w:szCs w:val="24"/>
              </w:rPr>
              <w:t>1批</w:t>
            </w:r>
          </w:p>
        </w:tc>
        <w:tc>
          <w:tcPr>
            <w:tcW w:w="1900" w:type="dxa"/>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300</w:t>
            </w:r>
          </w:p>
        </w:tc>
        <w:tc>
          <w:tcPr>
            <w:tcW w:w="1663" w:type="dxa"/>
            <w:vAlign w:val="center"/>
          </w:tcPr>
          <w:p>
            <w:pPr>
              <w:snapToGrid w:val="0"/>
              <w:spacing w:line="400" w:lineRule="exact"/>
              <w:jc w:val="center"/>
              <w:rPr>
                <w:rFonts w:hint="eastAsia" w:ascii="方正仿宋_GBK" w:hAnsi="宋体" w:eastAsia="方正仿宋_GBK"/>
                <w:sz w:val="24"/>
                <w:szCs w:val="24"/>
              </w:rPr>
            </w:pPr>
            <w:r>
              <w:rPr>
                <w:rFonts w:hint="eastAsia" w:ascii="方正仿宋_GBK" w:hAnsi="宋体" w:eastAsia="方正仿宋_GBK"/>
                <w:sz w:val="24"/>
                <w:szCs w:val="24"/>
              </w:rPr>
              <w:t>6</w:t>
            </w:r>
          </w:p>
        </w:tc>
        <w:tc>
          <w:tcPr>
            <w:tcW w:w="2572" w:type="dxa"/>
          </w:tcPr>
          <w:p>
            <w:pPr>
              <w:snapToGrid w:val="0"/>
              <w:spacing w:line="400" w:lineRule="exact"/>
              <w:rPr>
                <w:rFonts w:hint="eastAsia" w:ascii="方正仿宋_GBK" w:hAnsi="宋体" w:eastAsia="方正仿宋_GBK"/>
                <w:sz w:val="24"/>
                <w:szCs w:val="24"/>
              </w:rPr>
            </w:pPr>
          </w:p>
        </w:tc>
      </w:tr>
    </w:tbl>
    <w:p>
      <w:pPr>
        <w:pStyle w:val="5"/>
        <w:spacing w:line="500" w:lineRule="exact"/>
        <w:ind w:firstLine="482" w:firstLineChars="200"/>
        <w:rPr>
          <w:rFonts w:hint="eastAsia" w:ascii="方正仿宋_GBK" w:eastAsia="方正仿宋_GBK"/>
          <w:b/>
          <w:sz w:val="24"/>
        </w:rPr>
      </w:pPr>
      <w:bookmarkStart w:id="5" w:name="_Toc441065654"/>
      <w:r>
        <w:rPr>
          <w:rFonts w:hint="eastAsia" w:ascii="方正仿宋_GBK" w:eastAsia="方正仿宋_GBK"/>
          <w:b/>
          <w:sz w:val="24"/>
        </w:rPr>
        <w:t>二、资金来源</w:t>
      </w:r>
      <w:bookmarkEnd w:id="5"/>
    </w:p>
    <w:p>
      <w:pPr>
        <w:spacing w:line="400" w:lineRule="exact"/>
        <w:ind w:firstLine="480" w:firstLineChars="200"/>
        <w:rPr>
          <w:rFonts w:hint="eastAsia" w:ascii="方正仿宋_GBK" w:hAnsi="宋体" w:eastAsia="方正仿宋_GBK"/>
          <w:color w:val="FF0000"/>
          <w:sz w:val="24"/>
          <w:szCs w:val="24"/>
        </w:rPr>
      </w:pPr>
      <w:r>
        <w:rPr>
          <w:rFonts w:hint="eastAsia" w:ascii="方正仿宋_GBK" w:hAnsi="宋体" w:eastAsia="方正仿宋_GBK"/>
          <w:sz w:val="24"/>
          <w:szCs w:val="24"/>
        </w:rPr>
        <w:t>单位自筹资金，预算金额为300万元。</w:t>
      </w:r>
    </w:p>
    <w:p>
      <w:pPr>
        <w:pStyle w:val="5"/>
        <w:spacing w:line="500" w:lineRule="exact"/>
        <w:ind w:firstLine="482" w:firstLineChars="200"/>
        <w:rPr>
          <w:rFonts w:hint="eastAsia" w:ascii="方正仿宋_GBK" w:eastAsia="方正仿宋_GBK"/>
          <w:b/>
          <w:sz w:val="24"/>
          <w:szCs w:val="22"/>
        </w:rPr>
      </w:pPr>
      <w:bookmarkStart w:id="6" w:name="_Toc441065655"/>
      <w:r>
        <w:rPr>
          <w:rFonts w:hint="eastAsia" w:ascii="方正仿宋_GBK" w:eastAsia="方正仿宋_GBK"/>
          <w:b/>
          <w:sz w:val="24"/>
          <w:szCs w:val="22"/>
        </w:rPr>
        <w:t>三、投标人资格要求</w:t>
      </w:r>
      <w:bookmarkEnd w:id="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合格投标人应首先符合政府采购法第二十二条规定的基本条件。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5"/>
        <w:spacing w:line="500" w:lineRule="exact"/>
        <w:ind w:firstLine="482" w:firstLineChars="200"/>
        <w:rPr>
          <w:rFonts w:hint="eastAsia" w:ascii="方正仿宋_GBK" w:eastAsia="方正仿宋_GBK"/>
          <w:b/>
          <w:sz w:val="24"/>
        </w:rPr>
      </w:pPr>
      <w:bookmarkStart w:id="7" w:name="_Toc441065656"/>
      <w:r>
        <w:rPr>
          <w:rFonts w:hint="eastAsia" w:ascii="方正仿宋_GBK" w:eastAsia="方正仿宋_GBK"/>
          <w:b/>
          <w:sz w:val="24"/>
        </w:rPr>
        <w:t>四、投标、开标有关说明</w:t>
      </w:r>
      <w:bookmarkEnd w:id="7"/>
    </w:p>
    <w:p>
      <w:pPr>
        <w:spacing w:line="400" w:lineRule="exact"/>
        <w:ind w:firstLine="480" w:firstLineChars="200"/>
        <w:rPr>
          <w:rFonts w:hint="eastAsia" w:ascii="方正仿宋_GBK" w:hAnsi="宋体" w:eastAsia="方正仿宋_GBK"/>
          <w:sz w:val="24"/>
          <w:szCs w:val="24"/>
        </w:rPr>
      </w:pPr>
      <w:bookmarkStart w:id="8" w:name="_Toc441065657"/>
      <w:r>
        <w:rPr>
          <w:rFonts w:hint="eastAsia" w:ascii="方正仿宋_GBK" w:hAnsi="宋体" w:eastAsia="方正仿宋_GBK"/>
          <w:sz w:val="24"/>
          <w:szCs w:val="24"/>
        </w:rPr>
        <w:t>（一）根据《重庆市财政局关于印发〈重庆市政府采购供应商注册及诚信管理暂行办法〉的通知》（渝财采购〔2015〕45号）规定，供应商应按要求进行注册，通过重庆市政府采购网（www.ccgp-chongqing.gov.cn），登记加入“重庆市政府采购供应商库”。</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凡有意参加投标的投标人，请在“重庆市公共资源交易网（合川区）”和“重庆市政府采购网”网上下载本项目招标文件以及图纸、补遗等开标前公布的所有项目资料，无论投标人下载与否，均视为已知晓所有招标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（三）招标文件公告期限：自招标公告发布之日（2021年1月13日）起五个工作日。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（四）招标文件发售</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1.发售时间：2021年1月13日-2021年1月20日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2.售价：人民币0元/分包。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3.招标文件获取方式：</w:t>
      </w:r>
      <w:r>
        <w:rPr>
          <w:rFonts w:hint="eastAsia" w:ascii="方正仿宋_GBK" w:hAnsi="宋体" w:eastAsia="方正仿宋_GBK" w:cs="宋体"/>
          <w:color w:val="000000"/>
          <w:kern w:val="0"/>
          <w:sz w:val="24"/>
          <w:szCs w:val="24"/>
        </w:rPr>
        <w:t>重庆市公共资源交易网（合川区）（</w:t>
      </w:r>
      <w:r>
        <w:rPr>
          <w:rFonts w:hint="eastAsia" w:ascii="方正仿宋_GBK" w:hAnsi="宋体" w:eastAsia="方正仿宋_GBK" w:cs="宋体"/>
          <w:bCs/>
          <w:color w:val="000000"/>
          <w:kern w:val="0"/>
          <w:sz w:val="24"/>
          <w:szCs w:val="24"/>
        </w:rPr>
        <w:t>https://www.cqggzy.com/hechuanweb/</w:t>
      </w:r>
      <w:r>
        <w:rPr>
          <w:rFonts w:hint="eastAsia" w:ascii="方正仿宋_GBK" w:hAnsi="宋体" w:eastAsia="方正仿宋_GBK" w:cs="宋体"/>
          <w:color w:val="000000"/>
          <w:kern w:val="0"/>
          <w:sz w:val="24"/>
          <w:szCs w:val="24"/>
        </w:rPr>
        <w:t>）</w:t>
      </w:r>
      <w:r>
        <w:rPr>
          <w:rFonts w:hint="eastAsia" w:ascii="宋体" w:hAnsi="宋体" w:cs="宋体"/>
          <w:color w:val="000000"/>
          <w:kern w:val="0"/>
          <w:sz w:val="21"/>
          <w:szCs w:val="21"/>
        </w:rPr>
        <w:t>和</w:t>
      </w:r>
      <w:r>
        <w:rPr>
          <w:rFonts w:hint="eastAsia" w:ascii="方正仿宋_GBK" w:hAnsi="宋体" w:eastAsia="方正仿宋_GBK"/>
          <w:sz w:val="24"/>
          <w:szCs w:val="24"/>
        </w:rPr>
        <w:t>重庆市政府采购网（http://www.ccgp-chongqing.gov.cn）上下载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（五）投标地点：重庆市合川区公共资源交易中心大厅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（六）按《重庆市财政局关于进一步规范投标报名及保证金缴纳的通知》（渝财采购﹝2013﹞30号）文的规定，</w:t>
      </w:r>
      <w:r>
        <w:rPr>
          <w:rFonts w:hint="eastAsia" w:ascii="方正仿宋_GBK" w:hAnsi="宋体" w:eastAsia="方正仿宋_GBK"/>
          <w:b/>
          <w:bCs/>
          <w:sz w:val="24"/>
          <w:szCs w:val="24"/>
        </w:rPr>
        <w:t>报名方式为开标当天现场报名，不需提前报名</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（七）投标开始时间：2021年2月4日北京时间9:30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（八）投标截止时间：2021年2月4日日北京时间10:00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（九）开标时间：2021年2月4日北京时间10:00</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（十）开标地点：重庆市合川区公共资源交易中心开标室</w:t>
      </w:r>
    </w:p>
    <w:p>
      <w:pPr>
        <w:widowControl/>
        <w:spacing w:line="400" w:lineRule="exact"/>
        <w:ind w:firstLine="480" w:firstLineChars="200"/>
        <w:jc w:val="lef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（十一）为确认投标人身份合法有效，由法定代表人参与投标的，需持本人身份证原件（复印件加盖投标单位鲜章）和法定代表人身份证明书（格式）原件，报名时与投标文件同时递交。</w:t>
      </w:r>
    </w:p>
    <w:p>
      <w:pPr>
        <w:widowControl/>
        <w:spacing w:line="400" w:lineRule="exact"/>
        <w:ind w:firstLine="480" w:firstLineChars="200"/>
        <w:jc w:val="left"/>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十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投标文件同时递交。</w:t>
      </w:r>
    </w:p>
    <w:p>
      <w:pPr>
        <w:spacing w:line="400" w:lineRule="exact"/>
        <w:ind w:firstLine="360" w:firstLineChars="150"/>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 xml:space="preserve"> </w:t>
      </w:r>
      <w:r>
        <w:rPr>
          <w:rFonts w:hint="eastAsia" w:ascii="方正仿宋_GBK" w:hAnsi="宋体" w:eastAsia="方正仿宋_GBK"/>
          <w:b/>
          <w:bCs/>
          <w:color w:val="000000"/>
          <w:sz w:val="24"/>
          <w:szCs w:val="24"/>
        </w:rPr>
        <w:t>注：（十一）、（十二）要求的资料须在现场报名时单独提交一份进行验核和收取，未按以上要求执行的投标人将视为以他人名义投标，其响应文件拒绝接收。</w:t>
      </w:r>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五、投标保证金</w:t>
      </w:r>
      <w:bookmarkEnd w:id="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（一）缴纳投标保证金方式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投标保证金以转账方式从投标人基本银行账户支付至投标保证金账户</w:t>
      </w:r>
    </w:p>
    <w:p>
      <w:pPr>
        <w:numPr>
          <w:ilvl w:val="0"/>
          <w:numId w:val="18"/>
        </w:numPr>
        <w:spacing w:line="400" w:lineRule="exact"/>
        <w:ind w:firstLine="480" w:firstLineChars="200"/>
        <w:rPr>
          <w:rFonts w:hint="eastAsia"/>
        </w:rPr>
      </w:pPr>
      <w:r>
        <w:rPr>
          <w:rFonts w:hint="eastAsia" w:ascii="方正仿宋_GBK" w:hAnsi="宋体" w:eastAsia="方正仿宋_GBK"/>
          <w:sz w:val="24"/>
          <w:szCs w:val="24"/>
        </w:rPr>
        <w:t>投标保证金账户</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银行名称:中国工商银行重庆合川南城支行</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银行账号:9558853100006846889</w:t>
      </w:r>
    </w:p>
    <w:p>
      <w:pPr>
        <w:spacing w:line="400" w:lineRule="exact"/>
        <w:ind w:firstLine="720" w:firstLineChars="300"/>
        <w:rPr>
          <w:rFonts w:hint="eastAsia" w:ascii="方正仿宋_GBK" w:hAnsi="宋体" w:eastAsia="方正仿宋_GBK"/>
          <w:sz w:val="24"/>
          <w:szCs w:val="24"/>
        </w:rPr>
      </w:pPr>
      <w:r>
        <w:rPr>
          <w:rFonts w:hint="eastAsia" w:ascii="方正仿宋_GBK" w:hAnsi="宋体" w:eastAsia="方正仿宋_GBK"/>
          <w:sz w:val="24"/>
          <w:szCs w:val="24"/>
        </w:rPr>
        <w:t>银行账户名称:重庆市合川区公共资源交易中心</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（三）缴纳投标保证金方式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投标人将投标保证金从投标人开户银行账户按规定金额一次性支付至投标保证金指定账户内，并于</w:t>
      </w:r>
      <w:r>
        <w:rPr>
          <w:rFonts w:hint="eastAsia" w:ascii="方正仿宋_GBK" w:hAnsi="宋体" w:eastAsia="方正仿宋_GBK"/>
          <w:color w:val="FF0000"/>
          <w:sz w:val="24"/>
          <w:szCs w:val="24"/>
        </w:rPr>
        <w:t>2021年2月4日10:00</w:t>
      </w:r>
      <w:r>
        <w:rPr>
          <w:rFonts w:hint="eastAsia" w:ascii="方正仿宋_GBK" w:hAnsi="宋体" w:eastAsia="方正仿宋_GBK"/>
          <w:sz w:val="24"/>
          <w:szCs w:val="24"/>
        </w:rPr>
        <w:t>时前到账，投标人应自行考虑投标保证金的汇入时间风险，否则出现的一切后果由投标人自行负责。</w:t>
      </w:r>
    </w:p>
    <w:p>
      <w:pPr>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注：投标保证金未按招标文件要求缴纳、未在规定时间内到账，视为未缴纳该项目的投标保证金，投标无效。</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特别提醒：</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1、为方便投标保证金的核查，请各投标人把银行进帐单带至开标现场备查。</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2、为保证投标保证金的及时退还，投标供应商必须自行进入重庆市公共资源交易网（合川区）（https://www.cqggzy.com/hechuanweb/）（注册名称应与银行开户名称一致）。并于递交响应文件截止时间前持</w:t>
      </w:r>
      <w:r>
        <w:rPr>
          <w:rFonts w:hint="eastAsia" w:ascii="方正仿宋_GBK" w:hAnsi="宋体" w:eastAsia="方正仿宋_GBK"/>
          <w:b/>
          <w:sz w:val="24"/>
          <w:szCs w:val="24"/>
          <w:lang w:eastAsia="zh-CN"/>
        </w:rPr>
        <w:t>银行账户</w:t>
      </w:r>
      <w:bookmarkStart w:id="63" w:name="_GoBack"/>
      <w:bookmarkEnd w:id="63"/>
      <w:r>
        <w:rPr>
          <w:rFonts w:hint="eastAsia" w:ascii="方正仿宋_GBK" w:hAnsi="宋体" w:eastAsia="方正仿宋_GBK"/>
          <w:b/>
          <w:sz w:val="24"/>
          <w:szCs w:val="24"/>
        </w:rPr>
        <w:t>开户许可证复印件（盖单位鲜章）到合川交易中心财务室（501室）进行核验。（已经注册并通过核验的企业帐户信息，无需重新注册。如账户信息发生变化，应修改相应信息，并按上述程序在递交响应文件截止时间前提交账户变化资料原件到财务室进行注册变更和核验）。</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3、如果投标供应商未按照上述要求注册核验的，应持银行开户许可证复印件加盖鲜章带至开标现场审验。</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（四）保证金退还方式</w:t>
      </w:r>
    </w:p>
    <w:p>
      <w:pPr>
        <w:spacing w:line="380" w:lineRule="exact"/>
        <w:ind w:left="241" w:leftChars="86"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1、未成交供应商的投标保证金，在发出结果公示无异议后2个工作日内，由重庆市合川区公共资源交易中心按来款渠道直接退还。</w:t>
      </w:r>
    </w:p>
    <w:p>
      <w:pPr>
        <w:spacing w:line="380" w:lineRule="exact"/>
        <w:ind w:left="241" w:leftChars="86"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2、成交供应商的投标保证金，在成交供应商与采购人签订合同后2个工作日内送至区交易中心进行合同鉴证，由重庆市合川区公共资源交易中心按资金来款渠道直接退还。</w:t>
      </w:r>
    </w:p>
    <w:p>
      <w:pPr>
        <w:spacing w:line="380" w:lineRule="exact"/>
        <w:ind w:left="241" w:leftChars="86"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3、流标项目的保证金由重庆市合川区公共资源交易中心2个工作日内按资金来款渠道直接退还。</w:t>
      </w:r>
    </w:p>
    <w:p>
      <w:pPr>
        <w:spacing w:line="380" w:lineRule="exact"/>
        <w:ind w:left="241" w:leftChars="86"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4、因故未到交易中心办理银行基本账户注册或未进行合同鉴证等自身原因而耽误了投标保证金退还的，由供应商自行负责。</w:t>
      </w:r>
    </w:p>
    <w:p>
      <w:pPr>
        <w:spacing w:line="44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咨询电话：</w:t>
      </w:r>
      <w:r>
        <w:rPr>
          <w:rFonts w:hint="eastAsia" w:ascii="方正仿宋_GBK" w:hAnsi="宋体" w:eastAsia="方正仿宋_GBK"/>
          <w:b/>
          <w:sz w:val="24"/>
          <w:szCs w:val="24"/>
        </w:rPr>
        <w:t>（023）42757282</w:t>
      </w:r>
      <w:bookmarkStart w:id="9" w:name="_Toc441065658"/>
    </w:p>
    <w:p>
      <w:pPr>
        <w:spacing w:line="440" w:lineRule="exact"/>
        <w:ind w:firstLine="482" w:firstLineChars="200"/>
        <w:rPr>
          <w:rFonts w:hint="eastAsia" w:ascii="方正仿宋_GBK" w:eastAsia="方正仿宋_GBK"/>
          <w:b/>
          <w:sz w:val="24"/>
        </w:rPr>
      </w:pPr>
      <w:r>
        <w:rPr>
          <w:rFonts w:hint="eastAsia" w:ascii="方正仿宋_GBK" w:eastAsia="方正仿宋_GBK"/>
          <w:b/>
          <w:sz w:val="24"/>
        </w:rPr>
        <w:t>六、采购项目需落实的政府采购政策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（二）按照&lt;财政部 工业和信息化部关于印发《政府采购促进中小企业发展暂行办法》的通知&gt;（财库〔2011〕181号）的规定，落实促进中小企业发展政策。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（三）按照&lt;财政部、司法部关于政府采购支持监狱企业发展有关问题的通知&gt;（财库〔2014〕68号）的规定，落实支持监狱企业发展政策。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5"/>
        <w:spacing w:line="500" w:lineRule="exact"/>
        <w:ind w:firstLine="482" w:firstLineChars="200"/>
        <w:rPr>
          <w:rFonts w:hint="eastAsia" w:ascii="方正仿宋_GBK" w:eastAsia="方正仿宋_GBK"/>
          <w:b/>
          <w:sz w:val="24"/>
        </w:rPr>
      </w:pPr>
      <w:r>
        <w:rPr>
          <w:rFonts w:hint="eastAsia" w:ascii="方正仿宋_GBK" w:eastAsia="方正仿宋_GBK"/>
          <w:b/>
          <w:sz w:val="24"/>
        </w:rPr>
        <w:t>七、投标有关规定</w:t>
      </w:r>
      <w:bookmarkEnd w:id="9"/>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（一）单位负责人为同一人或者存在直接控股、管理关系的不同投标人，不得参加同一合同项（分包）下的政府采购活动。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（二）为采购项目提供整体设计、规范编制或者项目管理、监理、检测等服务的投标人，不得再参加该采购项目的其他采购活动。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本项目的补遗文件（如果有）一律在“重庆市公共资源交易网（合川区）”（https://www.cqggzy.com/hechuanweb/）和“重庆市政府采购网”（http://www.ccgp-chongqing.gov.cn）上发布，请各投标人注意下载；无论投标人下载与否，均视同投标人已知晓本项目补遗文件的内容。</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（四）超过投标截止时间递交的投标文件，恕不接收。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（五）投标费用：无论投标结果如何，投标人参与本项目投标的所有费用均应由投标人自行承担。</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（六）本项目不接受联合体参与投标（注①）。</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pStyle w:val="5"/>
        <w:spacing w:line="500" w:lineRule="exact"/>
        <w:ind w:firstLine="482" w:firstLineChars="200"/>
        <w:rPr>
          <w:rFonts w:hint="eastAsia" w:ascii="方正仿宋_GBK" w:eastAsia="方正仿宋_GBK"/>
          <w:b/>
          <w:sz w:val="24"/>
        </w:rPr>
      </w:pPr>
      <w:bookmarkStart w:id="10" w:name="_Toc441065659"/>
      <w:r>
        <w:rPr>
          <w:rFonts w:hint="eastAsia" w:ascii="方正仿宋_GBK" w:eastAsia="方正仿宋_GBK"/>
          <w:b/>
          <w:sz w:val="24"/>
        </w:rPr>
        <w:t>八、联系方式</w:t>
      </w:r>
      <w:bookmarkEnd w:id="1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（一）采购人：重庆市合川区人民医院</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联系人：张倩</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电  话：18996256218  </w:t>
      </w:r>
    </w:p>
    <w:p>
      <w:pPr>
        <w:snapToGrid w:val="0"/>
        <w:spacing w:line="400" w:lineRule="exact"/>
        <w:ind w:firstLine="480" w:firstLineChars="200"/>
        <w:rPr>
          <w:rFonts w:ascii="宋体" w:hAnsi="宋体" w:cs="宋体"/>
          <w:sz w:val="24"/>
          <w:szCs w:val="24"/>
        </w:rPr>
      </w:pPr>
      <w:r>
        <w:rPr>
          <w:rFonts w:hint="eastAsia" w:ascii="方正仿宋_GBK" w:hAnsi="宋体" w:eastAsia="方正仿宋_GBK"/>
          <w:sz w:val="24"/>
          <w:szCs w:val="24"/>
        </w:rPr>
        <w:t>地  址：重庆市合川区希尔安大道1366号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（二）集中采购机构：重庆市合川区公共资源交易中心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联系人：林倩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话：023-42757305</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地  址：重庆市合川区希尔安大道225号文化艺术中心五楼 </w:t>
      </w:r>
    </w:p>
    <w:p>
      <w:pPr>
        <w:pStyle w:val="4"/>
        <w:spacing w:beforeLines="0" w:afterLines="0" w:line="360" w:lineRule="auto"/>
        <w:rPr>
          <w:rFonts w:hint="eastAsia" w:ascii="方正小标宋_GBK" w:eastAsia="方正小标宋_GBK"/>
        </w:rPr>
      </w:pPr>
      <w:r>
        <w:br w:type="page"/>
      </w:r>
      <w:bookmarkStart w:id="11" w:name="_Toc441065660"/>
      <w:r>
        <w:rPr>
          <w:rFonts w:hint="eastAsia" w:ascii="方正小标宋_GBK" w:eastAsia="方正小标宋_GBK"/>
        </w:rPr>
        <w:t>第二篇 项目技术规格、数量及质量要求</w:t>
      </w:r>
      <w:bookmarkEnd w:id="11"/>
    </w:p>
    <w:p>
      <w:pPr>
        <w:pStyle w:val="5"/>
        <w:spacing w:line="500" w:lineRule="exact"/>
        <w:rPr>
          <w:rFonts w:hint="eastAsia" w:ascii="仿宋" w:hAnsi="仿宋" w:eastAsia="仿宋"/>
          <w:b/>
          <w:sz w:val="24"/>
          <w:szCs w:val="24"/>
        </w:rPr>
      </w:pPr>
      <w:bookmarkStart w:id="12" w:name="_Toc441065661"/>
      <w:r>
        <w:rPr>
          <w:rFonts w:hint="eastAsia" w:ascii="仿宋" w:hAnsi="仿宋" w:eastAsia="仿宋"/>
          <w:b/>
          <w:sz w:val="24"/>
          <w:szCs w:val="24"/>
        </w:rPr>
        <w:t>一、招标项目一览表</w:t>
      </w:r>
      <w:bookmarkEnd w:id="12"/>
    </w:p>
    <w:tbl>
      <w:tblPr>
        <w:tblStyle w:val="59"/>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1035"/>
        <w:gridCol w:w="794"/>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货物名称</w:t>
            </w:r>
          </w:p>
        </w:tc>
        <w:tc>
          <w:tcPr>
            <w:tcW w:w="1035" w:type="dxa"/>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单位</w:t>
            </w:r>
          </w:p>
        </w:tc>
        <w:tc>
          <w:tcPr>
            <w:tcW w:w="794" w:type="dxa"/>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数量</w:t>
            </w:r>
          </w:p>
        </w:tc>
        <w:tc>
          <w:tcPr>
            <w:tcW w:w="4725" w:type="dxa"/>
          </w:tcPr>
          <w:p>
            <w:pPr>
              <w:spacing w:line="360" w:lineRule="auto"/>
              <w:ind w:firstLine="2160" w:firstLineChars="900"/>
              <w:rPr>
                <w:rFonts w:hint="eastAsia" w:ascii="方正仿宋_GBK" w:hAnsi="Calibri" w:eastAsia="方正仿宋_GBK"/>
                <w:sz w:val="24"/>
                <w:szCs w:val="24"/>
              </w:rPr>
            </w:pPr>
            <w:r>
              <w:rPr>
                <w:rFonts w:hint="eastAsia" w:ascii="方正仿宋_GBK" w:hAnsi="Calibri"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数据库服务器</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c>
          <w:tcPr>
            <w:tcW w:w="4725" w:type="dxa"/>
          </w:tcPr>
          <w:p>
            <w:pPr>
              <w:spacing w:line="360" w:lineRule="auto"/>
              <w:rPr>
                <w:rFonts w:hint="eastAsia" w:ascii="方正仿宋_GBK"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虚拟化服务器</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7</w:t>
            </w:r>
          </w:p>
        </w:tc>
        <w:tc>
          <w:tcPr>
            <w:tcW w:w="4725" w:type="dxa"/>
          </w:tcPr>
          <w:p>
            <w:pPr>
              <w:spacing w:line="360" w:lineRule="auto"/>
              <w:rPr>
                <w:rFonts w:hint="eastAsia" w:ascii="方正仿宋_GBK"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服务器机柜</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3</w:t>
            </w:r>
          </w:p>
        </w:tc>
        <w:tc>
          <w:tcPr>
            <w:tcW w:w="4725" w:type="dxa"/>
          </w:tcPr>
          <w:p>
            <w:pPr>
              <w:spacing w:line="360" w:lineRule="auto"/>
              <w:rPr>
                <w:rFonts w:hint="eastAsia" w:ascii="方正仿宋_GBK"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光纤交换机</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c>
          <w:tcPr>
            <w:tcW w:w="4725" w:type="dxa"/>
          </w:tcPr>
          <w:p>
            <w:pPr>
              <w:spacing w:line="360" w:lineRule="auto"/>
              <w:rPr>
                <w:rFonts w:hint="eastAsia" w:ascii="方正仿宋_GBK"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存储</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c>
          <w:tcPr>
            <w:tcW w:w="4725" w:type="dxa"/>
          </w:tcPr>
          <w:p>
            <w:pPr>
              <w:spacing w:line="360" w:lineRule="auto"/>
              <w:rPr>
                <w:rFonts w:hint="eastAsia" w:ascii="方正仿宋_GBK" w:hAnsi="Calibri"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操作系统</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c>
          <w:tcPr>
            <w:tcW w:w="472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Windows Server 2019 数据中心版（开放式许可，按客户授权，支持降级使用）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操作系统</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16</w:t>
            </w:r>
          </w:p>
        </w:tc>
        <w:tc>
          <w:tcPr>
            <w:tcW w:w="472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Windows Server 2019 标准版（开放式许可，按客户授权，支持降级使用）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服务器虚拟化扩容</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w:t>
            </w:r>
          </w:p>
        </w:tc>
        <w:tc>
          <w:tcPr>
            <w:tcW w:w="472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VMware Vcenter 7.0 非OEM 版，含一年原厂服务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04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服务器虚拟化扩容</w:t>
            </w:r>
          </w:p>
        </w:tc>
        <w:tc>
          <w:tcPr>
            <w:tcW w:w="103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CPU</w:t>
            </w:r>
          </w:p>
        </w:tc>
        <w:tc>
          <w:tcPr>
            <w:tcW w:w="794"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14</w:t>
            </w:r>
          </w:p>
        </w:tc>
        <w:tc>
          <w:tcPr>
            <w:tcW w:w="4725" w:type="dxa"/>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VMware Vsphere 7.0 非OEM 版，含一年原厂服务</w:t>
            </w:r>
          </w:p>
        </w:tc>
      </w:tr>
    </w:tbl>
    <w:p>
      <w:pPr>
        <w:pStyle w:val="5"/>
        <w:spacing w:line="500" w:lineRule="exact"/>
        <w:rPr>
          <w:rFonts w:hint="eastAsia" w:ascii="仿宋" w:hAnsi="仿宋" w:eastAsia="仿宋"/>
          <w:b/>
          <w:sz w:val="24"/>
          <w:szCs w:val="24"/>
        </w:rPr>
      </w:pPr>
      <w:bookmarkStart w:id="13" w:name="_Toc441065662"/>
      <w:r>
        <w:rPr>
          <w:rFonts w:hint="eastAsia" w:ascii="仿宋" w:hAnsi="仿宋" w:eastAsia="仿宋"/>
          <w:b/>
          <w:sz w:val="24"/>
          <w:szCs w:val="24"/>
        </w:rPr>
        <w:t>二、招标项目技术需求</w:t>
      </w:r>
      <w:bookmarkEnd w:id="13"/>
      <w:bookmarkStart w:id="14" w:name="_Toc441065665"/>
    </w:p>
    <w:tbl>
      <w:tblPr>
        <w:tblStyle w:val="59"/>
        <w:tblW w:w="8725" w:type="dxa"/>
        <w:tblInd w:w="402" w:type="dxa"/>
        <w:tblLayout w:type="fixed"/>
        <w:tblCellMar>
          <w:top w:w="0" w:type="dxa"/>
          <w:left w:w="108" w:type="dxa"/>
          <w:bottom w:w="0" w:type="dxa"/>
          <w:right w:w="108" w:type="dxa"/>
        </w:tblCellMar>
      </w:tblPr>
      <w:tblGrid>
        <w:gridCol w:w="750"/>
        <w:gridCol w:w="1712"/>
        <w:gridCol w:w="4688"/>
        <w:gridCol w:w="762"/>
        <w:gridCol w:w="813"/>
      </w:tblGrid>
      <w:tr>
        <w:tblPrEx>
          <w:tblLayout w:type="fixed"/>
          <w:tblCellMar>
            <w:top w:w="0" w:type="dxa"/>
            <w:left w:w="108" w:type="dxa"/>
            <w:bottom w:w="0" w:type="dxa"/>
            <w:right w:w="108" w:type="dxa"/>
          </w:tblCellMar>
        </w:tblPrEx>
        <w:trPr>
          <w:trHeight w:val="204"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序号</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产品名称</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技术参数</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单位</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数量</w:t>
            </w:r>
          </w:p>
        </w:tc>
      </w:tr>
      <w:tr>
        <w:tblPrEx>
          <w:tblLayout w:type="fixed"/>
          <w:tblCellMar>
            <w:top w:w="0" w:type="dxa"/>
            <w:left w:w="108" w:type="dxa"/>
            <w:bottom w:w="0" w:type="dxa"/>
            <w:right w:w="108" w:type="dxa"/>
          </w:tblCellMar>
        </w:tblPrEx>
        <w:trPr>
          <w:trHeight w:val="2675"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数据库服务器</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 型号：机架式</w:t>
            </w:r>
            <w:r>
              <w:rPr>
                <w:rFonts w:hint="eastAsia" w:ascii="方正仿宋_GBK" w:hAnsi="Calibri" w:eastAsia="方正仿宋_GBK"/>
                <w:sz w:val="24"/>
                <w:szCs w:val="24"/>
              </w:rPr>
              <w:br w:type="textWrapping"/>
            </w:r>
            <w:r>
              <w:rPr>
                <w:rFonts w:hint="eastAsia" w:ascii="方正仿宋_GBK" w:hAnsi="Calibri" w:eastAsia="方正仿宋_GBK"/>
                <w:sz w:val="24"/>
                <w:szCs w:val="24"/>
              </w:rPr>
              <w:t>2. CPU：配置≥4颗intel至强金牌CPU(单颗CPU主频≥2.2GHz，核数≥16-Core)处理器,L3 Cache≥22M;</w:t>
            </w:r>
            <w:r>
              <w:rPr>
                <w:rFonts w:hint="eastAsia" w:ascii="方正仿宋_GBK" w:hAnsi="Calibri" w:eastAsia="方正仿宋_GBK"/>
                <w:sz w:val="24"/>
                <w:szCs w:val="24"/>
              </w:rPr>
              <w:br w:type="textWrapping"/>
            </w:r>
            <w:r>
              <w:rPr>
                <w:rFonts w:hint="eastAsia" w:ascii="方正仿宋_GBK" w:hAnsi="Calibri" w:eastAsia="方正仿宋_GBK"/>
                <w:sz w:val="24"/>
                <w:szCs w:val="24"/>
              </w:rPr>
              <w:t>3. 内存：配置≥1.5T 2933MT/s DDR4 RDIMM内存；</w:t>
            </w:r>
            <w:r>
              <w:rPr>
                <w:rFonts w:hint="eastAsia" w:ascii="方正仿宋_GBK" w:hAnsi="Calibri" w:eastAsia="方正仿宋_GBK"/>
                <w:sz w:val="24"/>
                <w:szCs w:val="24"/>
              </w:rPr>
              <w:br w:type="textWrapping"/>
            </w:r>
            <w:r>
              <w:rPr>
                <w:rFonts w:hint="eastAsia" w:ascii="方正仿宋_GBK" w:hAnsi="Calibri" w:eastAsia="方正仿宋_GBK"/>
                <w:sz w:val="24"/>
                <w:szCs w:val="24"/>
              </w:rPr>
              <w:t>4. 硬盘：配置≥4块600GB 10K SAS硬盘；</w:t>
            </w:r>
            <w:r>
              <w:rPr>
                <w:rFonts w:hint="eastAsia" w:ascii="方正仿宋_GBK" w:hAnsi="Calibri" w:eastAsia="方正仿宋_GBK"/>
                <w:sz w:val="24"/>
                <w:szCs w:val="24"/>
              </w:rPr>
              <w:br w:type="textWrapping"/>
            </w:r>
            <w:r>
              <w:rPr>
                <w:rFonts w:hint="eastAsia" w:ascii="方正仿宋_GBK" w:hAnsi="Calibri" w:eastAsia="方正仿宋_GBK"/>
                <w:sz w:val="24"/>
                <w:szCs w:val="24"/>
              </w:rPr>
              <w:t>5. RAID：配置独立RAID卡，支持RAID 0/1；</w:t>
            </w:r>
            <w:r>
              <w:rPr>
                <w:rFonts w:hint="eastAsia" w:ascii="方正仿宋_GBK" w:hAnsi="Calibri" w:eastAsia="方正仿宋_GBK"/>
                <w:sz w:val="24"/>
                <w:szCs w:val="24"/>
              </w:rPr>
              <w:br w:type="textWrapping"/>
            </w:r>
            <w:r>
              <w:rPr>
                <w:rFonts w:hint="eastAsia" w:ascii="方正仿宋_GBK" w:hAnsi="Calibri" w:eastAsia="方正仿宋_GBK"/>
                <w:sz w:val="24"/>
                <w:szCs w:val="24"/>
              </w:rPr>
              <w:t>6. 网卡: 配置≥2个1000M电口，配置≥2个10GE光口（满配多模光模块）；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7. HBA卡：配置≥2块双端口16Gb FC HBA卡(满配多模光模块)；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8. 电源：配置冗余电源模块；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9.服务器与本次采购存储为同一品牌；</w:t>
            </w:r>
            <w:r>
              <w:rPr>
                <w:rFonts w:hint="eastAsia" w:ascii="方正仿宋_GBK" w:hAnsi="Calibri" w:eastAsia="方正仿宋_GBK"/>
                <w:sz w:val="24"/>
                <w:szCs w:val="24"/>
              </w:rPr>
              <w:br w:type="textWrapping"/>
            </w:r>
            <w:r>
              <w:rPr>
                <w:rFonts w:hint="eastAsia" w:ascii="方正仿宋_GBK" w:hAnsi="Calibri" w:eastAsia="方正仿宋_GBK"/>
                <w:sz w:val="24"/>
                <w:szCs w:val="24"/>
              </w:rPr>
              <w:t>10.含3年原厂维保服务。</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r>
      <w:tr>
        <w:tblPrEx>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虚拟化服务器</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 型号：机架式</w:t>
            </w:r>
            <w:r>
              <w:rPr>
                <w:rFonts w:hint="eastAsia" w:ascii="方正仿宋_GBK" w:hAnsi="Calibri" w:eastAsia="方正仿宋_GBK"/>
                <w:sz w:val="24"/>
                <w:szCs w:val="24"/>
              </w:rPr>
              <w:br w:type="textWrapping"/>
            </w:r>
            <w:r>
              <w:rPr>
                <w:rFonts w:hint="eastAsia" w:ascii="方正仿宋_GBK" w:hAnsi="Calibri" w:eastAsia="方正仿宋_GBK"/>
                <w:sz w:val="24"/>
                <w:szCs w:val="24"/>
              </w:rPr>
              <w:t>2. CPU：配置≥2颗intel至强金牌CPU(单颗CPU主频≥2.4GHz，核数≥24-Core)处理器,L3 Cache≥35M；</w:t>
            </w:r>
            <w:r>
              <w:rPr>
                <w:rFonts w:hint="eastAsia" w:ascii="方正仿宋_GBK" w:hAnsi="Calibri" w:eastAsia="方正仿宋_GBK"/>
                <w:sz w:val="24"/>
                <w:szCs w:val="24"/>
              </w:rPr>
              <w:br w:type="textWrapping"/>
            </w:r>
            <w:r>
              <w:rPr>
                <w:rFonts w:hint="eastAsia" w:ascii="方正仿宋_GBK" w:hAnsi="Calibri" w:eastAsia="方正仿宋_GBK"/>
                <w:sz w:val="24"/>
                <w:szCs w:val="24"/>
              </w:rPr>
              <w:t>3. 内存：配置≥1.5T 2933MT/s DDR4 RDIMM内存；</w:t>
            </w:r>
            <w:r>
              <w:rPr>
                <w:rFonts w:hint="eastAsia" w:ascii="方正仿宋_GBK" w:hAnsi="Calibri" w:eastAsia="方正仿宋_GBK"/>
                <w:sz w:val="24"/>
                <w:szCs w:val="24"/>
              </w:rPr>
              <w:br w:type="textWrapping"/>
            </w:r>
            <w:r>
              <w:rPr>
                <w:rFonts w:hint="eastAsia" w:ascii="方正仿宋_GBK" w:hAnsi="Calibri" w:eastAsia="方正仿宋_GBK"/>
                <w:sz w:val="24"/>
                <w:szCs w:val="24"/>
              </w:rPr>
              <w:t>4. 硬盘：配置≥4块600GB 10K SAS硬盘；</w:t>
            </w:r>
            <w:r>
              <w:rPr>
                <w:rFonts w:hint="eastAsia" w:ascii="方正仿宋_GBK" w:hAnsi="Calibri" w:eastAsia="方正仿宋_GBK"/>
                <w:sz w:val="24"/>
                <w:szCs w:val="24"/>
              </w:rPr>
              <w:br w:type="textWrapping"/>
            </w:r>
            <w:r>
              <w:rPr>
                <w:rFonts w:hint="eastAsia" w:ascii="方正仿宋_GBK" w:hAnsi="Calibri" w:eastAsia="方正仿宋_GBK"/>
                <w:sz w:val="24"/>
                <w:szCs w:val="24"/>
              </w:rPr>
              <w:t>5. RAID：配置独立RAID卡，支持RAID 0/1；</w:t>
            </w:r>
            <w:r>
              <w:rPr>
                <w:rFonts w:hint="eastAsia" w:ascii="方正仿宋_GBK" w:hAnsi="Calibri" w:eastAsia="方正仿宋_GBK"/>
                <w:sz w:val="24"/>
                <w:szCs w:val="24"/>
              </w:rPr>
              <w:br w:type="textWrapping"/>
            </w:r>
            <w:r>
              <w:rPr>
                <w:rFonts w:hint="eastAsia" w:ascii="方正仿宋_GBK" w:hAnsi="Calibri" w:eastAsia="方正仿宋_GBK"/>
                <w:sz w:val="24"/>
                <w:szCs w:val="24"/>
              </w:rPr>
              <w:t>6. 网卡: 配置≥2个千兆电口，配置≥2个10GE光口（满配多模光模块）；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7. HBA卡：配置≥2块双端口16Gb FC HBA卡(满配多模光模块)；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8. 电源：配置冗余电源模块；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9.服务器与本次采购存储为同一品牌；</w:t>
            </w:r>
            <w:r>
              <w:rPr>
                <w:rFonts w:hint="eastAsia" w:ascii="方正仿宋_GBK" w:hAnsi="Calibri" w:eastAsia="方正仿宋_GBK"/>
                <w:sz w:val="24"/>
                <w:szCs w:val="24"/>
              </w:rPr>
              <w:br w:type="textWrapping"/>
            </w:r>
            <w:r>
              <w:rPr>
                <w:rFonts w:hint="eastAsia" w:ascii="方正仿宋_GBK" w:hAnsi="Calibri" w:eastAsia="方正仿宋_GBK"/>
                <w:sz w:val="24"/>
                <w:szCs w:val="24"/>
              </w:rPr>
              <w:t>10. 含3年原厂维保服务。</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7</w:t>
            </w:r>
          </w:p>
        </w:tc>
      </w:tr>
      <w:tr>
        <w:tblPrEx>
          <w:tblLayout w:type="fixed"/>
          <w:tblCellMar>
            <w:top w:w="0" w:type="dxa"/>
            <w:left w:w="108" w:type="dxa"/>
            <w:bottom w:w="0" w:type="dxa"/>
            <w:right w:w="108" w:type="dxa"/>
          </w:tblCellMar>
        </w:tblPrEx>
        <w:trPr>
          <w:trHeight w:val="3676"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3</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存储</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 配置控制器数量≥2，具备Active-Active双控制器架构。配置NAS协议（包括NFS和CIFS）、IP SAN、FC SAN协议；</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2.采用多核处理器，配置控制器处理器（不含ASIC）总物理核心数≥40核；</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3. 缓存：系统内总一级缓存容量配置≥256GB，且任意控制器一级缓存容量≥128GB（不含任何性能加速模块、FlashCache、PAM卡，SSD Cache、SCM等）控制器缓存均具备断电保护功能， 在出现电源故障时，可提供充足的电源，将高速缓存内容转储至非易失性内部存储设备上（非通用服务器架构）；</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4. 前端接口：配置≥8个千兆网口，配置≥8个万兆光口，配置≥8个16Gb FC接口（端口满配光模块）；</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5. 后端接口：配置≥4*4*12Gbps SAS3.0磁盘通道；</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6. 硬盘：配置≥200TB 10K  SAS 硬盘，最大支持≥900个磁盘扩展插槽，未来磁盘阵列扩充容量不得另外收取license费用；</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7. RAID支持：支持RAID 1、RAID 3、RAID 10、RAID50、RAID5、RAID6等可选配置，提供功能截图证明并加盖存储厂商有效印章；</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8. 配置存储SAN+NAS一体化双活功能，任意一套设备宕机均不影响上层业务系统运行（业务不中断）。支持双仲裁服务器配置，支持FC链路复制，SAN双活支持双活流量分担，支持故障自动切换和回切；</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9.配置自动精简配置、多租户、智能数据迁移、文件配额、NDMP功能，QoS功能等存储高级特性license；</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10.存储与本次采购服务器为同一品牌；</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11. 含3年原厂维保。</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r>
      <w:tr>
        <w:tblPrEx>
          <w:tblLayout w:type="fixed"/>
          <w:tblCellMar>
            <w:top w:w="0" w:type="dxa"/>
            <w:left w:w="108" w:type="dxa"/>
            <w:bottom w:w="0" w:type="dxa"/>
            <w:right w:w="108" w:type="dxa"/>
          </w:tblCellMar>
        </w:tblPrEx>
        <w:trPr>
          <w:trHeight w:val="848"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4</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光纤交换机</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 交换机模式，24个端口，激活24个16Gb端口；</w:t>
            </w:r>
            <w:r>
              <w:rPr>
                <w:rFonts w:hint="eastAsia" w:ascii="方正仿宋_GBK" w:hAnsi="Calibri" w:eastAsia="方正仿宋_GBK"/>
                <w:sz w:val="24"/>
                <w:szCs w:val="24"/>
              </w:rPr>
              <w:br w:type="textWrapping"/>
            </w:r>
            <w:r>
              <w:rPr>
                <w:rFonts w:hint="eastAsia" w:ascii="方正仿宋_GBK" w:hAnsi="Calibri" w:eastAsia="方正仿宋_GBK"/>
                <w:sz w:val="24"/>
                <w:szCs w:val="24"/>
              </w:rPr>
              <w:t>2. 满配16Gb多模光模块；</w:t>
            </w:r>
            <w:r>
              <w:rPr>
                <w:rFonts w:hint="eastAsia" w:ascii="方正仿宋_GBK" w:hAnsi="Calibri" w:eastAsia="方正仿宋_GBK"/>
                <w:sz w:val="24"/>
                <w:szCs w:val="24"/>
              </w:rPr>
              <w:br w:type="textWrapping"/>
            </w:r>
            <w:r>
              <w:rPr>
                <w:rFonts w:hint="eastAsia" w:ascii="方正仿宋_GBK" w:hAnsi="Calibri" w:eastAsia="方正仿宋_GBK"/>
                <w:sz w:val="24"/>
                <w:szCs w:val="24"/>
              </w:rPr>
              <w:t>3. FC存储专用多模万兆光纤线，FC-FC，10米，24对；</w:t>
            </w:r>
            <w:r>
              <w:rPr>
                <w:rFonts w:hint="eastAsia" w:ascii="方正仿宋_GBK" w:hAnsi="Calibri" w:eastAsia="方正仿宋_GBK"/>
                <w:sz w:val="24"/>
                <w:szCs w:val="24"/>
              </w:rPr>
              <w:br w:type="textWrapping"/>
            </w:r>
            <w:r>
              <w:rPr>
                <w:rFonts w:hint="eastAsia" w:ascii="方正仿宋_GBK" w:hAnsi="Calibri" w:eastAsia="方正仿宋_GBK"/>
                <w:sz w:val="24"/>
                <w:szCs w:val="24"/>
              </w:rPr>
              <w:t>4. 含3年原厂维保。</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r>
      <w:tr>
        <w:tblPrEx>
          <w:tblLayout w:type="fixed"/>
          <w:tblCellMar>
            <w:top w:w="0" w:type="dxa"/>
            <w:left w:w="108" w:type="dxa"/>
            <w:bottom w:w="0" w:type="dxa"/>
            <w:right w:w="108" w:type="dxa"/>
          </w:tblCellMar>
        </w:tblPrEx>
        <w:trPr>
          <w:trHeight w:val="699"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5</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服务器机柜</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1.800*1000*2000 42U (宽*深*高度;单位：毫米),黑色；高密度网孔前门（专利）及高密度网孔后门；</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2.黑色SPCC优质冷扎钢板制作；厚度：方孔条2.0mm，托盘2.0mm，安装梁1.5m，其他1.2mm；机柜设有多处进出线口；</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3.标配：1套黑色8位国标可管理式PDU、固定板(3块)、1套风扇组件、4只2"重型脚轮、4只M12支脚、40套M6方螺母螺钉、2套1U金属理线架、1只内六角扳手；</w:t>
            </w:r>
          </w:p>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4.1台 LCD KVM 多端口切换器（1U高度、19"LCD TFT液晶显示屏、超薄键盘 99 键、带数字小键盘，单一控制端管理16台主机，并支持16 口 KVM 无缝混和级联,支持跨平台Windows 2000/XP/Vista、Linux及FreeBSD，16根专用KVM 信号线）</w:t>
            </w:r>
          </w:p>
          <w:p>
            <w:pPr>
              <w:spacing w:line="360" w:lineRule="auto"/>
              <w:rPr>
                <w:rFonts w:hint="eastAsia" w:ascii="方正仿宋_GBK" w:hAnsi="Calibri" w:eastAsia="方正仿宋_GBK"/>
                <w:sz w:val="24"/>
                <w:szCs w:val="24"/>
                <w:lang w:val="en-GB"/>
              </w:rPr>
            </w:pPr>
            <w:r>
              <w:rPr>
                <w:rFonts w:hint="eastAsia" w:ascii="方正仿宋_GBK" w:hAnsi="Calibri" w:eastAsia="方正仿宋_GBK"/>
                <w:sz w:val="24"/>
                <w:szCs w:val="24"/>
              </w:rPr>
              <w:t>5.含3年原厂维保。</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台</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3</w:t>
            </w:r>
          </w:p>
        </w:tc>
      </w:tr>
      <w:tr>
        <w:tblPrEx>
          <w:tblLayout w:type="fixed"/>
          <w:tblCellMar>
            <w:top w:w="0" w:type="dxa"/>
            <w:left w:w="108" w:type="dxa"/>
            <w:bottom w:w="0" w:type="dxa"/>
            <w:right w:w="108" w:type="dxa"/>
          </w:tblCellMar>
        </w:tblPrEx>
        <w:trPr>
          <w:trHeight w:val="555"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6</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操作系统</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Windows Server 2019 数据中心版（开放式许可，按客户授权，支持降级使用）</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2</w:t>
            </w:r>
          </w:p>
        </w:tc>
      </w:tr>
      <w:tr>
        <w:tblPrEx>
          <w:tblLayout w:type="fixed"/>
          <w:tblCellMar>
            <w:top w:w="0" w:type="dxa"/>
            <w:left w:w="108" w:type="dxa"/>
            <w:bottom w:w="0" w:type="dxa"/>
            <w:right w:w="108" w:type="dxa"/>
          </w:tblCellMar>
        </w:tblPrEx>
        <w:trPr>
          <w:trHeight w:val="563"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7</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操作系统</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Windows Server 2019 标准版（开放式许可，按客户授权，支持降级使用）</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16</w:t>
            </w:r>
          </w:p>
        </w:tc>
      </w:tr>
      <w:tr>
        <w:tblPrEx>
          <w:tblLayout w:type="fixed"/>
          <w:tblCellMar>
            <w:top w:w="0" w:type="dxa"/>
            <w:left w:w="108" w:type="dxa"/>
            <w:bottom w:w="0" w:type="dxa"/>
            <w:right w:w="108" w:type="dxa"/>
          </w:tblCellMar>
        </w:tblPrEx>
        <w:trPr>
          <w:trHeight w:val="402"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8</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服务器虚拟化扩容</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VMware Vcenter 7.0 非OEM 版，含一年原厂服务</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套</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w:t>
            </w:r>
          </w:p>
        </w:tc>
      </w:tr>
      <w:tr>
        <w:tblPrEx>
          <w:tblLayout w:type="fixed"/>
          <w:tblCellMar>
            <w:top w:w="0" w:type="dxa"/>
            <w:left w:w="108" w:type="dxa"/>
            <w:bottom w:w="0" w:type="dxa"/>
            <w:right w:w="108" w:type="dxa"/>
          </w:tblCellMar>
        </w:tblPrEx>
        <w:trPr>
          <w:trHeight w:val="712" w:hRule="atLeast"/>
        </w:trPr>
        <w:tc>
          <w:tcPr>
            <w:tcW w:w="75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9</w:t>
            </w:r>
          </w:p>
        </w:tc>
        <w:tc>
          <w:tcPr>
            <w:tcW w:w="171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服务器虚拟化扩容</w:t>
            </w:r>
          </w:p>
        </w:tc>
        <w:tc>
          <w:tcPr>
            <w:tcW w:w="4688"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VMware Vsphere 7.0 非OEM 版，含一年原厂服务</w:t>
            </w:r>
          </w:p>
        </w:tc>
        <w:tc>
          <w:tcPr>
            <w:tcW w:w="762"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CPU</w:t>
            </w:r>
          </w:p>
        </w:tc>
        <w:tc>
          <w:tcPr>
            <w:tcW w:w="813" w:type="dxa"/>
            <w:tcBorders>
              <w:top w:val="single" w:color="auto" w:sz="4" w:space="0"/>
              <w:left w:val="nil"/>
              <w:bottom w:val="single" w:color="auto" w:sz="4" w:space="0"/>
              <w:right w:val="single" w:color="auto" w:sz="4" w:space="0"/>
            </w:tcBorders>
            <w:shd w:val="clear" w:color="000000" w:fill="FFFFFF"/>
            <w:vAlign w:val="center"/>
          </w:tcPr>
          <w:p>
            <w:pPr>
              <w:spacing w:line="360" w:lineRule="auto"/>
              <w:rPr>
                <w:rFonts w:hint="eastAsia" w:ascii="方正仿宋_GBK" w:hAnsi="Calibri" w:eastAsia="方正仿宋_GBK"/>
                <w:sz w:val="24"/>
                <w:szCs w:val="24"/>
              </w:rPr>
            </w:pPr>
            <w:r>
              <w:rPr>
                <w:rFonts w:hint="eastAsia" w:ascii="方正仿宋_GBK" w:hAnsi="Calibri" w:eastAsia="方正仿宋_GBK"/>
                <w:sz w:val="24"/>
                <w:szCs w:val="24"/>
              </w:rPr>
              <w:t>14</w:t>
            </w:r>
          </w:p>
        </w:tc>
      </w:tr>
    </w:tbl>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4"/>
        <w:spacing w:beforeLines="0" w:afterLines="0" w:line="360" w:lineRule="auto"/>
        <w:rPr>
          <w:rFonts w:hint="eastAsia" w:ascii="方正小标宋_GBK" w:eastAsia="方正小标宋_GBK"/>
        </w:rPr>
      </w:pPr>
      <w:r>
        <w:rPr>
          <w:rFonts w:hint="eastAsia" w:ascii="方正小标宋_GBK" w:eastAsia="方正小标宋_GBK"/>
        </w:rPr>
        <w:t>第三篇  项目商务要求</w:t>
      </w:r>
      <w:bookmarkEnd w:id="14"/>
    </w:p>
    <w:p>
      <w:pPr>
        <w:pStyle w:val="5"/>
        <w:spacing w:line="400" w:lineRule="exact"/>
        <w:ind w:firstLine="482" w:firstLineChars="200"/>
        <w:rPr>
          <w:rFonts w:ascii="方正仿宋_GBK" w:eastAsia="方正仿宋_GBK"/>
          <w:b/>
          <w:sz w:val="24"/>
          <w:szCs w:val="24"/>
        </w:rPr>
      </w:pPr>
      <w:r>
        <w:rPr>
          <w:rFonts w:hint="eastAsia" w:ascii="方正仿宋_GBK" w:eastAsia="方正仿宋_GBK"/>
          <w:b/>
          <w:sz w:val="24"/>
          <w:szCs w:val="24"/>
        </w:rPr>
        <w:t>一、交货期、交货地点及验收方式</w:t>
      </w:r>
    </w:p>
    <w:p>
      <w:pPr>
        <w:snapToGrid w:val="0"/>
        <w:spacing w:line="400" w:lineRule="exact"/>
        <w:ind w:firstLine="360" w:firstLineChars="15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（一）交货期</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中标人应在采购合同签订后30个日历日内交货并完成安装调试。</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（二）交货地点</w:t>
      </w:r>
    </w:p>
    <w:p>
      <w:pPr>
        <w:pStyle w:val="3"/>
        <w:ind w:firstLine="480" w:firstLineChars="200"/>
        <w:rPr>
          <w:rFonts w:hint="eastAsia" w:ascii="方正仿宋_GBK" w:hAnsi="宋体" w:eastAsia="方正仿宋_GBK" w:cs="宋体"/>
          <w:sz w:val="24"/>
          <w:szCs w:val="24"/>
        </w:rPr>
      </w:pPr>
      <w:r>
        <w:rPr>
          <w:rFonts w:hint="eastAsia" w:ascii="方正仿宋_GBK" w:hAnsi="宋体" w:eastAsia="方正仿宋_GBK" w:cs="宋体"/>
          <w:sz w:val="24"/>
          <w:szCs w:val="24"/>
        </w:rPr>
        <w:t>交货地点：合川区人民医院指定地点。</w:t>
      </w:r>
    </w:p>
    <w:p>
      <w:pPr>
        <w:numPr>
          <w:ilvl w:val="0"/>
          <w:numId w:val="18"/>
        </w:num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验收方式</w:t>
      </w:r>
      <w:bookmarkStart w:id="15" w:name="_Toc13564984"/>
      <w:bookmarkStart w:id="16" w:name="_Toc267320050"/>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1、货物到达现场后，供成交应商应经采购人或其指定验收单位清点品名、规格、数量；检查外观，作出验收记录，双方签字确认。</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2、成交供应商应保证货物到达用户所在地完好无损，如有缺漏、损坏，由供应商负责调换、补齐或赔偿。</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3、成交供应商应提供完备的技术资料、装箱单和合格证等，并派遣专业技术人员进行现场安装调试。验收合格条件如下：</w:t>
      </w:r>
    </w:p>
    <w:p>
      <w:pPr>
        <w:snapToGrid w:val="0"/>
        <w:spacing w:line="400" w:lineRule="exact"/>
        <w:ind w:firstLine="960" w:firstLineChars="400"/>
        <w:rPr>
          <w:rFonts w:hint="eastAsia" w:ascii="方正仿宋_GBK" w:eastAsia="方正仿宋_GBK"/>
          <w:bCs/>
          <w:sz w:val="24"/>
          <w:szCs w:val="24"/>
        </w:rPr>
      </w:pPr>
      <w:r>
        <w:rPr>
          <w:rFonts w:hint="eastAsia" w:ascii="方正仿宋_GBK" w:eastAsia="方正仿宋_GBK"/>
          <w:bCs/>
          <w:sz w:val="24"/>
          <w:szCs w:val="24"/>
        </w:rPr>
        <w:t>3.1设备品种、规格、数量、技术参数以及商品品牌、生产厂家等与采购合同一致，性能指标达到规定的标准</w:t>
      </w:r>
    </w:p>
    <w:p>
      <w:pPr>
        <w:snapToGrid w:val="0"/>
        <w:spacing w:line="400" w:lineRule="exact"/>
        <w:ind w:firstLine="960" w:firstLineChars="400"/>
        <w:rPr>
          <w:rFonts w:hint="eastAsia" w:ascii="方正仿宋_GBK" w:eastAsia="方正仿宋_GBK"/>
          <w:bCs/>
          <w:sz w:val="24"/>
          <w:szCs w:val="24"/>
        </w:rPr>
      </w:pPr>
      <w:r>
        <w:rPr>
          <w:rFonts w:hint="eastAsia" w:ascii="方正仿宋_GBK" w:eastAsia="方正仿宋_GBK"/>
          <w:bCs/>
          <w:sz w:val="24"/>
          <w:szCs w:val="24"/>
        </w:rPr>
        <w:t>3.2货物技术资料、装箱单、合格证等资料齐全。</w:t>
      </w:r>
    </w:p>
    <w:p>
      <w:pPr>
        <w:snapToGrid w:val="0"/>
        <w:spacing w:line="400" w:lineRule="exact"/>
        <w:ind w:firstLine="960" w:firstLineChars="400"/>
        <w:rPr>
          <w:rFonts w:hint="eastAsia" w:ascii="方正仿宋_GBK" w:eastAsia="方正仿宋_GBK"/>
          <w:bCs/>
          <w:sz w:val="24"/>
          <w:szCs w:val="24"/>
        </w:rPr>
      </w:pPr>
      <w:r>
        <w:rPr>
          <w:rFonts w:hint="eastAsia" w:ascii="方正仿宋_GBK" w:eastAsia="方正仿宋_GBK"/>
          <w:bCs/>
          <w:sz w:val="24"/>
          <w:szCs w:val="24"/>
        </w:rPr>
        <w:t>3.3在规定时间内完成交货并验收，并经采购人确认。</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4、成交供应商提供的货物未达到竞争性谈判规定要求，且对采购人造成损失的，由供应商承担一切责任，并赔偿所造成的损失。</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5、大型或者复杂的政府采购产品项目，采购人可邀请国家认可的质量检测机构参加验收工作。</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6、原厂生产，通过主机编号可以查到该机器所有的配置，机器所有部件和主机编号可以通过官方网站或者400电话查询。</w:t>
      </w:r>
    </w:p>
    <w:p>
      <w:pPr>
        <w:snapToGrid w:val="0"/>
        <w:spacing w:line="400" w:lineRule="exact"/>
        <w:ind w:firstLine="720" w:firstLineChars="300"/>
        <w:rPr>
          <w:rFonts w:hint="eastAsia" w:ascii="方正仿宋_GBK" w:eastAsia="方正仿宋_GBK"/>
          <w:bCs/>
          <w:sz w:val="24"/>
          <w:szCs w:val="24"/>
        </w:rPr>
      </w:pPr>
      <w:r>
        <w:rPr>
          <w:rFonts w:hint="eastAsia" w:ascii="方正仿宋_GBK" w:eastAsia="方正仿宋_GBK"/>
          <w:bCs/>
          <w:sz w:val="24"/>
          <w:szCs w:val="24"/>
        </w:rPr>
        <w:t>7、采购人需要厂家对成交供应商交付的产品（包括质量、技术参数等）进行确认的，厂家应予以配合，并出具书面意见。</w:t>
      </w:r>
    </w:p>
    <w:p>
      <w:pPr>
        <w:pStyle w:val="5"/>
        <w:spacing w:line="40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8、产品包装材料归采购人所有。</w:t>
      </w:r>
    </w:p>
    <w:p>
      <w:pPr>
        <w:pStyle w:val="5"/>
        <w:spacing w:line="400" w:lineRule="exact"/>
        <w:ind w:firstLine="482" w:firstLineChars="200"/>
        <w:rPr>
          <w:rFonts w:ascii="方正仿宋_GBK" w:eastAsia="方正仿宋_GBK"/>
          <w:b/>
          <w:sz w:val="24"/>
          <w:szCs w:val="24"/>
        </w:rPr>
      </w:pPr>
      <w:r>
        <w:rPr>
          <w:rFonts w:hint="eastAsia" w:ascii="方正仿宋_GBK" w:eastAsia="方正仿宋_GBK"/>
          <w:b/>
          <w:sz w:val="24"/>
          <w:szCs w:val="24"/>
        </w:rPr>
        <w:t>二、报价要求</w:t>
      </w:r>
      <w:bookmarkEnd w:id="15"/>
    </w:p>
    <w:p>
      <w:pPr>
        <w:pStyle w:val="5"/>
        <w:spacing w:line="400" w:lineRule="exact"/>
        <w:ind w:firstLine="480" w:firstLineChars="200"/>
        <w:rPr>
          <w:rFonts w:hint="eastAsia" w:ascii="方正仿宋_GBK" w:eastAsia="方正仿宋_GBK"/>
          <w:b/>
          <w:color w:val="FF0000"/>
          <w:sz w:val="24"/>
          <w:szCs w:val="24"/>
        </w:rPr>
      </w:pPr>
      <w:bookmarkStart w:id="17" w:name="_Toc13564985"/>
      <w:r>
        <w:rPr>
          <w:rFonts w:hint="eastAsia" w:ascii="方正仿宋_GBK" w:eastAsia="方正仿宋_GBK"/>
          <w:bCs/>
          <w:sz w:val="24"/>
          <w:szCs w:val="24"/>
        </w:rPr>
        <w:t>全部用人民币报价，实行一次性报价。报价含设备、运输、安装、调试、培训、税费等一切费用，即交钥匙价。投标报价超过限价，报价无效。</w:t>
      </w:r>
    </w:p>
    <w:p>
      <w:pPr>
        <w:pStyle w:val="5"/>
        <w:spacing w:line="400" w:lineRule="exact"/>
        <w:ind w:firstLine="482" w:firstLineChars="200"/>
        <w:rPr>
          <w:rFonts w:ascii="方正仿宋_GBK" w:eastAsia="方正仿宋_GBK"/>
          <w:b/>
          <w:color w:val="FF0000"/>
          <w:sz w:val="24"/>
          <w:szCs w:val="24"/>
        </w:rPr>
      </w:pPr>
      <w:r>
        <w:rPr>
          <w:rFonts w:hint="eastAsia" w:ascii="方正仿宋_GBK" w:eastAsia="方正仿宋_GBK"/>
          <w:b/>
          <w:color w:val="FF0000"/>
          <w:sz w:val="24"/>
          <w:szCs w:val="24"/>
        </w:rPr>
        <w:t>三、质量保证及售后服务</w:t>
      </w:r>
      <w:bookmarkEnd w:id="16"/>
      <w:bookmarkEnd w:id="17"/>
    </w:p>
    <w:p>
      <w:pPr>
        <w:ind w:firstLine="720" w:firstLineChars="300"/>
        <w:rPr>
          <w:rFonts w:hint="eastAsia" w:ascii="方正仿宋_GBK" w:hAnsi="宋体" w:eastAsia="方正仿宋_GBK"/>
          <w:bCs/>
          <w:sz w:val="24"/>
          <w:szCs w:val="24"/>
        </w:rPr>
      </w:pPr>
      <w:r>
        <w:rPr>
          <w:rFonts w:hint="eastAsia" w:ascii="方正仿宋_GBK" w:hAnsi="宋体" w:eastAsia="方正仿宋_GBK"/>
          <w:bCs/>
          <w:sz w:val="24"/>
          <w:szCs w:val="24"/>
        </w:rPr>
        <w:t xml:space="preserve">1、成交供应商须在签订本项目合同时提供原厂供针对本次项目加盖产品生产制造厂家鲜章的产品配置确认书及售后服务承诺书原件，否则不予签订合同，并按虚假应标处理。 </w:t>
      </w:r>
    </w:p>
    <w:p>
      <w:p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color w:val="FF0000"/>
          <w:kern w:val="0"/>
          <w:sz w:val="24"/>
          <w:szCs w:val="24"/>
        </w:rPr>
        <w:t>2、供应商应明确承诺：免费原厂整机（含探头）质保3年，提供售后服务承诺书。</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3、投标产品属于国家规定“三包”范围的，其产品质量保证期不得低于“三包”规定。</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4、投标人的质量保证期承诺优于国家“三包”规定的，按投标人实际承诺执行。</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5、投标产品由制造商（指产品生产制造商，或其负责销售、售后服务机构，以下同）负责标准售后服务的，应当在投标文件中予以明确说明,并附制造商售后服务承诺。</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（二）售后服务内容</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成交供应商和厂家在质量保证期内应当为采购人提供以下技术支持服务：</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1、质量保证期内服务要求</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1.1 电话咨询</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成交供应商和厂家应当为用户提供技术援助电话，解答用户在使用中遇到的问题，及时为用户提出解决问题的建议。</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1.2 现场响应</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用户遇到使用及技术问题，电话咨询不能解决的，成交供应商或厂家应在 1 小时内采取相应响应措施；无法在2小时内解决的，应在4小时内派出专业人员进行技术支持。</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1.3 技术升级</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 xml:space="preserve">   在质保期内，如果成交供应商和厂家的产品技术升级，成交供应商应及时通知采购人，如采购人有相应要求，成交供应商和厂家应对采购人进行升级服务。</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2、质保期外服务要求</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2.1 质量保证期过后，成交供应商和厂家应同样提供免费电话咨询服务，并应承诺提供产品上门维护服务。</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2.2 质量保证期过后，采购人需要继续由原成交供应商和厂家提供售后服务的，成交供应商和厂家应以优惠价格提供售后服务。</w:t>
      </w:r>
    </w:p>
    <w:p>
      <w:pPr>
        <w:snapToGrid w:val="0"/>
        <w:spacing w:line="40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（三）故障响应时间要求</w:t>
      </w:r>
    </w:p>
    <w:p>
      <w:pPr>
        <w:snapToGrid w:val="0"/>
        <w:spacing w:line="40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供应商接到使用方产品出现问题的通知后立即作出响应，4 小时内到达现场进行处理。</w:t>
      </w:r>
    </w:p>
    <w:p>
      <w:pPr>
        <w:pStyle w:val="5"/>
        <w:spacing w:line="50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（四）维修配件</w:t>
      </w:r>
    </w:p>
    <w:p>
      <w:pPr>
        <w:pStyle w:val="5"/>
        <w:spacing w:line="500" w:lineRule="exact"/>
        <w:ind w:firstLine="480" w:firstLineChars="200"/>
        <w:rPr>
          <w:rFonts w:hint="eastAsia" w:ascii="方正仿宋_GBK" w:eastAsia="方正仿宋_GBK"/>
          <w:bCs/>
          <w:sz w:val="24"/>
          <w:szCs w:val="24"/>
        </w:rPr>
      </w:pPr>
      <w:r>
        <w:rPr>
          <w:rFonts w:hint="eastAsia" w:ascii="方正仿宋_GBK" w:eastAsia="方正仿宋_GBK"/>
          <w:bCs/>
          <w:sz w:val="24"/>
          <w:szCs w:val="24"/>
        </w:rPr>
        <w:t>成交供应商或厂家应提供备品备件，保证用户应急所需。使用的维修零配件应为原厂配件，未经用户同意不得使用非原厂配件。</w:t>
      </w:r>
    </w:p>
    <w:p>
      <w:pPr>
        <w:snapToGrid w:val="0"/>
        <w:spacing w:line="400" w:lineRule="exact"/>
        <w:ind w:firstLine="482" w:firstLineChars="200"/>
        <w:rPr>
          <w:rFonts w:ascii="方正仿宋_GBK" w:eastAsia="方正仿宋_GBK"/>
          <w:b/>
          <w:sz w:val="24"/>
          <w:szCs w:val="24"/>
        </w:rPr>
      </w:pPr>
      <w:r>
        <w:rPr>
          <w:rFonts w:hint="eastAsia" w:ascii="方正仿宋_GBK" w:eastAsia="方正仿宋_GBK"/>
          <w:b/>
          <w:sz w:val="24"/>
          <w:szCs w:val="24"/>
        </w:rPr>
        <w:t>四</w:t>
      </w:r>
      <w:bookmarkStart w:id="18" w:name="_Toc13564986"/>
      <w:bookmarkStart w:id="19" w:name="_Toc267320051"/>
      <w:r>
        <w:rPr>
          <w:rFonts w:hint="eastAsia" w:ascii="方正仿宋_GBK" w:eastAsia="方正仿宋_GBK"/>
          <w:b/>
          <w:sz w:val="24"/>
          <w:szCs w:val="24"/>
        </w:rPr>
        <w:t>、付款方式</w:t>
      </w:r>
      <w:bookmarkEnd w:id="18"/>
      <w:bookmarkEnd w:id="19"/>
    </w:p>
    <w:p>
      <w:pPr>
        <w:snapToGrid w:val="0"/>
        <w:spacing w:line="400" w:lineRule="exact"/>
        <w:ind w:firstLine="480" w:firstLineChars="200"/>
        <w:rPr>
          <w:rFonts w:ascii="方正仿宋_GBK" w:hAnsi="宋体" w:eastAsia="方正仿宋_GBK" w:cs="宋体"/>
          <w:kern w:val="0"/>
          <w:sz w:val="24"/>
          <w:szCs w:val="24"/>
        </w:rPr>
      </w:pPr>
      <w:bookmarkStart w:id="20" w:name="_Toc267320052"/>
      <w:bookmarkStart w:id="21" w:name="_Toc13564987"/>
      <w:r>
        <w:rPr>
          <w:rFonts w:hint="eastAsia" w:ascii="方正仿宋_GBK" w:hAnsi="宋体" w:eastAsia="方正仿宋_GBK" w:cs="宋体"/>
          <w:kern w:val="0"/>
          <w:sz w:val="24"/>
          <w:szCs w:val="24"/>
        </w:rPr>
        <w:t>成交供应商设备安装调试完毕,经采购人验收合格后， 7个工作日内采购人支付中标合同总款的</w:t>
      </w:r>
      <w:r>
        <w:rPr>
          <w:rFonts w:ascii="方正仿宋_GBK" w:hAnsi="宋体" w:eastAsia="方正仿宋_GBK" w:cs="宋体"/>
          <w:kern w:val="0"/>
          <w:sz w:val="24"/>
          <w:szCs w:val="24"/>
        </w:rPr>
        <w:t>9</w:t>
      </w:r>
      <w:r>
        <w:rPr>
          <w:rFonts w:hint="eastAsia" w:ascii="方正仿宋_GBK" w:hAnsi="宋体" w:eastAsia="方正仿宋_GBK" w:cs="宋体"/>
          <w:kern w:val="0"/>
          <w:sz w:val="24"/>
          <w:szCs w:val="24"/>
        </w:rPr>
        <w:t>5%，剩余总款的5%作质保金，在承诺质保期满无遗留</w:t>
      </w:r>
      <w:r>
        <w:rPr>
          <w:rFonts w:ascii="方正仿宋_GBK" w:hAnsi="宋体" w:eastAsia="方正仿宋_GBK" w:cs="宋体"/>
          <w:kern w:val="0"/>
          <w:sz w:val="24"/>
          <w:szCs w:val="24"/>
        </w:rPr>
        <w:t>问题</w:t>
      </w:r>
      <w:r>
        <w:rPr>
          <w:rFonts w:hint="eastAsia" w:ascii="方正仿宋_GBK" w:hAnsi="宋体" w:eastAsia="方正仿宋_GBK" w:cs="宋体"/>
          <w:kern w:val="0"/>
          <w:sz w:val="24"/>
          <w:szCs w:val="24"/>
        </w:rPr>
        <w:t>7个工作日内</w:t>
      </w:r>
      <w:r>
        <w:rPr>
          <w:rFonts w:ascii="方正仿宋_GBK" w:hAnsi="宋体" w:eastAsia="方正仿宋_GBK" w:cs="宋体"/>
          <w:kern w:val="0"/>
          <w:sz w:val="24"/>
          <w:szCs w:val="24"/>
        </w:rPr>
        <w:t>即付。</w:t>
      </w:r>
    </w:p>
    <w:p>
      <w:pPr>
        <w:pStyle w:val="5"/>
        <w:spacing w:line="500" w:lineRule="exact"/>
        <w:ind w:firstLine="482" w:firstLineChars="200"/>
        <w:rPr>
          <w:rFonts w:hint="eastAsia" w:ascii="方正仿宋_GBK" w:eastAsia="方正仿宋_GBK"/>
          <w:b/>
          <w:sz w:val="24"/>
          <w:szCs w:val="24"/>
        </w:rPr>
      </w:pPr>
      <w:r>
        <w:rPr>
          <w:rFonts w:hint="eastAsia" w:ascii="方正仿宋_GBK" w:eastAsia="方正仿宋_GBK"/>
          <w:b/>
          <w:sz w:val="24"/>
          <w:szCs w:val="24"/>
        </w:rPr>
        <w:t>五、履约保证金</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成交供应商应在合同签订前向采购人缴纳中标金额10%的履约保证金，在验收合格后10日内无息支付给成交供应商。</w:t>
      </w:r>
    </w:p>
    <w:p>
      <w:pPr>
        <w:pStyle w:val="5"/>
        <w:spacing w:line="400" w:lineRule="exact"/>
        <w:ind w:firstLine="482" w:firstLineChars="200"/>
        <w:rPr>
          <w:rFonts w:ascii="方正仿宋_GBK" w:eastAsia="方正仿宋_GBK"/>
          <w:b/>
          <w:sz w:val="24"/>
          <w:szCs w:val="24"/>
        </w:rPr>
      </w:pPr>
      <w:r>
        <w:rPr>
          <w:rFonts w:hint="eastAsia" w:ascii="方正仿宋_GBK" w:eastAsia="方正仿宋_GBK"/>
          <w:b/>
          <w:sz w:val="24"/>
          <w:szCs w:val="24"/>
        </w:rPr>
        <w:t>六、知识产权</w:t>
      </w:r>
      <w:bookmarkEnd w:id="20"/>
      <w:bookmarkEnd w:id="21"/>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5"/>
        <w:spacing w:line="400" w:lineRule="exact"/>
        <w:ind w:firstLine="482" w:firstLineChars="200"/>
        <w:rPr>
          <w:rFonts w:ascii="方正仿宋_GBK" w:eastAsia="方正仿宋_GBK"/>
          <w:b/>
          <w:sz w:val="24"/>
        </w:rPr>
      </w:pPr>
      <w:bookmarkStart w:id="22" w:name="_Toc13564989"/>
      <w:r>
        <w:rPr>
          <w:rFonts w:hint="eastAsia" w:ascii="方正仿宋_GBK" w:eastAsia="方正仿宋_GBK"/>
          <w:b/>
          <w:sz w:val="24"/>
        </w:rPr>
        <w:t>七、附件、图纸及包装要求</w:t>
      </w:r>
      <w:bookmarkEnd w:id="22"/>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8"/>
        </w:rPr>
        <w:t>所有设备按照制造商规定的产品包装和随机标准附件为准。</w:t>
      </w:r>
    </w:p>
    <w:p>
      <w:pPr>
        <w:pStyle w:val="5"/>
        <w:spacing w:line="400" w:lineRule="exact"/>
        <w:ind w:firstLine="482" w:firstLineChars="200"/>
        <w:rPr>
          <w:rFonts w:ascii="方正仿宋_GBK" w:eastAsia="方正仿宋_GBK"/>
          <w:b/>
          <w:sz w:val="24"/>
          <w:szCs w:val="24"/>
        </w:rPr>
      </w:pPr>
      <w:bookmarkStart w:id="23" w:name="_Toc267320054"/>
      <w:bookmarkStart w:id="24" w:name="_Toc13564990"/>
      <w:r>
        <w:rPr>
          <w:rFonts w:hint="eastAsia" w:ascii="方正仿宋_GBK" w:eastAsia="方正仿宋_GBK"/>
          <w:b/>
          <w:sz w:val="24"/>
          <w:szCs w:val="24"/>
        </w:rPr>
        <w:t>八、</w:t>
      </w:r>
      <w:bookmarkEnd w:id="23"/>
      <w:r>
        <w:rPr>
          <w:rFonts w:hint="eastAsia" w:ascii="方正仿宋_GBK" w:eastAsia="方正仿宋_GBK"/>
          <w:b/>
          <w:sz w:val="24"/>
          <w:szCs w:val="24"/>
        </w:rPr>
        <w:t>其他商务要求内容</w:t>
      </w:r>
      <w:bookmarkEnd w:id="24"/>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（一）投标人必须在投标文件中对以上条款和服务承诺明确列出，承诺内容必须达到本篇及招标文件其他条款的要求。</w:t>
      </w:r>
    </w:p>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p>
    <w:p>
      <w:pPr>
        <w:pStyle w:val="4"/>
        <w:spacing w:beforeLines="0" w:afterLines="0" w:line="240" w:lineRule="auto"/>
        <w:rPr>
          <w:rFonts w:hint="eastAsia" w:ascii="方正小标宋_GBK" w:eastAsia="方正小标宋_GBK"/>
        </w:rPr>
      </w:pPr>
      <w:r>
        <w:rPr>
          <w:rFonts w:eastAsia="宋体"/>
          <w:sz w:val="28"/>
        </w:rPr>
        <w:br w:type="page"/>
      </w:r>
      <w:bookmarkStart w:id="25" w:name="_Toc441065673"/>
      <w:r>
        <w:rPr>
          <w:rFonts w:hint="eastAsia" w:ascii="方正小标宋_GBK" w:eastAsia="方正小标宋_GBK"/>
        </w:rPr>
        <w:t xml:space="preserve">第四篇  </w:t>
      </w:r>
      <w:r>
        <w:rPr>
          <w:rFonts w:hint="eastAsia" w:ascii="方正小标宋_GBK" w:eastAsia="方正小标宋_GBK"/>
          <w:szCs w:val="22"/>
        </w:rPr>
        <w:t>资格审查及评标办法</w:t>
      </w:r>
      <w:bookmarkEnd w:id="25"/>
    </w:p>
    <w:p>
      <w:pPr>
        <w:pStyle w:val="5"/>
        <w:spacing w:line="400" w:lineRule="exact"/>
        <w:ind w:firstLine="482" w:firstLineChars="200"/>
        <w:rPr>
          <w:rFonts w:hint="eastAsia" w:ascii="方正仿宋_GBK" w:eastAsia="方正仿宋_GBK"/>
          <w:b/>
          <w:sz w:val="24"/>
          <w:szCs w:val="24"/>
        </w:rPr>
      </w:pPr>
      <w:bookmarkStart w:id="26" w:name="_Toc493506298"/>
      <w:bookmarkStart w:id="27" w:name="_Toc492721015"/>
      <w:r>
        <w:rPr>
          <w:rFonts w:hint="eastAsia" w:ascii="方正仿宋_GBK" w:eastAsia="方正仿宋_GBK"/>
          <w:b/>
          <w:sz w:val="24"/>
          <w:szCs w:val="24"/>
        </w:rPr>
        <w:t>一、资格审查</w:t>
      </w:r>
      <w:bookmarkEnd w:id="26"/>
      <w:bookmarkEnd w:id="27"/>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依据政府采购相关法律法规规定,由采购人或采购代理机构对投标文件中的资格证明文件进行审查。资格审查资料表如下：</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102" w:type="dxa"/>
            <w:gridSpan w:val="2"/>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850" w:type="dxa"/>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09" w:type="dxa"/>
            <w:vMerge w:val="restart"/>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投标人应符合的基本资格条件</w:t>
            </w:r>
          </w:p>
        </w:tc>
        <w:tc>
          <w:tcPr>
            <w:tcW w:w="4393"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投标人法人营业执照（副本）或事业单位法人证书（副本）或个体工商户营业执照或有效的自然人身份证明、组织机构代码证复印件（注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2"/>
                <w:sz w:val="14"/>
                <w:szCs w:val="21"/>
              </w:rPr>
              <w:instrText xml:space="preserve">2</w:instrText>
            </w:r>
            <w:r>
              <w:rPr>
                <w:rFonts w:hint="eastAsia" w:ascii="方正仿宋_GBK" w:hAnsi="方正仿宋_GBK" w:eastAsia="方正仿宋_GBK" w:cs="方正仿宋_GBK"/>
                <w:sz w:val="21"/>
                <w:szCs w:val="21"/>
              </w:rPr>
              <w:instrText xml:space="preserve">)</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 </w:t>
            </w:r>
          </w:p>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sz w:val="21"/>
                <w:szCs w:val="21"/>
              </w:rPr>
            </w:pPr>
          </w:p>
        </w:tc>
        <w:tc>
          <w:tcPr>
            <w:tcW w:w="709" w:type="dxa"/>
            <w:vMerge w:val="continue"/>
            <w:vAlign w:val="center"/>
          </w:tcPr>
          <w:p>
            <w:pPr>
              <w:spacing w:line="240" w:lineRule="exact"/>
              <w:rPr>
                <w:rFonts w:hint="eastAsia" w:ascii="方正仿宋_GBK" w:hAnsi="方正仿宋_GBK" w:eastAsia="方正仿宋_GBK" w:cs="方正仿宋_GBK"/>
                <w:sz w:val="21"/>
                <w:szCs w:val="21"/>
                <w:lang w:val="zh-CN"/>
              </w:rPr>
            </w:pPr>
          </w:p>
        </w:tc>
        <w:tc>
          <w:tcPr>
            <w:tcW w:w="4393"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w:t>
            </w:r>
            <w:r>
              <w:rPr>
                <w:rFonts w:hint="eastAsia" w:ascii="方正仿宋_GBK" w:hAnsi="方正仿宋_GBK" w:eastAsia="方正仿宋_GBK" w:cs="方正仿宋_GBK"/>
                <w:color w:val="FF0000"/>
                <w:sz w:val="21"/>
                <w:szCs w:val="21"/>
                <w:u w:val="single"/>
              </w:rPr>
              <w:t xml:space="preserve"> 2019  </w:t>
            </w:r>
            <w:r>
              <w:rPr>
                <w:rFonts w:hint="eastAsia" w:ascii="方正仿宋_GBK" w:hAnsi="方正仿宋_GBK" w:eastAsia="方正仿宋_GBK" w:cs="方正仿宋_GBK"/>
                <w:color w:val="FF0000"/>
                <w:sz w:val="21"/>
                <w:szCs w:val="21"/>
              </w:rPr>
              <w:t>年度</w:t>
            </w:r>
            <w:r>
              <w:rPr>
                <w:rFonts w:hint="eastAsia" w:ascii="方正仿宋_GBK" w:hAnsi="方正仿宋_GBK" w:eastAsia="方正仿宋_GBK" w:cs="方正仿宋_GBK"/>
                <w:sz w:val="21"/>
                <w:szCs w:val="21"/>
              </w:rPr>
              <w:t>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sz w:val="21"/>
                <w:szCs w:val="21"/>
              </w:rPr>
            </w:pPr>
          </w:p>
        </w:tc>
        <w:tc>
          <w:tcPr>
            <w:tcW w:w="709" w:type="dxa"/>
            <w:vMerge w:val="continue"/>
            <w:vAlign w:val="center"/>
          </w:tcPr>
          <w:p>
            <w:pPr>
              <w:spacing w:line="240" w:lineRule="exact"/>
              <w:rPr>
                <w:rFonts w:hint="eastAsia" w:ascii="方正仿宋_GBK" w:hAnsi="方正仿宋_GBK" w:eastAsia="方正仿宋_GBK" w:cs="方正仿宋_GBK"/>
                <w:sz w:val="21"/>
                <w:szCs w:val="21"/>
                <w:lang w:val="zh-CN"/>
              </w:rPr>
            </w:pPr>
          </w:p>
        </w:tc>
        <w:tc>
          <w:tcPr>
            <w:tcW w:w="4393"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sz w:val="21"/>
                <w:szCs w:val="21"/>
              </w:rPr>
            </w:pPr>
          </w:p>
        </w:tc>
        <w:tc>
          <w:tcPr>
            <w:tcW w:w="709" w:type="dxa"/>
            <w:vMerge w:val="continue"/>
            <w:vAlign w:val="center"/>
          </w:tcPr>
          <w:p>
            <w:pPr>
              <w:spacing w:line="240" w:lineRule="exact"/>
              <w:rPr>
                <w:rFonts w:hint="eastAsia" w:ascii="方正仿宋_GBK" w:hAnsi="方正仿宋_GBK" w:eastAsia="方正仿宋_GBK" w:cs="方正仿宋_GBK"/>
                <w:sz w:val="21"/>
                <w:szCs w:val="21"/>
                <w:lang w:val="zh-CN"/>
              </w:rPr>
            </w:pPr>
          </w:p>
        </w:tc>
        <w:tc>
          <w:tcPr>
            <w:tcW w:w="4393"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（4）有依法缴纳税收和社会保障金的良好记录</w:t>
            </w:r>
          </w:p>
        </w:tc>
        <w:tc>
          <w:tcPr>
            <w:tcW w:w="3850"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2"/>
                <w:sz w:val="14"/>
                <w:szCs w:val="21"/>
              </w:rPr>
              <w:instrText xml:space="preserve">2</w:instrText>
            </w:r>
            <w:r>
              <w:rPr>
                <w:rFonts w:hint="eastAsia" w:ascii="方正仿宋_GBK" w:hAnsi="方正仿宋_GBK" w:eastAsia="方正仿宋_GBK" w:cs="方正仿宋_GBK"/>
                <w:sz w:val="21"/>
                <w:szCs w:val="21"/>
              </w:rPr>
              <w:instrText xml:space="preserve">)</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）及开标日前三个月任何一个月</w:t>
            </w:r>
            <w:r>
              <w:rPr>
                <w:rFonts w:hint="eastAsia" w:ascii="方正仿宋_GBK" w:hAnsi="方正仿宋_GBK" w:eastAsia="方正仿宋_GBK" w:cs="方正仿宋_GBK"/>
                <w:sz w:val="21"/>
                <w:szCs w:val="21"/>
                <w:lang w:val="zh-CN"/>
              </w:rPr>
              <w:t>缴纳税收的证明材料；</w:t>
            </w:r>
          </w:p>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2"/>
                <w:sz w:val="14"/>
                <w:szCs w:val="21"/>
              </w:rPr>
              <w:instrText xml:space="preserve">2</w:instrText>
            </w:r>
            <w:r>
              <w:rPr>
                <w:rFonts w:hint="eastAsia" w:ascii="方正仿宋_GBK" w:hAnsi="方正仿宋_GBK" w:eastAsia="方正仿宋_GBK" w:cs="方正仿宋_GBK"/>
                <w:sz w:val="21"/>
                <w:szCs w:val="21"/>
              </w:rPr>
              <w:instrText xml:space="preserve">)</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sz w:val="21"/>
                <w:szCs w:val="21"/>
              </w:rPr>
            </w:pPr>
          </w:p>
        </w:tc>
        <w:tc>
          <w:tcPr>
            <w:tcW w:w="709" w:type="dxa"/>
            <w:vMerge w:val="continue"/>
            <w:vAlign w:val="center"/>
          </w:tcPr>
          <w:p>
            <w:pPr>
              <w:spacing w:line="240" w:lineRule="exact"/>
              <w:rPr>
                <w:rFonts w:hint="eastAsia" w:ascii="方正仿宋_GBK" w:hAnsi="方正仿宋_GBK" w:eastAsia="方正仿宋_GBK" w:cs="方正仿宋_GBK"/>
                <w:sz w:val="21"/>
                <w:szCs w:val="21"/>
                <w:lang w:val="zh-CN"/>
              </w:rPr>
            </w:pPr>
          </w:p>
        </w:tc>
        <w:tc>
          <w:tcPr>
            <w:tcW w:w="4393"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eq \o\ac(○,</w:instrText>
            </w:r>
            <w:r>
              <w:rPr>
                <w:rFonts w:hint="eastAsia" w:ascii="方正仿宋_GBK" w:hAnsi="方正仿宋_GBK" w:eastAsia="方正仿宋_GBK" w:cs="方正仿宋_GBK"/>
                <w:position w:val="2"/>
                <w:sz w:val="14"/>
                <w:szCs w:val="21"/>
              </w:rPr>
              <w:instrText xml:space="preserve">3</w:instrText>
            </w:r>
            <w:r>
              <w:rPr>
                <w:rFonts w:hint="eastAsia" w:ascii="方正仿宋_GBK" w:hAnsi="方正仿宋_GBK" w:eastAsia="方正仿宋_GBK" w:cs="方正仿宋_GBK"/>
                <w:sz w:val="21"/>
                <w:szCs w:val="21"/>
              </w:rPr>
              <w:instrText xml:space="preserve">)</w:instrTex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1.投标人提供书面声明（见格式文件）；</w:t>
            </w:r>
          </w:p>
          <w:p>
            <w:pPr>
              <w:spacing w:line="240" w:lineRule="exact"/>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1"/>
                <w:szCs w:val="21"/>
              </w:rPr>
            </w:pPr>
          </w:p>
        </w:tc>
        <w:tc>
          <w:tcPr>
            <w:tcW w:w="709" w:type="dxa"/>
            <w:vMerge w:val="continue"/>
            <w:vAlign w:val="center"/>
          </w:tcPr>
          <w:p>
            <w:pPr>
              <w:spacing w:line="240" w:lineRule="exact"/>
              <w:rPr>
                <w:rFonts w:hint="eastAsia" w:ascii="方正仿宋_GBK" w:hAnsi="方正仿宋_GBK" w:eastAsia="方正仿宋_GBK" w:cs="方正仿宋_GBK"/>
                <w:sz w:val="21"/>
                <w:szCs w:val="21"/>
              </w:rPr>
            </w:pPr>
          </w:p>
        </w:tc>
        <w:tc>
          <w:tcPr>
            <w:tcW w:w="4393"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850" w:type="dxa"/>
            <w:vAlign w:val="center"/>
          </w:tcPr>
          <w:p>
            <w:pPr>
              <w:spacing w:line="240" w:lineRule="exact"/>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102" w:type="dxa"/>
            <w:gridSpan w:val="2"/>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按第一篇“三、投标人资格要求（二）特定资格条件”的要求提交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676" w:type="dxa"/>
            <w:vAlign w:val="center"/>
          </w:tcPr>
          <w:p>
            <w:pPr>
              <w:spacing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5102" w:type="dxa"/>
            <w:gridSpan w:val="2"/>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投标保证金</w:t>
            </w:r>
          </w:p>
        </w:tc>
        <w:tc>
          <w:tcPr>
            <w:tcW w:w="3850" w:type="dxa"/>
            <w:vAlign w:val="center"/>
          </w:tcPr>
          <w:p>
            <w:pPr>
              <w:spacing w:line="24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按照招标文件的规定提交投标保证金</w:t>
            </w:r>
          </w:p>
        </w:tc>
      </w:tr>
    </w:tbl>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1</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以联合体投标的，共同投标协议中应确定主办方（主体），</w:t>
      </w:r>
      <w:r>
        <w:rPr>
          <w:rFonts w:hint="eastAsia" w:ascii="方正仿宋_GBK" w:hAnsi="方正仿宋_GBK" w:eastAsia="方正仿宋_GBK" w:cs="方正仿宋_GBK"/>
          <w:sz w:val="24"/>
        </w:rPr>
        <w:t>代表联合体进行投标和澄清。法定代表人授权委托书由联合体主办方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rPr>
        <w:t>出具。</w:t>
      </w:r>
      <w:r>
        <w:rPr>
          <w:rFonts w:hint="eastAsia" w:ascii="方正仿宋_GBK" w:hAnsi="方正仿宋_GBK" w:eastAsia="方正仿宋_GBK" w:cs="方正仿宋_GBK"/>
          <w:kern w:val="0"/>
          <w:sz w:val="24"/>
          <w:szCs w:val="24"/>
        </w:rPr>
        <w:t>联合体各方均应满足投标人资格要求（详见“第一篇”）。</w:t>
      </w:r>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2</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投标人按“五证合一”登记制度办理营业执照的，组织机构代码证、税务登记证（副本）和社会保险登记证以投标人所提供的营业执照（副本）复印件为准。</w:t>
      </w:r>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eq \o\ac(○,</w:instrText>
      </w:r>
      <w:r>
        <w:rPr>
          <w:rFonts w:hint="eastAsia" w:ascii="方正仿宋_GBK" w:hAnsi="方正仿宋_GBK" w:eastAsia="方正仿宋_GBK" w:cs="方正仿宋_GBK"/>
          <w:kern w:val="0"/>
          <w:position w:val="3"/>
          <w:sz w:val="16"/>
          <w:szCs w:val="24"/>
        </w:rPr>
        <w:instrText xml:space="preserve">3</w:instrText>
      </w:r>
      <w:r>
        <w:rPr>
          <w:rFonts w:hint="eastAsia" w:ascii="方正仿宋_GBK" w:hAnsi="方正仿宋_GBK" w:eastAsia="方正仿宋_GBK" w:cs="方正仿宋_GBK"/>
          <w:kern w:val="0"/>
          <w:sz w:val="24"/>
          <w:szCs w:val="24"/>
        </w:rPr>
        <w:instrText xml:space="preserve">)</w:instrTex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5"/>
        <w:spacing w:line="400" w:lineRule="exact"/>
        <w:ind w:firstLine="482" w:firstLineChars="200"/>
        <w:rPr>
          <w:rFonts w:hint="eastAsia" w:ascii="方正仿宋_GBK" w:hAnsi="方正仿宋_GBK" w:eastAsia="方正仿宋_GBK" w:cs="方正仿宋_GBK"/>
          <w:b/>
          <w:sz w:val="24"/>
          <w:szCs w:val="24"/>
        </w:rPr>
      </w:pPr>
      <w:bookmarkStart w:id="28" w:name="_Toc492721016"/>
      <w:bookmarkStart w:id="29" w:name="_Toc493506299"/>
      <w:r>
        <w:rPr>
          <w:rFonts w:hint="eastAsia" w:ascii="方正仿宋_GBK" w:hAnsi="方正仿宋_GBK" w:eastAsia="方正仿宋_GBK" w:cs="方正仿宋_GBK"/>
          <w:b/>
          <w:sz w:val="24"/>
          <w:szCs w:val="24"/>
        </w:rPr>
        <w:t>二、评标方法</w:t>
      </w:r>
      <w:bookmarkEnd w:id="28"/>
      <w:bookmarkEnd w:id="29"/>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本项目采用最低评标价法进行评标。</w:t>
      </w:r>
    </w:p>
    <w:p>
      <w:pPr>
        <w:snapToGrid w:val="0"/>
        <w:spacing w:line="400" w:lineRule="exact"/>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kern w:val="0"/>
          <w:sz w:val="24"/>
          <w:szCs w:val="24"/>
        </w:rPr>
        <w:t>最低评标价法，是指投标文件满足招标文件全部实质性要求且投标报价最低的投标人为中标候选人的评标方法。即在全部满足招标文件实质性要求前提下，依据统一的价格要素评定最低报价，以提出最低报价的投标人作为中标候选投标人或者中标投标人的评标方法。</w:t>
      </w:r>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（一）符合性审查</w:t>
      </w:r>
    </w:p>
    <w:p>
      <w:pPr>
        <w:snapToGrid w:val="0"/>
        <w:spacing w:line="400" w:lineRule="exact"/>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评标委员会应当对符合资格的投标人的投标文件进行符合性审查，以确定其是否满足招标文件的实质性要求。符合性审查资料表如下：</w:t>
      </w:r>
    </w:p>
    <w:tbl>
      <w:tblPr>
        <w:tblStyle w:val="59"/>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46" w:type="dxa"/>
            <w:gridSpan w:val="2"/>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409" w:type="dxa"/>
            <w:vAlign w:val="center"/>
          </w:tcPr>
          <w:p>
            <w:pPr>
              <w:spacing w:line="240" w:lineRule="exact"/>
              <w:jc w:val="center"/>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62" w:type="dxa"/>
            <w:vMerge w:val="restart"/>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84"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投标文件签署</w:t>
            </w:r>
          </w:p>
        </w:tc>
        <w:tc>
          <w:tcPr>
            <w:tcW w:w="5409"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hint="eastAsia" w:ascii="方正仿宋_GBK" w:hAnsi="方正仿宋_GBK" w:eastAsia="方正仿宋_GBK" w:cs="方正仿宋_GBK"/>
                <w:kern w:val="0"/>
                <w:sz w:val="21"/>
                <w:szCs w:val="21"/>
              </w:rPr>
            </w:pPr>
          </w:p>
        </w:tc>
        <w:tc>
          <w:tcPr>
            <w:tcW w:w="1562" w:type="dxa"/>
            <w:vMerge w:val="continue"/>
            <w:vAlign w:val="center"/>
          </w:tcPr>
          <w:p>
            <w:pPr>
              <w:spacing w:line="240" w:lineRule="exact"/>
              <w:rPr>
                <w:rFonts w:hint="eastAsia" w:ascii="方正仿宋_GBK" w:hAnsi="方正仿宋_GBK" w:eastAsia="方正仿宋_GBK" w:cs="方正仿宋_GBK"/>
                <w:kern w:val="0"/>
                <w:sz w:val="21"/>
                <w:szCs w:val="21"/>
              </w:rPr>
            </w:pPr>
          </w:p>
        </w:tc>
        <w:tc>
          <w:tcPr>
            <w:tcW w:w="1984"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投标方案</w:t>
            </w:r>
          </w:p>
        </w:tc>
        <w:tc>
          <w:tcPr>
            <w:tcW w:w="5409"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hint="eastAsia" w:ascii="方正仿宋_GBK" w:hAnsi="方正仿宋_GBK" w:eastAsia="方正仿宋_GBK" w:cs="方正仿宋_GBK"/>
                <w:kern w:val="0"/>
                <w:sz w:val="21"/>
                <w:szCs w:val="21"/>
              </w:rPr>
            </w:pPr>
          </w:p>
        </w:tc>
        <w:tc>
          <w:tcPr>
            <w:tcW w:w="1562" w:type="dxa"/>
            <w:vMerge w:val="continue"/>
            <w:vAlign w:val="center"/>
          </w:tcPr>
          <w:p>
            <w:pPr>
              <w:spacing w:line="240" w:lineRule="exact"/>
              <w:rPr>
                <w:rFonts w:hint="eastAsia" w:ascii="方正仿宋_GBK" w:hAnsi="方正仿宋_GBK" w:eastAsia="方正仿宋_GBK" w:cs="方正仿宋_GBK"/>
                <w:kern w:val="0"/>
                <w:sz w:val="21"/>
                <w:szCs w:val="21"/>
              </w:rPr>
            </w:pPr>
          </w:p>
        </w:tc>
        <w:tc>
          <w:tcPr>
            <w:tcW w:w="1984" w:type="dxa"/>
            <w:vAlign w:val="center"/>
          </w:tcPr>
          <w:p>
            <w:pPr>
              <w:spacing w:line="240" w:lineRule="exact"/>
              <w:rPr>
                <w:rFonts w:hint="eastAsia"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409"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只能在预算金额和最高限价内报价，</w:t>
            </w:r>
            <w:r>
              <w:rPr>
                <w:rFonts w:hint="eastAsia" w:ascii="方正仿宋_GBK" w:hAnsi="方正仿宋_GBK" w:eastAsia="方正仿宋_GBK" w:cs="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62"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84"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投标文件份数</w:t>
            </w:r>
          </w:p>
        </w:tc>
        <w:tc>
          <w:tcPr>
            <w:tcW w:w="5409"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62"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技术部分</w:t>
            </w:r>
          </w:p>
        </w:tc>
        <w:tc>
          <w:tcPr>
            <w:tcW w:w="1984"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pPr>
              <w:spacing w:line="240" w:lineRule="exact"/>
              <w:rPr>
                <w:rFonts w:hint="eastAsia"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本招标文件第二篇“招标项目技术需求”部分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562"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商务部分</w:t>
            </w:r>
          </w:p>
        </w:tc>
        <w:tc>
          <w:tcPr>
            <w:tcW w:w="1984"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pPr>
              <w:spacing w:line="240" w:lineRule="exact"/>
              <w:rPr>
                <w:rFonts w:hint="eastAsia" w:ascii="方正仿宋_GBK" w:hAnsi="方正仿宋_GBK" w:eastAsia="方正仿宋_GBK" w:cs="方正仿宋_GBK"/>
                <w:color w:val="FF0000"/>
                <w:kern w:val="0"/>
                <w:sz w:val="21"/>
                <w:szCs w:val="21"/>
              </w:rPr>
            </w:pPr>
            <w:r>
              <w:rPr>
                <w:rFonts w:hint="eastAsia" w:ascii="方正仿宋_GBK" w:hAnsi="方正仿宋_GBK" w:eastAsia="方正仿宋_GBK" w:cs="方正仿宋_GBK"/>
                <w:sz w:val="21"/>
                <w:szCs w:val="21"/>
                <w:lang w:val="zh-CN"/>
              </w:rPr>
              <w:t>本招标文件第三篇“项目商务要求”部分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562"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w:t>
            </w:r>
          </w:p>
        </w:tc>
        <w:tc>
          <w:tcPr>
            <w:tcW w:w="1984"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投标文件内容</w:t>
            </w:r>
          </w:p>
        </w:tc>
        <w:tc>
          <w:tcPr>
            <w:tcW w:w="5409" w:type="dxa"/>
            <w:vAlign w:val="center"/>
          </w:tcPr>
          <w:p>
            <w:pPr>
              <w:spacing w:line="240" w:lineRule="exac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投标有效期为投标截止日期后九十天内</w:t>
            </w:r>
          </w:p>
        </w:tc>
      </w:tr>
    </w:tbl>
    <w:p>
      <w:pPr>
        <w:snapToGrid w:val="0"/>
        <w:spacing w:line="400" w:lineRule="exact"/>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（三）比较与评价。按招标文件中规定的评标方法和标准，对资格审查和符合性审查合格的投标文件进行商务和技术评估。</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同一合同项（分包）下为单一品目或非单一品目核心产品品牌的货物采购招标中，以其中通过资格审查、符合性审查且报价最低的投标人参加评标；报价相同的，由采购人或者采购人委托评标委员会按照招标文件规定的方式确定一个参加评标的投标人，招标文件未规定的采取随机抽取方式确定，其他投标无效。</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（四）推荐中标候选人名单。</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推荐投标文件满足招标文件全部实质性要求，投标报价进行政策性扣减，并依据扣减后的价格按照由低到高的顺序排名前三的投标人为中标候选人，其中排名第一的投标人为第一中标候选人。</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评标结果按投标报价由低到高顺序排列，若投标报价相同的并列。</w:t>
      </w:r>
    </w:p>
    <w:p>
      <w:pPr>
        <w:pStyle w:val="5"/>
        <w:spacing w:line="400" w:lineRule="exact"/>
        <w:ind w:firstLine="482" w:firstLineChars="200"/>
        <w:rPr>
          <w:rFonts w:hint="eastAsia" w:ascii="方正仿宋_GBK" w:eastAsia="方正仿宋_GBK"/>
          <w:b/>
          <w:sz w:val="24"/>
          <w:szCs w:val="24"/>
        </w:rPr>
      </w:pPr>
      <w:bookmarkStart w:id="30" w:name="_Toc441065675"/>
      <w:bookmarkStart w:id="31" w:name="_Toc267320057"/>
      <w:r>
        <w:rPr>
          <w:rFonts w:hint="eastAsia" w:ascii="方正仿宋_GBK" w:eastAsia="方正仿宋_GBK"/>
          <w:b/>
          <w:sz w:val="24"/>
          <w:szCs w:val="24"/>
        </w:rPr>
        <w:t>二、评标标准</w:t>
      </w:r>
      <w:bookmarkEnd w:id="30"/>
      <w:bookmarkEnd w:id="31"/>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（一）关于技术、商务偏离</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1.“第二篇 项目技术规格、数量及质量要求” 有一条及以上不能满足招标文件要求的，投标人将失去成为中标候选人的资格；</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2.“第三篇 项目商务要求”有一条及以上不能满足招标文件要求的投标人将失去成为中标候选人的资格；</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（二）投标报价政策性扣减</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1.投标人为非联合体投标的，对小型企业给予6%的扣除，微型企业给予8%的扣除（注册资金十五万及以下的微型企业给予10%的扣除），以扣除后的报价参与评审。</w:t>
      </w:r>
    </w:p>
    <w:p>
      <w:pPr>
        <w:snapToGrid w:val="0"/>
        <w:spacing w:line="4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2.投标人为联合体投标的，在联合协议中小型企业、微型企业的协议合同金额占到联合体协议合同总金额30％以上的，与小型企业联合的可给予联合体2%的报价扣除，与微型企业联合的可给予联合体3%的报价扣除。</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cs="方正仿宋_GBK"/>
          <w:sz w:val="24"/>
          <w:szCs w:val="24"/>
        </w:rPr>
        <w:t>3.监狱企业、残疾人福利性单位属于微型企业的，应提供企业所在地的县级以上中小企业主管部门的证明文件复印件和微型企业承诺书（详见第七篇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r>
        <w:rPr>
          <w:rFonts w:hint="eastAsia" w:ascii="方正仿宋_GBK" w:hAnsi="宋体" w:eastAsia="方正仿宋_GBK"/>
          <w:sz w:val="24"/>
          <w:szCs w:val="24"/>
        </w:rPr>
        <w:t>。</w:t>
      </w:r>
    </w:p>
    <w:p>
      <w:pPr>
        <w:pStyle w:val="5"/>
        <w:spacing w:line="400" w:lineRule="exact"/>
        <w:ind w:firstLine="482" w:firstLineChars="200"/>
        <w:rPr>
          <w:rFonts w:hint="eastAsia" w:ascii="方正仿宋_GBK" w:eastAsia="方正仿宋_GBK"/>
          <w:b/>
          <w:sz w:val="24"/>
          <w:szCs w:val="24"/>
        </w:rPr>
      </w:pPr>
      <w:bookmarkStart w:id="32" w:name="_Toc441065676"/>
      <w:r>
        <w:rPr>
          <w:rFonts w:hint="eastAsia" w:ascii="方正仿宋_GBK" w:eastAsia="方正仿宋_GBK"/>
          <w:b/>
          <w:sz w:val="24"/>
          <w:szCs w:val="24"/>
        </w:rPr>
        <w:t>三、无效投标条款</w:t>
      </w:r>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投标人或其投标文件出现下列情况之一者，应为无效投标：</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（一）未按照招标文件的规定提交投标保证金的；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（二）投标文件未按招标文件要求签署、盖章的；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（三）不具备招标文件中规定的资格要求的；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（四）报价超过招标文件中规定的预算金额或者最高限价的；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（五）投标文件含有采购人不能接受的附加条件的；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（六）投标人串通投标的；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（七）投标人组成联合体投标的；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（八）法律、法规和招标文件规定的其他无效情形。</w:t>
      </w:r>
    </w:p>
    <w:p>
      <w:pPr>
        <w:pStyle w:val="5"/>
        <w:spacing w:line="400" w:lineRule="exact"/>
        <w:ind w:firstLine="482" w:firstLineChars="200"/>
        <w:rPr>
          <w:rFonts w:hint="eastAsia" w:ascii="方正仿宋_GBK" w:eastAsia="方正仿宋_GBK"/>
          <w:b/>
          <w:sz w:val="24"/>
          <w:szCs w:val="24"/>
        </w:rPr>
      </w:pPr>
      <w:bookmarkStart w:id="33" w:name="_Toc441065677"/>
      <w:r>
        <w:rPr>
          <w:rFonts w:hint="eastAsia" w:ascii="方正仿宋_GBK" w:eastAsia="方正仿宋_GBK"/>
          <w:b/>
          <w:sz w:val="24"/>
          <w:szCs w:val="24"/>
        </w:rPr>
        <w:t>四、废标条款</w:t>
      </w:r>
      <w:bookmarkEnd w:id="3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（一）符合专业条件的供应商或者对招标文件作实质响应的供应商不足三家的；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（二）投标人的报价均超过了采购预算，采购人不能支付的；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（四）因重大变故，采购任务取消的。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废标后，除采购任务取消情形外，应当重新组织采购。</w:t>
      </w:r>
    </w:p>
    <w:p>
      <w:pPr>
        <w:pStyle w:val="4"/>
        <w:spacing w:beforeLines="0" w:afterLines="0" w:line="360" w:lineRule="auto"/>
        <w:rPr>
          <w:rFonts w:hint="eastAsia" w:ascii="方正小标宋_GBK" w:eastAsia="方正小标宋_GBK"/>
        </w:rPr>
      </w:pPr>
      <w:r>
        <w:rPr>
          <w:rFonts w:ascii="宋体" w:hAnsi="宋体" w:eastAsia="宋体"/>
          <w:sz w:val="28"/>
        </w:rPr>
        <w:br w:type="page"/>
      </w:r>
      <w:bookmarkStart w:id="34" w:name="_Toc441065678"/>
      <w:r>
        <w:rPr>
          <w:rFonts w:hint="eastAsia" w:ascii="方正小标宋_GBK" w:eastAsia="方正小标宋_GBK"/>
        </w:rPr>
        <w:t>第五篇  投标人须知</w:t>
      </w:r>
      <w:bookmarkEnd w:id="34"/>
    </w:p>
    <w:p>
      <w:pPr>
        <w:pStyle w:val="5"/>
        <w:spacing w:line="400" w:lineRule="exact"/>
        <w:ind w:firstLine="482" w:firstLineChars="200"/>
        <w:rPr>
          <w:rFonts w:hint="eastAsia" w:ascii="方正仿宋_GBK" w:eastAsia="方正仿宋_GBK"/>
          <w:b/>
          <w:sz w:val="24"/>
        </w:rPr>
      </w:pPr>
      <w:bookmarkStart w:id="35" w:name="_Toc441065679"/>
      <w:r>
        <w:rPr>
          <w:rFonts w:hint="eastAsia" w:ascii="方正仿宋_GBK" w:eastAsia="方正仿宋_GBK"/>
          <w:b/>
          <w:sz w:val="24"/>
        </w:rPr>
        <w:t>一、投标人</w:t>
      </w:r>
      <w:bookmarkEnd w:id="35"/>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（一）投标人</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投标人是指响应招标、参加投标竞争的法人、其他组织或者自然人。</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（二）合格投标人条件</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合格投标人应完全符合招标文件第一篇中规定的投标人资格条件，并对招标文件作出实质性响应。</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（三）投标人的风险</w:t>
      </w:r>
    </w:p>
    <w:p>
      <w:pPr>
        <w:snapToGrid w:val="0"/>
        <w:spacing w:line="400" w:lineRule="exact"/>
        <w:ind w:firstLine="480" w:firstLineChars="200"/>
        <w:rPr>
          <w:rFonts w:hint="eastAsia" w:ascii="仿宋" w:hAnsi="仿宋" w:eastAsia="仿宋"/>
          <w:sz w:val="24"/>
        </w:rPr>
      </w:pPr>
      <w:r>
        <w:rPr>
          <w:rFonts w:hint="eastAsia" w:ascii="方正仿宋_GBK" w:eastAsia="方正仿宋_GBK"/>
          <w:sz w:val="24"/>
        </w:rPr>
        <w:t>投标人没有按照招标文件要求提供全部资料，或者投标人没有对招标文件在各方面作出实质性响应，可能导致投标被拒绝或评定为无效投标</w:t>
      </w:r>
      <w:r>
        <w:rPr>
          <w:rFonts w:hint="eastAsia" w:ascii="仿宋" w:hAnsi="仿宋" w:eastAsia="仿宋"/>
          <w:sz w:val="24"/>
        </w:rPr>
        <w:t>。</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（四）法律责任</w:t>
      </w:r>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投标人违反《中华人民共和国政府采购法》、《中华人民共和国政府采购</w:t>
      </w:r>
      <w:r>
        <w:rPr>
          <w:rFonts w:hint="eastAsia" w:ascii="方正仿宋_GBK" w:eastAsia="方正仿宋_GBK"/>
          <w:sz w:val="24"/>
          <w:lang w:eastAsia="zh-CN"/>
        </w:rPr>
        <w:t>法</w:t>
      </w:r>
      <w:r>
        <w:rPr>
          <w:rFonts w:hint="eastAsia" w:ascii="方正仿宋_GBK" w:eastAsia="方正仿宋_GBK"/>
          <w:sz w:val="24"/>
        </w:rPr>
        <w:t>实施条例》等相关规定，将按规定追究投标人法律责任。</w:t>
      </w:r>
    </w:p>
    <w:p>
      <w:pPr>
        <w:pStyle w:val="5"/>
        <w:spacing w:line="400" w:lineRule="exact"/>
        <w:ind w:firstLine="482" w:firstLineChars="200"/>
        <w:rPr>
          <w:rFonts w:hint="eastAsia" w:ascii="方正仿宋_GBK" w:eastAsia="方正仿宋_GBK"/>
          <w:b/>
          <w:sz w:val="24"/>
        </w:rPr>
      </w:pPr>
      <w:bookmarkStart w:id="36" w:name="_Toc441065680"/>
      <w:r>
        <w:rPr>
          <w:rFonts w:hint="eastAsia" w:ascii="方正仿宋_GBK" w:eastAsia="方正仿宋_GBK"/>
          <w:b/>
          <w:sz w:val="24"/>
        </w:rPr>
        <w:t>二、招标文件</w:t>
      </w:r>
      <w:bookmarkEnd w:id="36"/>
    </w:p>
    <w:p>
      <w:pPr>
        <w:snapToGrid w:val="0"/>
        <w:spacing w:line="400" w:lineRule="exact"/>
        <w:ind w:firstLine="480"/>
        <w:rPr>
          <w:rFonts w:hint="eastAsia" w:ascii="方正仿宋_GBK" w:hAnsi="宋体" w:eastAsia="方正仿宋_GBK"/>
          <w:sz w:val="24"/>
          <w:szCs w:val="24"/>
        </w:rPr>
      </w:pPr>
      <w:r>
        <w:rPr>
          <w:rFonts w:hint="eastAsia" w:ascii="方正仿宋_GBK" w:hAnsi="宋体" w:eastAsia="方正仿宋_GBK"/>
          <w:sz w:val="24"/>
          <w:szCs w:val="24"/>
        </w:rPr>
        <w:t>招标文件是投标人编制投标文件的依据，是评标委员会评判依据和标准。招标文件也是采购人与中标人签订合同的基础。</w:t>
      </w:r>
    </w:p>
    <w:p>
      <w:pPr>
        <w:snapToGrid w:val="0"/>
        <w:spacing w:line="400" w:lineRule="exact"/>
        <w:ind w:firstLine="480"/>
        <w:rPr>
          <w:rFonts w:hint="eastAsia" w:ascii="方正仿宋_GBK" w:hAnsi="宋体" w:eastAsia="方正仿宋_GBK"/>
          <w:sz w:val="24"/>
          <w:szCs w:val="24"/>
        </w:rPr>
      </w:pPr>
      <w:r>
        <w:rPr>
          <w:rFonts w:hint="eastAsia" w:ascii="方正仿宋_GBK" w:hAnsi="宋体" w:eastAsia="方正仿宋_GBK"/>
          <w:sz w:val="24"/>
          <w:szCs w:val="24"/>
        </w:rPr>
        <w:t>（一）招标文件由投标邀请书；项目技术规格、数量及质量要求；商务条款；投标人须知；评标方法、评标标准、无效投标条款和废标条款；合同主要条款、合同范本；投标文件格式等七部分组成。</w:t>
      </w:r>
    </w:p>
    <w:p>
      <w:pPr>
        <w:snapToGrid w:val="0"/>
        <w:spacing w:line="400" w:lineRule="exact"/>
        <w:ind w:firstLine="480"/>
        <w:rPr>
          <w:rFonts w:hint="eastAsia" w:ascii="方正仿宋_GBK" w:hAnsi="宋体" w:eastAsia="方正仿宋_GBK"/>
          <w:sz w:val="24"/>
          <w:szCs w:val="24"/>
        </w:rPr>
      </w:pPr>
      <w:r>
        <w:rPr>
          <w:rFonts w:hint="eastAsia" w:ascii="方正仿宋_GBK" w:hAnsi="宋体" w:eastAsia="方正仿宋_GBK"/>
          <w:sz w:val="24"/>
          <w:szCs w:val="24"/>
        </w:rPr>
        <w:t>（二）集中采购机构对招标文件所作的一切有效的书面通知、修改及补充，都是招标文件不可分割的部分。</w:t>
      </w:r>
    </w:p>
    <w:p>
      <w:pPr>
        <w:snapToGrid w:val="0"/>
        <w:spacing w:line="400" w:lineRule="exact"/>
        <w:ind w:firstLine="480"/>
        <w:rPr>
          <w:rFonts w:hint="eastAsia" w:ascii="方正仿宋_GBK" w:hAnsi="方正仿宋_GBK" w:eastAsia="方正仿宋_GBK"/>
          <w:sz w:val="24"/>
        </w:rPr>
      </w:pPr>
      <w:r>
        <w:rPr>
          <w:rFonts w:hint="eastAsia" w:ascii="方正仿宋_GBK" w:hAnsi="方正仿宋_GBK" w:eastAsia="方正仿宋_GBK"/>
          <w:sz w:val="24"/>
        </w:rPr>
        <w:t>（三）</w:t>
      </w:r>
      <w:r>
        <w:rPr>
          <w:rFonts w:hint="eastAsia" w:ascii="方正仿宋_GBK" w:hAnsi="宋体" w:eastAsia="方正仿宋_GBK"/>
          <w:sz w:val="24"/>
          <w:szCs w:val="24"/>
        </w:rPr>
        <w:t>本项目的招标文件、补遗文件（如果有）一律在重庆市政府采购网（http://www.ccgp-chongqing.gov.cn）和重庆市公共资源交易网（合川区）（</w:t>
      </w:r>
      <w:r>
        <w:rPr>
          <w:rFonts w:hint="eastAsia" w:ascii="方正仿宋_GBK" w:hAnsi="宋体" w:eastAsia="方正仿宋_GBK"/>
          <w:bCs/>
          <w:sz w:val="24"/>
          <w:szCs w:val="24"/>
        </w:rPr>
        <w:t>https://www.cqggzy.com/hechuanweb/</w:t>
      </w:r>
      <w:r>
        <w:rPr>
          <w:rFonts w:hint="eastAsia" w:ascii="方正仿宋_GBK" w:hAnsi="宋体" w:eastAsia="方正仿宋_GBK"/>
          <w:sz w:val="24"/>
          <w:szCs w:val="24"/>
        </w:rPr>
        <w:t>）上发布，请各投标人注意下载；无论投标人下载与否，均视同投标人已知晓本项目招标文件、补遗文件的内容。</w:t>
      </w:r>
    </w:p>
    <w:p>
      <w:pPr>
        <w:snapToGrid w:val="0"/>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（四）集中采购机构对已发出的招标文件需要进行澄清或修改的，应以书面形式或公告形式通知所有招标文件收受人。该澄清或者修改的内容为招标文件的组成部分。</w:t>
      </w:r>
    </w:p>
    <w:p>
      <w:pPr>
        <w:pStyle w:val="5"/>
        <w:spacing w:line="400" w:lineRule="exact"/>
        <w:ind w:firstLine="482" w:firstLineChars="200"/>
        <w:rPr>
          <w:rFonts w:hint="eastAsia" w:ascii="方正仿宋_GBK" w:eastAsia="方正仿宋_GBK"/>
          <w:b/>
          <w:sz w:val="24"/>
        </w:rPr>
      </w:pPr>
      <w:bookmarkStart w:id="37" w:name="_Toc441065681"/>
      <w:r>
        <w:rPr>
          <w:rFonts w:hint="eastAsia" w:ascii="方正仿宋_GBK" w:eastAsia="方正仿宋_GBK"/>
          <w:b/>
          <w:sz w:val="24"/>
        </w:rPr>
        <w:t>三、投标文件</w:t>
      </w:r>
      <w:bookmarkEnd w:id="37"/>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投标人应当按照招标文件的要求编制投标文件，并对招标文件提出的要求和条件作出实质性响应，投标文件原则上采用软面订本、胶封边，同时应编制完整的页码、目录。</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（一）投标文件组成</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投标文件由第七篇“投标文件格式”规定的部分和投标人所作的一切有效补充、修改和承诺等文件组成，投标人应按照第七篇“投标文件格式”规定的目录顺序组织编写和装订，</w:t>
      </w:r>
      <w:r>
        <w:rPr>
          <w:rFonts w:hint="eastAsia" w:ascii="方正仿宋_GBK" w:hAnsi="方正仿宋_GBK" w:eastAsia="方正仿宋_GBK"/>
          <w:sz w:val="24"/>
        </w:rPr>
        <w:t>否则有可能影响评委对投标文件的评审。</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（二）投标有效期</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投标有效期为投标截止日期后九十天内。</w:t>
      </w:r>
    </w:p>
    <w:p>
      <w:pPr>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（三）投标保证金</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1.投标人应在投标截止时间前，按招标文件第一篇规定缴纳投标保证金。</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2.投标保证金为投标的有效约束条件。</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3.投标保证金的有效期限在投标有效期过后三十天内继续有效。</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4.投标保证金币种应与投标报价币种相同。</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5.集中采购机构在《中标通知书》发出后五个工作日内退还未中标人的投标保证金；</w:t>
      </w:r>
      <w:r>
        <w:rPr>
          <w:rFonts w:hint="eastAsia" w:ascii="方正仿宋_GBK" w:hAnsi="宋体" w:eastAsia="方正仿宋_GBK"/>
          <w:sz w:val="24"/>
          <w:szCs w:val="24"/>
        </w:rPr>
        <w:t>成交供应商的投标保证金，在成交供应商与采购人签订合同后5个工作日内送至区交易中心进行合同鉴证，由重庆市合川区公共资源交易中心按资金来款渠道直接退还</w:t>
      </w:r>
      <w:r>
        <w:rPr>
          <w:rFonts w:hint="eastAsia" w:ascii="方正仿宋_GBK" w:hAnsi="宋体" w:eastAsia="方正仿宋_GBK"/>
          <w:sz w:val="24"/>
        </w:rPr>
        <w:t>。因故未到交易中心办理银行基本账户注册或未进行合同鉴证等自身原因而耽误了投标保证金退还的，由供应商自行负责。</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6.投标人有下列情形之一的，采购人或者集中采购机构可以不退还投标保证金：</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6.1投标人在投标有效期内撤回投标文件的；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6.2投标人未按规定提交履约保证金的；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6.3投标人在投标过程中弄虚作假，提供虚假材料的；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6.4中标人无正当理由不与采购人签订合同的；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6.5中标人将中标项目转让给他人或者在投标文件中未说明且未经采购人同意，将中标项目分包给他人的；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6.6中标人拒绝履行合同义务的；</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6.7其他严重扰乱招投标程序的。</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bCs/>
          <w:sz w:val="24"/>
        </w:rPr>
        <w:t>（四）投标文件的份数和签署</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1、投标文件一式三份，其中正本一份，副本二份。每套纸质投标文件须在封面清楚地标明“正本”或“副本”，副本应为正本的完整复印件，副本与正本不一致时以正本为准。</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2、在投标文件正本中，招标文件第七篇投标文件格式中规定签字、盖章的地方必须按其规定签字、盖章。</w:t>
      </w:r>
    </w:p>
    <w:p>
      <w:pPr>
        <w:tabs>
          <w:tab w:val="left" w:pos="0"/>
        </w:tabs>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3、若投标人对投标文件的错处作必要修改，则应在修改处加盖投标人公章或由</w:t>
      </w:r>
      <w:r>
        <w:rPr>
          <w:rFonts w:hint="eastAsia" w:ascii="方正仿宋_GBK" w:hAnsi="宋体" w:eastAsia="方正仿宋_GBK"/>
          <w:sz w:val="24"/>
          <w:szCs w:val="28"/>
        </w:rPr>
        <w:t>法定代表人</w:t>
      </w:r>
      <w:r>
        <w:rPr>
          <w:rFonts w:hint="eastAsia" w:ascii="方正仿宋_GBK" w:hAnsi="宋体" w:eastAsia="方正仿宋_GBK"/>
          <w:sz w:val="24"/>
        </w:rPr>
        <w:t>或</w:t>
      </w:r>
      <w:r>
        <w:rPr>
          <w:rFonts w:hint="eastAsia" w:ascii="方正仿宋_GBK" w:hAnsi="宋体" w:eastAsia="方正仿宋_GBK"/>
          <w:sz w:val="24"/>
          <w:szCs w:val="28"/>
        </w:rPr>
        <w:t>法定代表人</w:t>
      </w:r>
      <w:r>
        <w:rPr>
          <w:rFonts w:hint="eastAsia" w:ascii="方正仿宋_GBK" w:hAnsi="宋体" w:eastAsia="方正仿宋_GBK"/>
          <w:sz w:val="24"/>
        </w:rPr>
        <w:t>授权代表签字确认。</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sz w:val="24"/>
        </w:rPr>
        <w:t>4、电报、电话、传真形式的投标文件概不接受。</w:t>
      </w:r>
    </w:p>
    <w:p>
      <w:pPr>
        <w:snapToGrid w:val="0"/>
        <w:spacing w:line="400" w:lineRule="exact"/>
        <w:ind w:firstLine="470" w:firstLineChars="196"/>
        <w:jc w:val="left"/>
        <w:rPr>
          <w:rFonts w:hint="eastAsia" w:ascii="方正仿宋_GBK" w:hAnsi="宋体" w:eastAsia="方正仿宋_GBK"/>
          <w:bCs/>
          <w:sz w:val="24"/>
        </w:rPr>
      </w:pPr>
      <w:r>
        <w:rPr>
          <w:rFonts w:hint="eastAsia" w:ascii="方正仿宋_GBK" w:hAnsi="宋体" w:eastAsia="方正仿宋_GBK"/>
          <w:bCs/>
          <w:sz w:val="24"/>
        </w:rPr>
        <w:t>（五）投标报价</w:t>
      </w:r>
    </w:p>
    <w:p>
      <w:pPr>
        <w:snapToGrid w:val="0"/>
        <w:spacing w:line="400" w:lineRule="exact"/>
        <w:ind w:firstLine="470" w:firstLineChars="196"/>
        <w:jc w:val="left"/>
        <w:rPr>
          <w:rFonts w:hint="eastAsia" w:ascii="方正仿宋_GBK" w:hAnsi="宋体" w:eastAsia="方正仿宋_GBK"/>
          <w:sz w:val="24"/>
        </w:rPr>
      </w:pPr>
      <w:r>
        <w:rPr>
          <w:rFonts w:hint="eastAsia" w:ascii="方正仿宋_GBK" w:hAnsi="宋体" w:eastAsia="方正仿宋_GBK"/>
          <w:bCs/>
          <w:sz w:val="24"/>
        </w:rPr>
        <w:t>1、投标人应严格按照“投标文件格式”中“开标一览表”和“分项报价明细表”</w:t>
      </w:r>
      <w:r>
        <w:rPr>
          <w:rFonts w:hint="eastAsia" w:ascii="方正仿宋_GBK" w:hAnsi="宋体" w:eastAsia="方正仿宋_GBK"/>
          <w:sz w:val="24"/>
        </w:rPr>
        <w:t>的格式填写报价。</w:t>
      </w:r>
    </w:p>
    <w:p>
      <w:pPr>
        <w:snapToGrid w:val="0"/>
        <w:spacing w:line="400" w:lineRule="exact"/>
        <w:ind w:left="3" w:leftChars="1" w:firstLine="480" w:firstLineChars="200"/>
        <w:rPr>
          <w:rFonts w:hint="eastAsia" w:ascii="方正仿宋_GBK" w:hAnsi="宋体" w:eastAsia="方正仿宋_GBK"/>
          <w:sz w:val="24"/>
        </w:rPr>
      </w:pPr>
      <w:r>
        <w:rPr>
          <w:rFonts w:hint="eastAsia" w:ascii="方正仿宋_GBK" w:hAnsi="宋体" w:eastAsia="方正仿宋_GBK"/>
          <w:sz w:val="24"/>
        </w:rPr>
        <w:t>2、投标人的报价为一次性报价，即在投标有效期内投标价格固定不变。</w:t>
      </w:r>
    </w:p>
    <w:p>
      <w:pPr>
        <w:snapToGrid w:val="0"/>
        <w:spacing w:line="400" w:lineRule="exact"/>
        <w:ind w:left="3" w:leftChars="1" w:firstLine="480" w:firstLineChars="200"/>
        <w:rPr>
          <w:rFonts w:hint="eastAsia" w:ascii="方正仿宋_GBK" w:hAnsi="宋体" w:eastAsia="方正仿宋_GBK"/>
          <w:sz w:val="24"/>
        </w:rPr>
      </w:pPr>
      <w:r>
        <w:rPr>
          <w:rFonts w:hint="eastAsia" w:ascii="方正仿宋_GBK" w:hAnsi="宋体" w:eastAsia="方正仿宋_GBK"/>
          <w:sz w:val="24"/>
        </w:rPr>
        <w:t>3、本项目只接受一个投标报价，有选择的或有条件的报价将不予接受。</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（六）修正错误</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若投标文件出现计算或表达上的错误，修正错误的原则如下：</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1.投标文件中开标一览表（报价表）内容与投标文件中相应内容不一致的，以开标一览表（报价表）为准；</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2.大写金额和小写金额不一致的，以大写金额为准；</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3.单价金额小数点或者百分比有明显错位的，以开标一览表的总价为准，并修改单价；</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4.总价金额与按单价汇总金额不一致的，以单价金额计算结果为准。</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2"/>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（七）投标文件的递交</w:t>
      </w:r>
    </w:p>
    <w:p>
      <w:pPr>
        <w:pStyle w:val="32"/>
        <w:spacing w:line="400" w:lineRule="exact"/>
        <w:ind w:firstLine="600" w:firstLineChars="250"/>
        <w:rPr>
          <w:rFonts w:hint="eastAsia" w:ascii="方正仿宋_GBK" w:hAnsi="宋体" w:eastAsia="方正仿宋_GBK"/>
          <w:color w:val="000000"/>
          <w:sz w:val="24"/>
        </w:rPr>
      </w:pPr>
      <w:bookmarkStart w:id="38" w:name="_Toc441065682"/>
      <w:r>
        <w:rPr>
          <w:rFonts w:hint="eastAsia" w:ascii="方正仿宋_GBK" w:hAnsi="宋体" w:eastAsia="方正仿宋_GBK"/>
          <w:color w:val="000000"/>
          <w:sz w:val="24"/>
        </w:rPr>
        <w:t>1、投标文件的密封与标记</w:t>
      </w:r>
    </w:p>
    <w:p>
      <w:pPr>
        <w:pStyle w:val="32"/>
        <w:spacing w:line="400" w:lineRule="exact"/>
        <w:ind w:firstLine="360" w:firstLineChars="150"/>
        <w:rPr>
          <w:rFonts w:hint="eastAsia" w:ascii="方正仿宋_GBK" w:hAnsi="宋体" w:eastAsia="方正仿宋_GBK"/>
          <w:color w:val="000000"/>
          <w:sz w:val="24"/>
        </w:rPr>
      </w:pPr>
      <w:r>
        <w:rPr>
          <w:rFonts w:hint="eastAsia" w:ascii="方正仿宋_GBK" w:hAnsi="方正仿宋_GBK" w:eastAsia="方正仿宋_GBK"/>
          <w:color w:val="000000"/>
          <w:sz w:val="24"/>
        </w:rPr>
        <w:t>（1）投标文件按照“经济文件”、“资格文件”、“商务文件”、“技术文件”四部分分别封装，“ 经济文件”的正副本封装在一个密封袋内，“资格文件”的正副本封装在一个密封袋内，“商务文件”的正副本封装在一个密封袋内” ，“技术文件”的正副本封装在一个密封袋内。密封袋的封口须加盖投标人公章或法定代表人授权代表签字。</w:t>
      </w:r>
      <w:r>
        <w:rPr>
          <w:rFonts w:hint="eastAsia" w:ascii="方正仿宋_GBK" w:hAnsi="方正仿宋_GBK" w:eastAsia="方正仿宋_GBK"/>
          <w:b/>
          <w:bCs/>
          <w:color w:val="000000"/>
          <w:sz w:val="24"/>
        </w:rPr>
        <w:t>不按本招标文件规定封装和密封的投标，交易中心拒绝接受。</w:t>
      </w:r>
    </w:p>
    <w:p>
      <w:pPr>
        <w:pStyle w:val="32"/>
        <w:spacing w:line="500" w:lineRule="exact"/>
        <w:ind w:firstLine="360" w:firstLineChars="150"/>
        <w:rPr>
          <w:rFonts w:hint="eastAsia" w:ascii="方正仿宋_GBK" w:hAnsi="方正仿宋_GBK" w:eastAsia="方正仿宋_GBK"/>
          <w:color w:val="000000"/>
          <w:sz w:val="24"/>
        </w:rPr>
      </w:pPr>
      <w:r>
        <w:rPr>
          <w:rFonts w:hint="eastAsia" w:ascii="方正仿宋_GBK" w:hAnsi="方正仿宋_GBK" w:eastAsia="方正仿宋_GBK"/>
          <w:color w:val="000000"/>
          <w:sz w:val="24"/>
        </w:rPr>
        <w:t>（2）投标文件的制作</w:t>
      </w:r>
    </w:p>
    <w:p>
      <w:pPr>
        <w:pStyle w:val="32"/>
        <w:spacing w:line="400" w:lineRule="exact"/>
        <w:ind w:firstLine="480" w:firstLineChars="200"/>
        <w:rPr>
          <w:rFonts w:hint="eastAsia" w:ascii="方正仿宋_GBK" w:hAnsi="宋体" w:eastAsia="方正仿宋_GBK"/>
          <w:color w:val="000000"/>
          <w:sz w:val="24"/>
        </w:rPr>
      </w:pPr>
      <w:r>
        <w:rPr>
          <w:rFonts w:hint="eastAsia" w:ascii="方正仿宋_GBK" w:hAnsi="方正仿宋_GBK" w:eastAsia="方正仿宋_GBK"/>
          <w:color w:val="000000"/>
          <w:sz w:val="24"/>
        </w:rPr>
        <w:t>文件的每一部分各自装订成册，应按照第七篇规定目录的顺序编写目录，并应逐页编制页码。在每一本文件的封面上注明</w:t>
      </w:r>
      <w:r>
        <w:rPr>
          <w:rFonts w:hint="eastAsia" w:ascii="方正仿宋_GBK" w:hAnsi="方正仿宋_GBK" w:eastAsia="方正仿宋_GBK"/>
          <w:b/>
          <w:bCs/>
          <w:color w:val="000000"/>
          <w:sz w:val="24"/>
        </w:rPr>
        <w:t>“**文件”、分包号、项目名称、投标人名称及地址、“正本”、“副本”</w:t>
      </w:r>
      <w:r>
        <w:rPr>
          <w:rFonts w:hint="eastAsia" w:ascii="方正仿宋_GBK" w:hAnsi="方正仿宋_GBK" w:eastAsia="方正仿宋_GBK"/>
          <w:color w:val="000000"/>
          <w:sz w:val="24"/>
          <w:szCs w:val="22"/>
        </w:rPr>
        <w:t>字样</w:t>
      </w:r>
      <w:r>
        <w:rPr>
          <w:rFonts w:hint="eastAsia" w:ascii="方正仿宋_GBK" w:hAnsi="方正仿宋_GBK" w:eastAsia="方正仿宋_GBK"/>
          <w:color w:val="000000"/>
          <w:sz w:val="24"/>
        </w:rPr>
        <w:t>。</w:t>
      </w:r>
    </w:p>
    <w:p>
      <w:pPr>
        <w:pStyle w:val="32"/>
        <w:spacing w:line="400" w:lineRule="exact"/>
        <w:ind w:firstLine="480" w:firstLineChars="200"/>
        <w:rPr>
          <w:rFonts w:hint="eastAsia" w:ascii="方正仿宋_GBK" w:hAnsi="宋体" w:eastAsia="方正仿宋_GBK"/>
          <w:color w:val="000000"/>
          <w:sz w:val="24"/>
        </w:rPr>
      </w:pPr>
      <w:r>
        <w:rPr>
          <w:rFonts w:hint="eastAsia" w:ascii="方正仿宋_GBK" w:hAnsi="方正仿宋_GBK" w:eastAsia="方正仿宋_GBK"/>
          <w:color w:val="000000"/>
          <w:sz w:val="24"/>
        </w:rPr>
        <w:t>（3）密封袋的封面上注明</w:t>
      </w:r>
      <w:r>
        <w:rPr>
          <w:rFonts w:hint="eastAsia" w:ascii="方正仿宋_GBK" w:hAnsi="方正仿宋_GBK" w:eastAsia="方正仿宋_GBK"/>
          <w:b/>
          <w:bCs/>
          <w:color w:val="000000"/>
          <w:sz w:val="24"/>
        </w:rPr>
        <w:t>“**文件”、分包号、项目名称、投标人名称及地址</w:t>
      </w:r>
      <w:r>
        <w:rPr>
          <w:rFonts w:hint="eastAsia" w:ascii="方正仿宋_GBK" w:hAnsi="方正仿宋_GBK" w:eastAsia="方正仿宋_GBK"/>
          <w:color w:val="000000"/>
          <w:sz w:val="24"/>
          <w:szCs w:val="22"/>
        </w:rPr>
        <w:t>字样</w:t>
      </w:r>
      <w:r>
        <w:rPr>
          <w:rFonts w:hint="eastAsia" w:ascii="方正仿宋_GBK" w:hAnsi="方正仿宋_GBK" w:eastAsia="方正仿宋_GBK"/>
          <w:color w:val="000000"/>
          <w:sz w:val="24"/>
        </w:rPr>
        <w:t>。</w:t>
      </w:r>
    </w:p>
    <w:p>
      <w:pPr>
        <w:pStyle w:val="32"/>
        <w:spacing w:line="400" w:lineRule="exact"/>
        <w:ind w:firstLine="602" w:firstLineChars="250"/>
        <w:rPr>
          <w:rFonts w:hint="eastAsia" w:ascii="方正仿宋_GBK" w:hAnsi="宋体" w:eastAsia="方正仿宋_GBK"/>
          <w:color w:val="000000"/>
          <w:sz w:val="24"/>
        </w:rPr>
      </w:pPr>
      <w:r>
        <w:rPr>
          <w:rFonts w:hint="eastAsia" w:ascii="方正仿宋_GBK" w:hAnsi="方正仿宋_GBK" w:eastAsia="方正仿宋_GBK"/>
          <w:b/>
          <w:bCs/>
          <w:color w:val="000000"/>
          <w:sz w:val="24"/>
        </w:rPr>
        <w:t>2、如果未按上述要求进行制作和标记，集中采购机构对投标文件误投、丢失或拆封不负责任。</w:t>
      </w:r>
    </w:p>
    <w:p>
      <w:pPr>
        <w:pStyle w:val="5"/>
        <w:spacing w:line="400" w:lineRule="exact"/>
        <w:ind w:firstLine="482" w:firstLineChars="200"/>
        <w:rPr>
          <w:rFonts w:hint="eastAsia" w:ascii="方正仿宋_GBK" w:eastAsia="方正仿宋_GBK"/>
          <w:b/>
          <w:sz w:val="24"/>
        </w:rPr>
      </w:pPr>
      <w:r>
        <w:rPr>
          <w:rFonts w:hint="eastAsia" w:ascii="方正仿宋_GBK" w:eastAsia="方正仿宋_GBK"/>
          <w:b/>
          <w:sz w:val="24"/>
        </w:rPr>
        <w:t>四、开标</w:t>
      </w:r>
      <w:bookmarkEnd w:id="38"/>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（一）开标应当在招标文件中“投标邀请书”确定的时间和地点公开进行。</w:t>
      </w:r>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（二）</w:t>
      </w:r>
      <w:r>
        <w:rPr>
          <w:rFonts w:hint="eastAsia" w:ascii="方正仿宋_GBK" w:hAnsi="宋体" w:eastAsia="方正仿宋_GBK"/>
          <w:sz w:val="24"/>
        </w:rPr>
        <w:t>集中采购机构</w:t>
      </w:r>
      <w:r>
        <w:rPr>
          <w:rFonts w:hint="eastAsia" w:ascii="方正仿宋_GBK" w:hAnsi="方正仿宋_GBK" w:eastAsia="方正仿宋_GBK"/>
          <w:sz w:val="24"/>
        </w:rPr>
        <w:t>可视采购具体情况，延长投标截止时间和开标时间，但至少在招标文件要求提交投标文件的截止时间三日前，将变更时间书面通知所有招标文件收受人。</w:t>
      </w:r>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（三）开标由</w:t>
      </w:r>
      <w:r>
        <w:rPr>
          <w:rFonts w:hint="eastAsia" w:ascii="方正仿宋_GBK" w:hAnsi="宋体" w:eastAsia="方正仿宋_GBK"/>
          <w:sz w:val="24"/>
        </w:rPr>
        <w:t>集中采购机构</w:t>
      </w:r>
      <w:r>
        <w:rPr>
          <w:rFonts w:hint="eastAsia" w:ascii="方正仿宋_GBK" w:hAnsi="方正仿宋_GBK" w:eastAsia="方正仿宋_GBK"/>
          <w:sz w:val="24"/>
        </w:rPr>
        <w:t>主持，邀请采购人、投标人、财政部门和有关监督部门代表参加，财政部门和有关监督部门可视情况派员现场监督。</w:t>
      </w:r>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四）开标时，由投标人或者其推选的代表检查投标文件的密封情况；经确认无误后，由集中采购机构工作人员当众拆封，宣布投标人名称，先开启资格文件由采购人或者集中采购机构进行审查，公布资格审查合格的投标人名单，并对资格审查不合格的投标人说明原因；再开启资格审查合格的投标人的商务文件和技术文件，最后开启经济文件和需要宣布的其他内容。投标人不足三家的，不得开标。</w:t>
      </w:r>
    </w:p>
    <w:p>
      <w:pPr>
        <w:spacing w:line="400" w:lineRule="exact"/>
        <w:ind w:firstLine="480" w:firstLineChars="200"/>
        <w:rPr>
          <w:rFonts w:hint="eastAsia" w:ascii="方正仿宋_GBK" w:hAnsi="方正仿宋_GBK" w:eastAsia="方正仿宋_GBK"/>
          <w:sz w:val="24"/>
        </w:rPr>
      </w:pPr>
      <w:r>
        <w:rPr>
          <w:rFonts w:hint="eastAsia" w:ascii="方正仿宋_GBK" w:hAnsi="方正仿宋_GBK" w:eastAsia="方正仿宋_GBK"/>
          <w:sz w:val="24"/>
        </w:rPr>
        <w:t>（五）未宣读的投标价格、价格折扣和招标文件允许提供的备选投标方案等实质性内容等，评标时不予承认。</w:t>
      </w:r>
    </w:p>
    <w:p>
      <w:pPr>
        <w:pStyle w:val="32"/>
        <w:spacing w:line="400" w:lineRule="exact"/>
        <w:ind w:firstLine="480" w:firstLineChars="200"/>
        <w:rPr>
          <w:rFonts w:hint="eastAsia" w:ascii="方正仿宋_GBK" w:hAnsi="宋体" w:eastAsia="方正仿宋_GBK"/>
          <w:sz w:val="24"/>
        </w:rPr>
      </w:pPr>
      <w:r>
        <w:rPr>
          <w:rFonts w:hint="eastAsia" w:ascii="方正仿宋_GBK" w:hAnsi="方正仿宋_GBK" w:eastAsia="方正仿宋_GBK"/>
          <w:sz w:val="24"/>
        </w:rPr>
        <w:t>（六）开标过程应由招标采购单位指定专人负责记录，并存档备查。</w:t>
      </w:r>
    </w:p>
    <w:p>
      <w:pPr>
        <w:pStyle w:val="5"/>
        <w:spacing w:line="400" w:lineRule="exact"/>
        <w:ind w:firstLine="482" w:firstLineChars="200"/>
        <w:rPr>
          <w:rFonts w:hint="eastAsia" w:ascii="方正仿宋_GBK" w:eastAsia="方正仿宋_GBK"/>
          <w:b/>
          <w:sz w:val="24"/>
        </w:rPr>
      </w:pPr>
      <w:bookmarkStart w:id="39" w:name="_Toc441065683"/>
      <w:r>
        <w:rPr>
          <w:rFonts w:hint="eastAsia" w:ascii="方正仿宋_GBK" w:eastAsia="方正仿宋_GBK"/>
          <w:b/>
          <w:sz w:val="24"/>
        </w:rPr>
        <w:t>五、评标</w:t>
      </w:r>
      <w:bookmarkEnd w:id="39"/>
    </w:p>
    <w:p>
      <w:pPr>
        <w:snapToGrid w:val="0"/>
        <w:spacing w:line="400" w:lineRule="exact"/>
        <w:ind w:firstLine="480" w:firstLineChars="200"/>
        <w:rPr>
          <w:rFonts w:hint="eastAsia" w:ascii="方正仿宋_GBK" w:eastAsia="方正仿宋_GBK"/>
          <w:sz w:val="24"/>
        </w:rPr>
      </w:pPr>
      <w:r>
        <w:rPr>
          <w:rFonts w:hint="eastAsia" w:ascii="方正仿宋_GBK" w:eastAsia="方正仿宋_GBK"/>
          <w:sz w:val="24"/>
        </w:rPr>
        <w:t>见第四篇“评标”内容。</w:t>
      </w:r>
    </w:p>
    <w:p>
      <w:pPr>
        <w:pStyle w:val="5"/>
        <w:spacing w:line="400" w:lineRule="exact"/>
        <w:ind w:firstLine="482" w:firstLineChars="200"/>
        <w:rPr>
          <w:rFonts w:hint="eastAsia" w:ascii="方正仿宋_GBK" w:eastAsia="方正仿宋_GBK"/>
          <w:b/>
          <w:sz w:val="24"/>
        </w:rPr>
      </w:pPr>
      <w:bookmarkStart w:id="40" w:name="_Toc441065684"/>
      <w:r>
        <w:rPr>
          <w:rFonts w:hint="eastAsia" w:ascii="方正仿宋_GBK" w:eastAsia="方正仿宋_GBK"/>
          <w:b/>
          <w:sz w:val="24"/>
        </w:rPr>
        <w:t>六、定标</w:t>
      </w:r>
      <w:bookmarkEnd w:id="40"/>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（一）定标原则</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采购人或其授权的评标委员会应按照评标报告中推荐的中标候选人排名顺序确定中标人。</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（二）定标程序</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1、集中采购机构应当在评标结束后2个工作日内将评标报告送采购人。</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2、采购人应当自收到评标报告之日起5个工作日内，在评标报告确定的中标候选人名单中按顺序确定中标人。</w:t>
      </w:r>
      <w:r>
        <w:rPr>
          <w:rFonts w:hint="eastAsia" w:ascii="方正仿宋_GBK" w:eastAsia="方正仿宋_GBK"/>
          <w:sz w:val="24"/>
        </w:rPr>
        <w:t>中标候选人并列的，由采购人或者采购人委托评标委员会按照</w:t>
      </w:r>
      <w:r>
        <w:rPr>
          <w:rFonts w:hint="eastAsia" w:ascii="方正仿宋_GBK" w:hAnsi="宋体" w:eastAsia="方正仿宋_GBK"/>
          <w:sz w:val="24"/>
          <w:szCs w:val="24"/>
        </w:rPr>
        <w:t>技术需求的优劣顺序排列；技术需求优劣顺序相同的，按商务条款的优劣顺序排列</w:t>
      </w:r>
      <w:r>
        <w:rPr>
          <w:rFonts w:hint="eastAsia" w:ascii="方正仿宋_GBK" w:eastAsia="方正仿宋_GBK"/>
          <w:sz w:val="24"/>
        </w:rPr>
        <w:t>确定中标人。</w:t>
      </w:r>
      <w:r>
        <w:rPr>
          <w:rFonts w:hint="eastAsia" w:ascii="方正仿宋_GBK" w:hAnsi="宋体" w:eastAsia="方正仿宋_GBK"/>
          <w:sz w:val="24"/>
        </w:rPr>
        <w:t>。</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3、采购人或者集中采购机构应当自中标人确定之日起2个工作日内，在“重庆市政府采购网”和“重庆市公共资源交易网（合川区）”上公告中标结果。中标公告期限为1个工作日。</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4.中标人变更</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中标人拒绝与采购人签订合同的，采购人可以按照评标报告推荐的中标候选人顺序，确定排名下一位的候选人为中标人，也可以重新开展政府采购活动</w:t>
      </w:r>
      <w:r>
        <w:rPr>
          <w:rFonts w:hint="eastAsia" w:ascii="方正仿宋_GBK" w:eastAsia="方正仿宋_GBK"/>
          <w:sz w:val="24"/>
        </w:rPr>
        <w:t>。</w:t>
      </w:r>
    </w:p>
    <w:p>
      <w:pPr>
        <w:pStyle w:val="5"/>
        <w:spacing w:line="400" w:lineRule="exact"/>
        <w:ind w:firstLine="482" w:firstLineChars="200"/>
        <w:rPr>
          <w:rFonts w:hint="eastAsia" w:ascii="方正仿宋_GBK" w:eastAsia="方正仿宋_GBK"/>
          <w:b/>
          <w:sz w:val="24"/>
          <w:szCs w:val="22"/>
        </w:rPr>
      </w:pPr>
      <w:bookmarkStart w:id="41" w:name="_Toc441065685"/>
      <w:r>
        <w:rPr>
          <w:rFonts w:hint="eastAsia" w:ascii="方正仿宋_GBK" w:eastAsia="方正仿宋_GBK"/>
          <w:b/>
          <w:sz w:val="24"/>
          <w:szCs w:val="22"/>
        </w:rPr>
        <w:t>七、中标通知书</w:t>
      </w:r>
      <w:bookmarkEnd w:id="41"/>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（一）采购人依法确定中标人后，以书面形式发出中标通知书。</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（二）中标通知书发出后，采购人改变中标结果，或者中标人放弃中标，应当承担相应的法律责任。</w:t>
      </w:r>
    </w:p>
    <w:p>
      <w:pPr>
        <w:pStyle w:val="5"/>
        <w:spacing w:line="400" w:lineRule="exact"/>
        <w:ind w:firstLine="361" w:firstLineChars="150"/>
        <w:rPr>
          <w:rFonts w:hint="eastAsia" w:ascii="方正仿宋_GBK" w:eastAsia="方正仿宋_GBK"/>
          <w:b/>
          <w:sz w:val="24"/>
        </w:rPr>
      </w:pPr>
      <w:bookmarkStart w:id="42" w:name="_Toc441065686"/>
      <w:r>
        <w:rPr>
          <w:rFonts w:hint="eastAsia" w:ascii="方正仿宋_GBK" w:eastAsia="方正仿宋_GBK"/>
          <w:b/>
          <w:sz w:val="24"/>
        </w:rPr>
        <w:t>八、</w:t>
      </w:r>
      <w:bookmarkEnd w:id="42"/>
      <w:r>
        <w:rPr>
          <w:rFonts w:hint="eastAsia" w:ascii="方正仿宋_GBK" w:hAnsi="方正仿宋_GBK" w:eastAsia="方正仿宋_GBK"/>
          <w:b/>
          <w:sz w:val="24"/>
          <w:szCs w:val="22"/>
        </w:rPr>
        <w:t>询问、质疑和投诉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（一）询问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采购人或者集中采购机构应当在3个工作日内对投标人依法提出的询问作出答复。投标人询问可以是口头或书面形式</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（二）质疑</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1.质疑内容、时限</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1.1招标文件公告期限为采购公告发出之日起五个工作日，投标人对招标文件提出质疑的，应在招标文件公告期限届满之日起七个工作日内以书面形式向采购人、集中采购机构提出，并附相关证明材料。</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 投标人对采购过程提出质疑的，应在各采购程序环节结束之日起七个工作日内以书面形式向采购人、集中采购机构提出，并附相关证明材料。</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1.3中标结果公告期限为中标结果公告发出之日起一个工作日，投标人对中标结果如有异议的，应当在中标结果公告期限届满之日起七个工作日内以书面形式向采购人或集中采购机构提出质疑，并附相关证明材料。</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1.4投标人提出质疑应当提交质疑函和必要的证明材料，质疑函应当包括下列内容：</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1.4.1供应商的姓名或者名称、地址、邮编、联系人及联系电话；</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1.4.2质疑项目的名称、项目号以及招标项目编号；</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1.4.3具体、明确的质疑事项和与质疑事项相关的请求；</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1.4.4事实依据；</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1.4.5必要的法律依据；</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1.4.6提出质疑的日期；</w:t>
      </w:r>
    </w:p>
    <w:p>
      <w:pPr>
        <w:snapToGrid w:val="0"/>
        <w:spacing w:line="400" w:lineRule="exact"/>
        <w:ind w:firstLine="480" w:firstLineChars="200"/>
        <w:rPr>
          <w:rFonts w:hint="eastAsia" w:ascii="方正仿宋_GBK" w:hAnsi="仿宋" w:eastAsia="方正仿宋_GBK" w:cs="仿宋"/>
          <w:sz w:val="24"/>
        </w:rPr>
      </w:pPr>
      <w:r>
        <w:rPr>
          <w:rFonts w:hint="eastAsia" w:ascii="方正仿宋_GBK" w:hAnsi="仿宋" w:eastAsia="方正仿宋_GBK" w:cs="仿宋"/>
          <w:sz w:val="24"/>
        </w:rPr>
        <w:t>1.4.7营业执照（或事业单位法人证书，或个体工商户营业执照或有效的自然人身份证明）复印件；</w:t>
      </w:r>
    </w:p>
    <w:p>
      <w:pPr>
        <w:snapToGrid w:val="0"/>
        <w:spacing w:line="400" w:lineRule="exact"/>
        <w:ind w:firstLine="480" w:firstLineChars="200"/>
        <w:rPr>
          <w:rFonts w:hint="eastAsia"/>
        </w:rPr>
      </w:pPr>
      <w:r>
        <w:rPr>
          <w:rFonts w:hint="eastAsia" w:ascii="方正仿宋_GBK" w:hAnsi="仿宋" w:eastAsia="方正仿宋_GBK" w:cs="仿宋"/>
          <w:sz w:val="24"/>
        </w:rPr>
        <w:t>1.4.8法定代表人授权委托书原件、法定代表人身份证复印件和其授权代表的身份证复印件（供应商为自然人的提供自然人身份证复印件）；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1.5投标人对招标文件中的投标人特定资格条件、技术质量和商务要求、评审标准有异议的，应主要向采购人提出质疑，其他问题可向集中采购机构提出质疑。</w:t>
      </w:r>
    </w:p>
    <w:p>
      <w:pPr>
        <w:snapToGrid w:val="0"/>
        <w:spacing w:line="400" w:lineRule="exact"/>
        <w:ind w:firstLine="480" w:firstLineChars="200"/>
        <w:rPr>
          <w:rFonts w:hint="eastAsia" w:ascii="仿宋" w:hAnsi="仿宋" w:eastAsia="仿宋" w:cs="仿宋"/>
          <w:sz w:val="24"/>
        </w:rPr>
      </w:pPr>
      <w:r>
        <w:rPr>
          <w:rFonts w:hint="eastAsia" w:ascii="方正仿宋_GBK" w:hAnsi="宋体" w:eastAsia="方正仿宋_GBK"/>
          <w:sz w:val="24"/>
        </w:rPr>
        <w:t>1.6质疑所需质疑书格式请在财政部门户网站和中国政府采购网下载。质疑时提供质疑书一正本，二副本，并提供质疑书电子件。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2.质疑答复</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采购人、集中采购机构应当在收到投标人的书面质疑后七个工作日内作出答复，并以书面形式通知质疑投标人和其他有关投标人。</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（三）投诉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1.投标人对采购人、集中采购机构的答复不满意，或者采购人、集中采购机构未在规定时间内答复的，可在答复期满后十五个工作日内按有关规定，向同级财政部门投诉。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2.在提出投诉时，应附送相关证明材料。投诉书及证明材料为外文的，应同时提供其中文译本；中文与外文意思不一致的，以中文为准。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5"/>
        <w:spacing w:line="400" w:lineRule="exact"/>
        <w:ind w:firstLine="482" w:firstLineChars="200"/>
        <w:rPr>
          <w:rFonts w:hint="eastAsia" w:ascii="方正仿宋_GBK" w:eastAsia="方正仿宋_GBK"/>
          <w:b/>
          <w:sz w:val="24"/>
        </w:rPr>
      </w:pPr>
      <w:bookmarkStart w:id="43" w:name="_Toc441065689"/>
      <w:r>
        <w:rPr>
          <w:rFonts w:hint="eastAsia" w:ascii="方正仿宋_GBK" w:eastAsia="方正仿宋_GBK"/>
          <w:b/>
          <w:sz w:val="24"/>
        </w:rPr>
        <w:t>九、签订合同</w:t>
      </w:r>
      <w:bookmarkEnd w:id="43"/>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（一）采购人应当自中标通知书发出之日起三十日内，按照招标文件和中标人投标文件的约定，与中标人签订书面合同。所签订的合同不得对招标文件和中标人投标文件作实质性修改。</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（二）采购人应当自政府采购合同签订之日起2个工作日内，将政府采购合同在重庆市政府采购网上公告，但政府采购合同中涉及国家秘密、商业秘密的内容除外。</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（三）招标文件、中标人的投标文件及澄清文件等，均为签订政府采购合同的依据。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（四）合同生效条款由供需双方约定，法律、行政法规规定应当办理批准、登记等手续后生效的合同，依照其规定。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（五）合同原则上应按照《重庆市政府采购合同》签订，相关单位要求适用合同通用格式版本的，应按其要求另行签订其他合同。</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（六）采购人要求中标人提供履约保证金的，应当在招标文件中予以约定。中标人履约完毕后，采购人应按招标文件及合同的约定无息退还其履约保证金。</w:t>
      </w:r>
    </w:p>
    <w:p>
      <w:pPr>
        <w:snapToGrid w:val="0"/>
        <w:spacing w:line="400" w:lineRule="exact"/>
        <w:ind w:firstLine="482" w:firstLineChars="200"/>
        <w:rPr>
          <w:rFonts w:hint="eastAsia" w:ascii="方正仿宋_GBK" w:hAnsi="宋体" w:eastAsia="方正仿宋_GBK"/>
          <w:b/>
          <w:bCs/>
          <w:sz w:val="24"/>
          <w:szCs w:val="24"/>
        </w:rPr>
      </w:pPr>
      <w:r>
        <w:rPr>
          <w:rFonts w:hint="eastAsia" w:ascii="方正仿宋_GBK" w:hAnsi="宋体" w:eastAsia="方正仿宋_GBK"/>
          <w:b/>
          <w:bCs/>
          <w:sz w:val="24"/>
          <w:szCs w:val="24"/>
        </w:rPr>
        <w:t>（七）采购人与成交供应商签订政府采购合同之日起5个工作日内，由采购人或成交供应商将合同提交1份给集中采购机构，集中采购机构按照规定的时间退还成交供应商的投标保证金。</w:t>
      </w:r>
    </w:p>
    <w:p>
      <w:pPr>
        <w:snapToGrid w:val="0"/>
        <w:spacing w:line="400" w:lineRule="exact"/>
        <w:ind w:firstLine="482" w:firstLineChars="200"/>
        <w:rPr>
          <w:rFonts w:hint="eastAsia" w:ascii="方正仿宋_GBK" w:eastAsia="方正仿宋_GBK"/>
          <w:b/>
          <w:sz w:val="24"/>
          <w:szCs w:val="22"/>
        </w:rPr>
      </w:pPr>
      <w:r>
        <w:rPr>
          <w:rFonts w:hint="eastAsia" w:ascii="方正仿宋_GBK" w:eastAsia="方正仿宋_GBK"/>
          <w:b/>
          <w:sz w:val="24"/>
          <w:szCs w:val="22"/>
        </w:rPr>
        <w:t>十、政府采购信用融资</w:t>
      </w:r>
    </w:p>
    <w:p>
      <w:pPr>
        <w:snapToGrid w:val="0"/>
        <w:spacing w:line="400" w:lineRule="exact"/>
        <w:ind w:firstLine="480" w:firstLineChars="200"/>
        <w:rPr>
          <w:rFonts w:hint="eastAsia" w:ascii="方正仿宋_GBK" w:hAnsi="方正仿宋_GBK" w:eastAsia="方正仿宋_GBK"/>
          <w:color w:val="FF0000"/>
          <w:sz w:val="24"/>
        </w:rPr>
      </w:pPr>
      <w:r>
        <w:rPr>
          <w:rFonts w:hint="eastAsia" w:ascii="方正仿宋_GBK" w:hAnsi="宋体" w:eastAsia="方正仿宋_GBK"/>
          <w:sz w:val="24"/>
        </w:rPr>
        <w:t>投标人参与重庆市政府采购活动，成为中标、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4"/>
        <w:spacing w:beforeLines="0" w:afterLines="0" w:line="360" w:lineRule="auto"/>
        <w:rPr>
          <w:rFonts w:hint="eastAsia" w:ascii="方正小标宋_GBK" w:eastAsia="方正小标宋_GBK"/>
        </w:rPr>
      </w:pPr>
      <w:r>
        <w:br w:type="page"/>
      </w:r>
      <w:bookmarkStart w:id="44" w:name="_Toc441065690"/>
      <w:r>
        <w:rPr>
          <w:rFonts w:hint="eastAsia" w:ascii="方正小标宋_GBK" w:eastAsia="方正小标宋_GBK"/>
        </w:rPr>
        <w:t>第六篇  合同主要条款和格式合同（样本）</w:t>
      </w:r>
      <w:bookmarkEnd w:id="44"/>
    </w:p>
    <w:p>
      <w:pPr>
        <w:pStyle w:val="5"/>
        <w:spacing w:line="500" w:lineRule="exact"/>
        <w:ind w:firstLine="482" w:firstLineChars="200"/>
        <w:rPr>
          <w:rFonts w:hint="eastAsia" w:ascii="方正仿宋_GBK" w:eastAsia="方正仿宋_GBK"/>
          <w:b/>
          <w:sz w:val="24"/>
        </w:rPr>
      </w:pPr>
      <w:bookmarkStart w:id="45" w:name="_Toc441065691"/>
      <w:bookmarkStart w:id="46" w:name="_Toc285722712"/>
      <w:bookmarkStart w:id="47" w:name="_Toc277084870"/>
      <w:r>
        <w:rPr>
          <w:rFonts w:hint="eastAsia" w:ascii="方正仿宋_GBK" w:eastAsia="方正仿宋_GBK"/>
          <w:b/>
          <w:sz w:val="24"/>
        </w:rPr>
        <w:t>一、合同主要条款</w:t>
      </w:r>
      <w:bookmarkEnd w:id="45"/>
      <w:bookmarkEnd w:id="46"/>
      <w:bookmarkEnd w:id="47"/>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1.定义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1.1甲方（需方）即采购人，是指通过招标采购，接受合同货物及服务的各级国家机关、事业单位和团体组织。</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1.2乙方（供方）即中标人，是指中标后提供合同货物和服务的自然人、法人及其他组织。</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1.3合同是指由甲乙双方按照招标文件和投标文件的实质性内容，通过协商一致达成的书面协议。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1.4合同价格指以中标价格为依据，在供方全面履行合同义务后，需方（或财政部门）应支付给供方的金额。</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1.5技术资料是指合同货物及其相关的设计、制造、监造、检验、验收等文件（包括图纸、各种文字说明、标准）。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2.货物内容</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合同包括以下内容：货物名称、型号规格、技术参数、数量（单位）等内容。</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3.合同价格</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3.1合同价格即合同总价。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3.2合同价格包括合同货物、技术资料、合同货物的税费、运杂费、保险费、包装费、装卸费及与货物有关的供方应纳的税费，所有税费由乙方负担。</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3.3合同货物单价为不变价。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4.转包或分包</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4.1本合同范围的货物，应由乙方直接供应，不得转让他人供应；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4.2非经甲方书面同意，乙方不得将本合同范围的货物全部或部分分包给他人供应；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4.3如有转让和未经甲方同意的分包行为，甲方有权解除合同，没收履约保证金并追究乙方的违约责任。</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5.质量保证及售后服务</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5.1乙方应按招标文件规定的货物性能、技术要求、质量标准向甲方提供未经使用的全新产品。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5.2乙方提供的货物在质保期内因货物本身的质量问题发生故障，乙方应负责免费更换。对达不到技术要求者，根据实际情况，经双方协商，可按以下办法处理：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5.2.1更换：由乙方承担所发生的全部费用。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5.2.2贬值处理：由甲乙双方合议定价。</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5.2.3退货处理：乙方应退还甲方支付的合同款，同时应承担该货物的直接费用（运输、保险、检验、货款利息及银行手续费等）。</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5.3如在使用过程中发生质量问题，乙方应按本项目“第三篇 项目商务要求”中的要求处理。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5.4在质保期内，乙方应对货物出现的质量及安全问题负责处理解决并承担一切费用。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5.5 如甲方要求乙方提供履约保证金的，履约保证金的收取和退还应按本项目“第三篇 项目商务要求”中的要求处理。</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6.付款</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6.1本合同使用货币币制如未作特别说明均为人民币。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6.2付款方式：银行转账、现金支票。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6.3付款方法：同本项目“第三篇 商务条款”中关于付款方式的约定。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7.检查验收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7.1供方应随货物提供合格证和质量证明文件，如是国外进口的货物还须提供入关证明。</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7.2货物验收</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7.3货物验收报告应由需方、供方经办人签字，并加盖双方公章，以此作为支付凭据。</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8.索赔</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供方对货物与合同要求不符负有责任，并且需方已于规定交货内和质量保证期内提出索赔，供方应按需方同意的下述一种或多种方法解决索赔事宜。</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8.2根据货物的疵劣和受损程度以及需方遭受损失的金额，经双方同意降低货物价格。</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9.知识产权</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甲方在中华人民共和国境内使用乙方提供的货物及服务时免受第三方提出的侵犯其专利权或其它知识产权的起诉。如果第三方提出侵权指控，乙方应承担由此而引起的一切法律责任和费用。</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10.合同争议的解决</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10.1当事人友好协商达成一致</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10.2在60天内当事人协商不能达成协议的，可提请采购人当地仲裁机构仲裁。</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11.违约责任</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按《中华人民共和国合同法》、《中华人民共和国政府采购法》有关条款，或由供需双方约定。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12.合同生效及其它</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12.1合同生效及其效力应符合《中华人民共和国合同法》有关规定。</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12.2合同应经当事人法定代表人或委托代理人签字，加盖双方合同专用章或公章。</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12.3合同所包括附件，是合同不可分割的一部分，具有同等法法律效力。</w:t>
      </w:r>
    </w:p>
    <w:p>
      <w:pPr>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12.4合同需提供担保的，按《中华人民共和国担保法》规定执行。</w:t>
      </w:r>
    </w:p>
    <w:p>
      <w:pPr>
        <w:snapToGrid w:val="0"/>
        <w:spacing w:line="400" w:lineRule="exact"/>
        <w:ind w:firstLine="480" w:firstLineChars="200"/>
        <w:rPr>
          <w:rFonts w:ascii="方正仿宋_GBK" w:hAnsi="宋体" w:eastAsia="方正仿宋_GBK"/>
          <w:bCs/>
          <w:sz w:val="24"/>
        </w:rPr>
      </w:pPr>
      <w:r>
        <w:rPr>
          <w:rFonts w:hint="eastAsia" w:ascii="方正仿宋_GBK" w:hAnsi="宋体" w:eastAsia="方正仿宋_GBK"/>
          <w:sz w:val="24"/>
        </w:rPr>
        <w:t>12.5本合同条件未尽事宜依照《中华人民共和国合同法》，由供需双方共同协商确定。</w:t>
      </w:r>
    </w:p>
    <w:p>
      <w:pPr>
        <w:snapToGrid w:val="0"/>
        <w:spacing w:line="500" w:lineRule="exact"/>
        <w:jc w:val="center"/>
        <w:outlineLvl w:val="0"/>
        <w:rPr>
          <w:rFonts w:eastAsia="黑体"/>
          <w:sz w:val="44"/>
        </w:rPr>
        <w:sectPr>
          <w:headerReference r:id="rId9" w:type="default"/>
          <w:pgSz w:w="11907" w:h="16840"/>
          <w:pgMar w:top="1134" w:right="1134" w:bottom="1134" w:left="1247" w:header="964" w:footer="992" w:gutter="0"/>
          <w:pgNumType w:fmt="numberInDash"/>
          <w:cols w:space="720" w:num="1"/>
          <w:docGrid w:linePitch="312" w:charSpace="0"/>
        </w:sectPr>
      </w:pPr>
    </w:p>
    <w:p>
      <w:pPr>
        <w:pStyle w:val="5"/>
        <w:spacing w:line="500" w:lineRule="exact"/>
        <w:ind w:firstLine="482" w:firstLineChars="200"/>
        <w:rPr>
          <w:rFonts w:hint="eastAsia" w:ascii="方正仿宋_GBK" w:eastAsia="方正仿宋_GBK"/>
          <w:b/>
          <w:sz w:val="24"/>
        </w:rPr>
      </w:pPr>
      <w:bookmarkStart w:id="48" w:name="_Toc277084871"/>
      <w:bookmarkStart w:id="49" w:name="_Toc441065692"/>
      <w:bookmarkStart w:id="50" w:name="_Toc285722713"/>
      <w:r>
        <w:rPr>
          <w:rFonts w:hint="eastAsia" w:ascii="方正仿宋_GBK" w:eastAsia="方正仿宋_GBK"/>
          <w:b/>
          <w:sz w:val="24"/>
        </w:rPr>
        <w:t>二、政府采购合同（格式）</w:t>
      </w:r>
      <w:bookmarkEnd w:id="48"/>
      <w:bookmarkEnd w:id="49"/>
      <w:bookmarkEnd w:id="50"/>
    </w:p>
    <w:p>
      <w:pPr>
        <w:spacing w:line="500" w:lineRule="exact"/>
        <w:jc w:val="center"/>
        <w:rPr>
          <w:rFonts w:ascii="方正仿宋_GBK" w:eastAsia="方正仿宋_GBK"/>
          <w:b/>
          <w:sz w:val="44"/>
        </w:rPr>
      </w:pPr>
      <w:bookmarkStart w:id="51" w:name="_Toc441065693"/>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ascii="方正仿宋_GBK" w:eastAsia="方正仿宋_GBK"/>
        </w:rPr>
      </w:pPr>
      <w:r>
        <w:rPr>
          <w:rFonts w:hint="eastAsia" w:ascii="方正仿宋_GBK" w:eastAsia="方正仿宋_GBK"/>
        </w:rPr>
        <w:t>（项目号：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759"/>
        <w:gridCol w:w="53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452" w:hRule="atLeast"/>
        </w:trPr>
        <w:tc>
          <w:tcPr>
            <w:tcW w:w="1330"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商品名称</w:t>
            </w:r>
          </w:p>
        </w:tc>
        <w:tc>
          <w:tcPr>
            <w:tcW w:w="174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规格型号</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交货时间</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1330" w:type="dxa"/>
            <w:vAlign w:val="center"/>
          </w:tcPr>
          <w:p>
            <w:pPr>
              <w:spacing w:line="240" w:lineRule="atLeast"/>
              <w:jc w:val="center"/>
              <w:rPr>
                <w:rFonts w:ascii="方正仿宋_GBK" w:eastAsia="方正仿宋_GBK"/>
                <w:sz w:val="21"/>
                <w:szCs w:val="21"/>
              </w:rPr>
            </w:pPr>
          </w:p>
        </w:tc>
        <w:tc>
          <w:tcPr>
            <w:tcW w:w="174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Pr>
        <w:tc>
          <w:tcPr>
            <w:tcW w:w="9613" w:type="dxa"/>
            <w:gridSpan w:val="8"/>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2052" w:hRule="atLeast"/>
        </w:trPr>
        <w:tc>
          <w:tcPr>
            <w:tcW w:w="9613"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一、质量要求和技术标准。供方提供的商品必须是全新的，完全符合国家有关技术标准，供方的质量保证及售后服务承诺如下：</w:t>
            </w:r>
          </w:p>
          <w:p>
            <w:pPr>
              <w:spacing w:line="240" w:lineRule="atLeast"/>
              <w:rPr>
                <w:rFonts w:ascii="方正仿宋_GBK" w:eastAsia="方正仿宋_GBK"/>
                <w:sz w:val="21"/>
                <w:szCs w:val="21"/>
              </w:rPr>
            </w:pPr>
            <w:r>
              <w:rPr>
                <w:rFonts w:hint="eastAsia" w:ascii="方正仿宋_GBK" w:eastAsia="方正仿宋_GBK"/>
                <w:sz w:val="21"/>
                <w:szCs w:val="21"/>
              </w:rPr>
              <w:t>1、质保期限：</w:t>
            </w:r>
          </w:p>
          <w:p>
            <w:pPr>
              <w:spacing w:line="240" w:lineRule="atLeast"/>
              <w:rPr>
                <w:rFonts w:ascii="方正仿宋_GBK" w:eastAsia="方正仿宋_GBK"/>
                <w:sz w:val="21"/>
                <w:szCs w:val="21"/>
              </w:rPr>
            </w:pPr>
            <w:r>
              <w:rPr>
                <w:rFonts w:hint="eastAsia" w:ascii="方正仿宋_GBK" w:eastAsia="方正仿宋_GBK"/>
                <w:sz w:val="21"/>
                <w:szCs w:val="21"/>
              </w:rPr>
              <w:t>2、保修范围：</w:t>
            </w:r>
          </w:p>
          <w:p>
            <w:pPr>
              <w:spacing w:line="240" w:lineRule="atLeast"/>
              <w:rPr>
                <w:rFonts w:ascii="方正仿宋_GBK" w:eastAsia="方正仿宋_GBK"/>
                <w:sz w:val="21"/>
                <w:szCs w:val="21"/>
              </w:rPr>
            </w:pPr>
            <w:r>
              <w:rPr>
                <w:rFonts w:hint="eastAsia" w:ascii="方正仿宋_GBK" w:eastAsia="方正仿宋_GBK"/>
                <w:sz w:val="21"/>
                <w:szCs w:val="21"/>
              </w:rPr>
              <w:t>3、服务措施：</w:t>
            </w:r>
          </w:p>
          <w:p>
            <w:pPr>
              <w:spacing w:line="240" w:lineRule="atLeast"/>
              <w:rPr>
                <w:rFonts w:ascii="方正仿宋_GBK" w:eastAsia="方正仿宋_GBK"/>
                <w:sz w:val="21"/>
                <w:szCs w:val="21"/>
              </w:rPr>
            </w:pPr>
            <w:r>
              <w:rPr>
                <w:rFonts w:hint="eastAsia" w:ascii="方正仿宋_GBK" w:eastAsia="方正仿宋_GBK"/>
                <w:sz w:val="21"/>
                <w:szCs w:val="21"/>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913" w:hRule="atLeast"/>
        </w:trPr>
        <w:tc>
          <w:tcPr>
            <w:tcW w:w="9613"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cantSplit/>
          <w:trHeight w:val="751" w:hRule="atLeast"/>
        </w:trPr>
        <w:tc>
          <w:tcPr>
            <w:tcW w:w="9613"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9628" w:type="dxa"/>
            <w:gridSpan w:val="9"/>
          </w:tcPr>
          <w:p>
            <w:pPr>
              <w:spacing w:line="240" w:lineRule="atLeast"/>
              <w:rPr>
                <w:rFonts w:ascii="方正仿宋_GBK" w:eastAsia="方正仿宋_GBK"/>
                <w:sz w:val="21"/>
                <w:szCs w:val="21"/>
              </w:rPr>
            </w:pPr>
            <w:r>
              <w:rPr>
                <w:rFonts w:hint="eastAsia" w:ascii="方正仿宋_GBK" w:eastAsia="方正仿宋_GBK"/>
                <w:sz w:val="21"/>
                <w:szCs w:val="21"/>
              </w:rPr>
              <w:t>四、验收标准、方法：</w:t>
            </w:r>
          </w:p>
          <w:p>
            <w:pPr>
              <w:spacing w:line="240" w:lineRule="atLeast"/>
              <w:rPr>
                <w:rFonts w:ascii="方正仿宋_GBK" w:eastAsia="方正仿宋_GBK"/>
                <w:sz w:val="21"/>
                <w:szCs w:val="21"/>
              </w:rPr>
            </w:pPr>
            <w:r>
              <w:rPr>
                <w:rFonts w:hint="eastAsia" w:ascii="方正仿宋_GBK" w:eastAsia="方正仿宋_GBK"/>
                <w:sz w:val="21"/>
                <w:szCs w:val="21"/>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240" w:lineRule="atLeast"/>
              <w:rPr>
                <w:rFonts w:ascii="方正仿宋_GBK" w:eastAsia="方正仿宋_GBK"/>
                <w:sz w:val="21"/>
                <w:szCs w:val="21"/>
              </w:rPr>
            </w:pPr>
            <w:r>
              <w:rPr>
                <w:rFonts w:hint="eastAsia" w:ascii="方正仿宋_GBK" w:eastAsia="方正仿宋_GBK"/>
                <w:sz w:val="21"/>
                <w:szCs w:val="21"/>
              </w:rPr>
              <w:t>五、付款方式：</w:t>
            </w:r>
          </w:p>
          <w:p>
            <w:pPr>
              <w:pStyle w:val="34"/>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9628" w:type="dxa"/>
            <w:gridSpan w:val="9"/>
          </w:tcPr>
          <w:p>
            <w:pPr>
              <w:spacing w:line="240" w:lineRule="atLeast"/>
              <w:rPr>
                <w:rFonts w:ascii="方正仿宋_GBK" w:eastAsia="方正仿宋_GBK"/>
                <w:sz w:val="21"/>
                <w:szCs w:val="21"/>
              </w:rPr>
            </w:pPr>
            <w:r>
              <w:rPr>
                <w:rFonts w:hint="eastAsia" w:ascii="方正仿宋_GBK" w:eastAsia="方正仿宋_GBK"/>
                <w:sz w:val="21"/>
                <w:szCs w:val="21"/>
              </w:rPr>
              <w:t>六、违约责任：</w:t>
            </w:r>
          </w:p>
          <w:p>
            <w:pPr>
              <w:spacing w:line="240" w:lineRule="atLeast"/>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9628" w:type="dxa"/>
            <w:gridSpan w:val="9"/>
          </w:tcPr>
          <w:p>
            <w:pPr>
              <w:spacing w:line="240" w:lineRule="atLeast"/>
              <w:rPr>
                <w:rFonts w:ascii="方正仿宋_GBK" w:eastAsia="方正仿宋_GBK"/>
                <w:sz w:val="21"/>
                <w:szCs w:val="21"/>
              </w:rPr>
            </w:pPr>
            <w:r>
              <w:rPr>
                <w:rFonts w:hint="eastAsia" w:ascii="方正仿宋_GBK" w:eastAsia="方正仿宋_GBK"/>
                <w:sz w:val="21"/>
                <w:szCs w:val="21"/>
              </w:rPr>
              <w:t>七、其他约定事项：</w:t>
            </w:r>
          </w:p>
          <w:p>
            <w:pPr>
              <w:spacing w:line="240" w:lineRule="atLeast"/>
              <w:rPr>
                <w:rFonts w:ascii="方正仿宋_GBK" w:eastAsia="方正仿宋_GBK"/>
                <w:sz w:val="21"/>
                <w:szCs w:val="21"/>
              </w:rPr>
            </w:pPr>
            <w:r>
              <w:rPr>
                <w:rFonts w:hint="eastAsia" w:ascii="方正仿宋_GBK" w:eastAsia="方正仿宋_GBK"/>
                <w:sz w:val="21"/>
                <w:szCs w:val="21"/>
              </w:rPr>
              <w:t>1、招标文件及其补遗文件、投标文件和承诺是本合同不可分割的部分。</w:t>
            </w:r>
          </w:p>
          <w:p>
            <w:pPr>
              <w:numPr>
                <w:ilvl w:val="0"/>
                <w:numId w:val="19"/>
              </w:numPr>
              <w:spacing w:line="240" w:lineRule="atLeast"/>
              <w:rPr>
                <w:rFonts w:ascii="方正仿宋_GBK" w:eastAsia="方正仿宋_GBK"/>
                <w:sz w:val="21"/>
                <w:szCs w:val="21"/>
              </w:rPr>
            </w:pPr>
            <w:r>
              <w:rPr>
                <w:rFonts w:hint="eastAsia" w:ascii="方正仿宋_GBK" w:eastAsia="方正仿宋_GBK"/>
                <w:sz w:val="21"/>
                <w:szCs w:val="21"/>
              </w:rPr>
              <w:t>本合同如发生争议由双方协商解决，协商不成向需方所在人民法院提请诉讼。</w:t>
            </w:r>
          </w:p>
          <w:p>
            <w:pPr>
              <w:numPr>
                <w:ilvl w:val="0"/>
                <w:numId w:val="19"/>
              </w:numPr>
              <w:spacing w:line="240" w:lineRule="atLeast"/>
              <w:rPr>
                <w:rFonts w:ascii="方正仿宋_GBK" w:eastAsia="方正仿宋_GBK"/>
                <w:sz w:val="21"/>
                <w:szCs w:val="21"/>
              </w:rPr>
            </w:pPr>
            <w:r>
              <w:rPr>
                <w:rFonts w:hint="eastAsia" w:ascii="方正仿宋_GBK" w:eastAsia="方正仿宋_GBK"/>
                <w:sz w:val="21"/>
                <w:szCs w:val="21"/>
              </w:rPr>
              <w:t>本合同一式__份， 需方__份，供方__份具备同等法律效力。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814" w:type="dxa"/>
            <w:gridSpan w:val="4"/>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81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spacing w:line="240" w:lineRule="atLeast"/>
              <w:rPr>
                <w:rFonts w:ascii="方正仿宋_GBK" w:eastAsia="方正仿宋_GBK"/>
                <w:sz w:val="21"/>
                <w:szCs w:val="21"/>
              </w:rPr>
            </w:pPr>
            <w:r>
              <w:rPr>
                <w:rFonts w:hint="eastAsia" w:ascii="方正仿宋_GBK" w:eastAsia="方正仿宋_GBK"/>
                <w:sz w:val="21"/>
                <w:szCs w:val="21"/>
              </w:rPr>
              <w:t>（本栏请用计算机打印以便于准确付款）</w:t>
            </w:r>
          </w:p>
          <w:p>
            <w:pPr>
              <w:widowControl/>
              <w:spacing w:line="240" w:lineRule="atLeast"/>
              <w:jc w:val="left"/>
              <w:rPr>
                <w:rFonts w:ascii="方正仿宋_GBK" w:eastAsia="方正仿宋_GBK"/>
                <w:sz w:val="21"/>
                <w:szCs w:val="21"/>
              </w:rPr>
            </w:pPr>
          </w:p>
          <w:p>
            <w:pPr>
              <w:widowControl/>
              <w:spacing w:line="240" w:lineRule="atLeast"/>
              <w:jc w:val="left"/>
              <w:rPr>
                <w:rFonts w:ascii="方正仿宋_GBK" w:eastAsia="方正仿宋_GBK"/>
                <w:sz w:val="21"/>
                <w:szCs w:val="21"/>
              </w:rPr>
            </w:pP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9628" w:type="dxa"/>
            <w:gridSpan w:val="9"/>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      签约地点：</w:t>
      </w:r>
    </w:p>
    <w:p>
      <w:pPr>
        <w:spacing w:line="500" w:lineRule="exact"/>
        <w:ind w:firstLine="560" w:firstLineChars="200"/>
        <w:sectPr>
          <w:headerReference r:id="rId10" w:type="default"/>
          <w:type w:val="nextColumn"/>
          <w:pgSz w:w="11907" w:h="16840"/>
          <w:pgMar w:top="1134" w:right="1191" w:bottom="1134" w:left="1304" w:header="964" w:footer="992" w:gutter="0"/>
          <w:pgNumType w:fmt="numberInDash"/>
          <w:cols w:space="720" w:num="1"/>
          <w:docGrid w:linePitch="312" w:charSpace="0"/>
        </w:sectPr>
      </w:pPr>
    </w:p>
    <w:p>
      <w:pPr>
        <w:pStyle w:val="4"/>
        <w:spacing w:beforeLines="0" w:afterLines="0" w:line="360" w:lineRule="auto"/>
        <w:ind w:firstLine="2640" w:firstLineChars="600"/>
        <w:jc w:val="both"/>
        <w:rPr>
          <w:rFonts w:hint="eastAsia" w:ascii="方正小标宋_GBK" w:eastAsia="方正小标宋_GBK"/>
        </w:rPr>
      </w:pPr>
      <w:r>
        <w:rPr>
          <w:rFonts w:hint="eastAsia" w:ascii="方正小标宋_GBK" w:eastAsia="方正小标宋_GBK"/>
        </w:rPr>
        <w:t>第七篇  投标文件格式</w:t>
      </w:r>
      <w:bookmarkEnd w:id="51"/>
    </w:p>
    <w:p>
      <w:pPr>
        <w:snapToGrid w:val="0"/>
        <w:spacing w:line="440" w:lineRule="exact"/>
        <w:ind w:firstLine="482" w:firstLineChars="200"/>
        <w:rPr>
          <w:rFonts w:hint="eastAsia" w:ascii="仿宋" w:hAnsi="仿宋" w:eastAsia="仿宋"/>
          <w:b/>
          <w:sz w:val="24"/>
          <w:szCs w:val="24"/>
        </w:rPr>
      </w:pPr>
      <w:r>
        <w:rPr>
          <w:rFonts w:hint="eastAsia" w:ascii="方正仿宋_GBK" w:hAnsi="宋体" w:eastAsia="方正仿宋_GBK"/>
          <w:b/>
          <w:sz w:val="24"/>
          <w:szCs w:val="24"/>
        </w:rPr>
        <w:t>一、经济文件</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（一）开标一览表</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（二）分项报价明细表</w:t>
      </w:r>
    </w:p>
    <w:p>
      <w:pPr>
        <w:snapToGrid w:val="0"/>
        <w:spacing w:line="440" w:lineRule="exact"/>
        <w:ind w:firstLine="480" w:firstLineChars="200"/>
        <w:rPr>
          <w:rFonts w:hint="eastAsia"/>
        </w:rPr>
      </w:pPr>
      <w:r>
        <w:rPr>
          <w:rFonts w:hint="eastAsia" w:ascii="方正仿宋_GBK" w:hAnsi="宋体" w:eastAsia="方正仿宋_GBK"/>
          <w:sz w:val="24"/>
          <w:szCs w:val="24"/>
        </w:rPr>
        <w:t>（三）所投设备易损配件及耗材报价表</w:t>
      </w:r>
    </w:p>
    <w:p>
      <w:pPr>
        <w:snapToGrid w:val="0"/>
        <w:spacing w:line="44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二、技术文件</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（二）所投各产品进入节能产品、环境标志产品政府采购品目清单的证明文件（如果有）</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（三）技术条款差异表</w:t>
      </w:r>
    </w:p>
    <w:p>
      <w:pPr>
        <w:snapToGrid w:val="0"/>
        <w:spacing w:line="44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三、商务文件</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（一）投标函（格式）</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（二）商务条款差异表</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（三）商务及售后服务承诺</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（四）投标人中小微企业声明函、监狱企业证明文件、残疾人福利性单位声明函</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（五）其他与项目有关的资料（自附）</w:t>
      </w:r>
    </w:p>
    <w:p>
      <w:pPr>
        <w:snapToGrid w:val="0"/>
        <w:spacing w:line="44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四、资格文件（单独装订）</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u w:val="single"/>
        </w:rPr>
        <w:t xml:space="preserve">  2019  </w:t>
      </w:r>
      <w:r>
        <w:rPr>
          <w:rFonts w:hint="eastAsia" w:ascii="方正仿宋_GBK" w:hAnsi="宋体" w:eastAsia="方正仿宋_GBK"/>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（六）开标日前三个月缴纳税收的证明材料复印件。依法免税的投标人，应提供相应文件证明其依法免税。</w:t>
      </w:r>
    </w:p>
    <w:p>
      <w:pPr>
        <w:snapToGrid w:val="0"/>
        <w:spacing w:line="44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开标日前三个月缴纳社会保障金的证明材料复印件（缴纳社会保障金的证明材料指：社会保险登记证或缴纳社会保险的凭据（专用收据或社会保险缴纳清单））。依法不需要缴纳社会保障资金的投标人，应提供相应文件证明其依法不需要缴纳社会保障资金。</w:t>
      </w:r>
    </w:p>
    <w:p>
      <w:pPr>
        <w:pStyle w:val="5"/>
        <w:spacing w:line="500" w:lineRule="exact"/>
        <w:ind w:firstLine="560" w:firstLineChars="200"/>
        <w:rPr>
          <w:rFonts w:hint="eastAsia" w:ascii="方正仿宋_GBK" w:eastAsia="方正仿宋_GBK"/>
          <w:b/>
          <w:szCs w:val="28"/>
        </w:rPr>
      </w:pPr>
      <w:r>
        <w:br w:type="page"/>
      </w:r>
      <w:bookmarkStart w:id="52" w:name="_Toc429584884"/>
      <w:bookmarkStart w:id="53" w:name="_Toc441065694"/>
      <w:r>
        <w:rPr>
          <w:rFonts w:hint="eastAsia" w:ascii="方正仿宋_GBK" w:eastAsia="方正仿宋_GBK"/>
          <w:b/>
          <w:szCs w:val="28"/>
        </w:rPr>
        <w:t>一、经济文件</w:t>
      </w:r>
      <w:bookmarkEnd w:id="52"/>
      <w:bookmarkEnd w:id="53"/>
    </w:p>
    <w:p>
      <w:pPr>
        <w:snapToGrid w:val="0"/>
        <w:spacing w:line="500" w:lineRule="exact"/>
        <w:jc w:val="center"/>
        <w:rPr>
          <w:rFonts w:hint="eastAsia" w:ascii="方正仿宋_GBK" w:hAnsi="宋体" w:eastAsia="方正仿宋_GBK"/>
          <w:szCs w:val="36"/>
        </w:rPr>
      </w:pPr>
      <w:r>
        <w:rPr>
          <w:rFonts w:hint="eastAsia" w:ascii="方正仿宋_GBK" w:hAnsi="宋体" w:eastAsia="方正仿宋_GBK"/>
          <w:szCs w:val="36"/>
        </w:rPr>
        <w:t>（一）开标一览表</w:t>
      </w:r>
    </w:p>
    <w:p>
      <w:pPr>
        <w:spacing w:line="500" w:lineRule="exact"/>
        <w:ind w:firstLine="240" w:firstLineChars="100"/>
        <w:rPr>
          <w:rFonts w:hint="eastAsia" w:ascii="方正仿宋_GBK" w:hAnsi="宋体" w:eastAsia="方正仿宋_GBK"/>
          <w:sz w:val="24"/>
          <w:szCs w:val="28"/>
        </w:rPr>
      </w:pPr>
      <w:r>
        <w:rPr>
          <w:rFonts w:hint="eastAsia" w:ascii="方正仿宋_GBK" w:hAnsi="宋体" w:eastAsia="方正仿宋_GBK"/>
          <w:sz w:val="24"/>
          <w:szCs w:val="28"/>
        </w:rPr>
        <w:t>招标项目名称：</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2240"/>
        <w:gridCol w:w="117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宋体" w:eastAsia="方正仿宋_GBK"/>
                <w:sz w:val="21"/>
                <w:szCs w:val="28"/>
              </w:rPr>
            </w:pPr>
            <w:r>
              <w:rPr>
                <w:rFonts w:hint="eastAsia" w:ascii="方正仿宋_GBK" w:hAnsi="宋体" w:eastAsia="方正仿宋_GBK"/>
                <w:sz w:val="21"/>
                <w:szCs w:val="28"/>
              </w:rPr>
              <w:t>投标人名称</w:t>
            </w:r>
          </w:p>
        </w:tc>
        <w:tc>
          <w:tcPr>
            <w:tcW w:w="7840" w:type="dxa"/>
            <w:gridSpan w:val="5"/>
            <w:vAlign w:val="center"/>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936" w:type="dxa"/>
            <w:gridSpan w:val="2"/>
            <w:vAlign w:val="center"/>
          </w:tcPr>
          <w:p>
            <w:pPr>
              <w:jc w:val="center"/>
              <w:rPr>
                <w:rFonts w:hint="eastAsia" w:ascii="方正仿宋_GBK" w:hAnsi="宋体" w:eastAsia="方正仿宋_GBK"/>
                <w:color w:val="FF0000"/>
                <w:sz w:val="21"/>
                <w:szCs w:val="28"/>
              </w:rPr>
            </w:pPr>
            <w:r>
              <w:rPr>
                <w:rFonts w:hint="eastAsia" w:ascii="方正仿宋_GBK" w:hAnsi="宋体" w:eastAsia="方正仿宋_GBK"/>
                <w:sz w:val="21"/>
                <w:szCs w:val="28"/>
              </w:rPr>
              <w:t>项目名称</w:t>
            </w:r>
          </w:p>
        </w:tc>
        <w:tc>
          <w:tcPr>
            <w:tcW w:w="932" w:type="dxa"/>
            <w:vAlign w:val="center"/>
          </w:tcPr>
          <w:p>
            <w:pPr>
              <w:jc w:val="center"/>
              <w:rPr>
                <w:rFonts w:hint="eastAsia" w:ascii="方正仿宋_GBK" w:hAnsi="宋体" w:eastAsia="方正仿宋_GBK"/>
                <w:sz w:val="21"/>
                <w:szCs w:val="28"/>
              </w:rPr>
            </w:pPr>
            <w:r>
              <w:rPr>
                <w:rFonts w:hint="eastAsia" w:ascii="方正仿宋_GBK" w:hAnsi="宋体" w:eastAsia="方正仿宋_GBK"/>
                <w:sz w:val="21"/>
                <w:szCs w:val="28"/>
              </w:rPr>
              <w:t>数量</w:t>
            </w:r>
          </w:p>
        </w:tc>
        <w:tc>
          <w:tcPr>
            <w:tcW w:w="2240" w:type="dxa"/>
            <w:vAlign w:val="center"/>
          </w:tcPr>
          <w:p>
            <w:pPr>
              <w:snapToGrid w:val="0"/>
              <w:jc w:val="center"/>
              <w:rPr>
                <w:rFonts w:hint="eastAsia" w:ascii="方正仿宋_GBK" w:hAnsi="方正仿宋_GBK" w:eastAsia="方正仿宋_GBK"/>
                <w:sz w:val="21"/>
                <w:szCs w:val="28"/>
              </w:rPr>
            </w:pPr>
            <w:r>
              <w:rPr>
                <w:rFonts w:hint="eastAsia" w:ascii="方正仿宋_GBK" w:hAnsi="方正仿宋_GBK" w:eastAsia="方正仿宋_GBK"/>
                <w:sz w:val="21"/>
                <w:szCs w:val="28"/>
              </w:rPr>
              <w:t>投标报价（小写）</w:t>
            </w:r>
          </w:p>
        </w:tc>
        <w:tc>
          <w:tcPr>
            <w:tcW w:w="1176" w:type="dxa"/>
            <w:vAlign w:val="center"/>
          </w:tcPr>
          <w:p>
            <w:pPr>
              <w:jc w:val="center"/>
              <w:rPr>
                <w:rFonts w:hint="eastAsia" w:ascii="方正仿宋_GBK" w:hAnsi="宋体" w:eastAsia="方正仿宋_GBK"/>
                <w:sz w:val="21"/>
                <w:szCs w:val="28"/>
              </w:rPr>
            </w:pPr>
            <w:r>
              <w:rPr>
                <w:rFonts w:hint="eastAsia" w:ascii="方正仿宋_GBK" w:hAnsi="宋体" w:eastAsia="方正仿宋_GBK"/>
                <w:sz w:val="21"/>
                <w:szCs w:val="28"/>
              </w:rPr>
              <w:t>交货期</w:t>
            </w:r>
          </w:p>
        </w:tc>
        <w:tc>
          <w:tcPr>
            <w:tcW w:w="1344" w:type="dxa"/>
            <w:vAlign w:val="center"/>
          </w:tcPr>
          <w:p>
            <w:pPr>
              <w:jc w:val="center"/>
              <w:rPr>
                <w:rFonts w:hint="eastAsia" w:ascii="方正仿宋_GBK" w:hAnsi="宋体" w:eastAsia="方正仿宋_GBK"/>
                <w:sz w:val="21"/>
                <w:szCs w:val="28"/>
              </w:rPr>
            </w:pPr>
            <w:r>
              <w:rPr>
                <w:rFonts w:hint="eastAsia" w:ascii="方正仿宋_GBK" w:hAnsi="宋体" w:eastAsia="方正仿宋_GBK"/>
                <w:sz w:val="21"/>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vAlign w:val="center"/>
          </w:tcPr>
          <w:p>
            <w:pPr>
              <w:spacing w:line="500" w:lineRule="exact"/>
              <w:jc w:val="center"/>
              <w:rPr>
                <w:rFonts w:hint="eastAsia" w:ascii="方正仿宋_GBK" w:hAnsi="宋体" w:eastAsia="方正仿宋_GBK"/>
                <w:sz w:val="21"/>
                <w:szCs w:val="28"/>
              </w:rPr>
            </w:pPr>
          </w:p>
        </w:tc>
        <w:tc>
          <w:tcPr>
            <w:tcW w:w="932" w:type="dxa"/>
            <w:tcBorders>
              <w:bottom w:val="single" w:color="auto" w:sz="4" w:space="0"/>
            </w:tcBorders>
          </w:tcPr>
          <w:p>
            <w:pPr>
              <w:spacing w:line="500" w:lineRule="exact"/>
              <w:jc w:val="center"/>
              <w:rPr>
                <w:rFonts w:hint="eastAsia" w:ascii="方正仿宋_GBK" w:hAnsi="宋体" w:eastAsia="方正仿宋_GBK"/>
                <w:sz w:val="21"/>
                <w:szCs w:val="28"/>
              </w:rPr>
            </w:pPr>
          </w:p>
        </w:tc>
        <w:tc>
          <w:tcPr>
            <w:tcW w:w="2240" w:type="dxa"/>
            <w:tcBorders>
              <w:bottom w:val="single" w:color="auto" w:sz="4" w:space="0"/>
            </w:tcBorders>
          </w:tcPr>
          <w:p>
            <w:pPr>
              <w:spacing w:line="500" w:lineRule="exact"/>
              <w:jc w:val="center"/>
              <w:rPr>
                <w:rFonts w:hint="eastAsia" w:ascii="方正仿宋_GBK" w:hAnsi="宋体" w:eastAsia="方正仿宋_GBK"/>
                <w:sz w:val="21"/>
                <w:szCs w:val="28"/>
              </w:rPr>
            </w:pPr>
          </w:p>
        </w:tc>
        <w:tc>
          <w:tcPr>
            <w:tcW w:w="1176" w:type="dxa"/>
            <w:tcBorders>
              <w:bottom w:val="single" w:color="auto" w:sz="4" w:space="0"/>
            </w:tcBorders>
          </w:tcPr>
          <w:p>
            <w:pPr>
              <w:spacing w:line="500" w:lineRule="exact"/>
              <w:jc w:val="center"/>
              <w:rPr>
                <w:rFonts w:hint="eastAsia" w:ascii="方正仿宋_GBK" w:hAnsi="宋体" w:eastAsia="方正仿宋_GBK"/>
                <w:sz w:val="21"/>
                <w:szCs w:val="28"/>
              </w:rPr>
            </w:pPr>
          </w:p>
        </w:tc>
        <w:tc>
          <w:tcPr>
            <w:tcW w:w="1344" w:type="dxa"/>
            <w:tcBorders>
              <w:bottom w:val="single" w:color="auto" w:sz="4" w:space="0"/>
            </w:tcBorders>
          </w:tcPr>
          <w:p>
            <w:pPr>
              <w:spacing w:line="500" w:lineRule="exact"/>
              <w:jc w:val="center"/>
              <w:rPr>
                <w:rFonts w:hint="eastAsia" w:ascii="方正仿宋_GBK" w:hAnsi="宋体" w:eastAsia="方正仿宋_GBK"/>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hint="eastAsia" w:ascii="方正仿宋_GBK" w:hAnsi="宋体" w:eastAsia="方正仿宋_GBK"/>
                <w:sz w:val="21"/>
                <w:szCs w:val="28"/>
              </w:rPr>
            </w:pPr>
            <w:r>
              <w:rPr>
                <w:rFonts w:hint="eastAsia" w:ascii="方正仿宋_GBK" w:hAnsi="宋体" w:eastAsia="方正仿宋_GBK"/>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6"/>
            <w:vAlign w:val="center"/>
          </w:tcPr>
          <w:p>
            <w:pPr>
              <w:pStyle w:val="34"/>
              <w:spacing w:line="500" w:lineRule="exact"/>
              <w:rPr>
                <w:rFonts w:hint="eastAsia" w:ascii="方正仿宋_GBK" w:hAnsi="宋体" w:eastAsia="方正仿宋_GBK"/>
                <w:sz w:val="21"/>
                <w:szCs w:val="28"/>
              </w:rPr>
            </w:pPr>
            <w:r>
              <w:rPr>
                <w:rFonts w:hint="eastAsia" w:ascii="方正仿宋_GBK" w:hAnsi="宋体" w:eastAsia="方正仿宋_GBK"/>
                <w:sz w:val="21"/>
                <w:szCs w:val="28"/>
              </w:rPr>
              <w:t xml:space="preserve">备注： </w:t>
            </w:r>
          </w:p>
        </w:tc>
      </w:tr>
    </w:tbl>
    <w:p>
      <w:pPr>
        <w:pStyle w:val="34"/>
        <w:spacing w:line="500" w:lineRule="exact"/>
        <w:rPr>
          <w:rFonts w:hint="eastAsia" w:ascii="方正仿宋_GBK" w:hAnsi="宋体" w:eastAsia="方正仿宋_GBK"/>
          <w:sz w:val="24"/>
          <w:szCs w:val="28"/>
        </w:rPr>
      </w:pPr>
    </w:p>
    <w:p>
      <w:pPr>
        <w:rPr>
          <w:rFonts w:hint="eastAsia"/>
        </w:rPr>
      </w:pPr>
    </w:p>
    <w:p>
      <w:pPr>
        <w:spacing w:line="500" w:lineRule="exact"/>
        <w:rPr>
          <w:rFonts w:hint="eastAsia" w:ascii="方正仿宋_GBK" w:hAnsi="宋体" w:eastAsia="方正仿宋_GBK"/>
          <w:sz w:val="24"/>
          <w:szCs w:val="28"/>
        </w:rPr>
      </w:pPr>
    </w:p>
    <w:p>
      <w:pPr>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投标人                                   法定代表人授权代表：</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说明：</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1.开标一览表按格式填列；</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2.开标一览表在开标大会上当众宣读，务必填写清楚，准确无误；</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3.若以联合体参与投标的，应在“投标人名称”处注明所有联合体名称。“投标人”处至少应加盖联合体主办方（主体）公章。</w:t>
      </w:r>
    </w:p>
    <w:p>
      <w:pPr>
        <w:snapToGrid w:val="0"/>
        <w:spacing w:line="500" w:lineRule="exact"/>
        <w:ind w:firstLine="560" w:firstLineChars="200"/>
        <w:rPr>
          <w:rFonts w:hint="eastAsia" w:ascii="方正仿宋_GBK" w:hAnsi="宋体" w:eastAsia="方正仿宋_GBK"/>
          <w:sz w:val="24"/>
          <w:szCs w:val="28"/>
        </w:rPr>
      </w:pPr>
      <w:r>
        <w:rPr>
          <w:rFonts w:hint="eastAsia" w:ascii="方正仿宋_GBK" w:eastAsia="方正仿宋_GBK"/>
          <w:szCs w:val="28"/>
        </w:rPr>
        <w:br w:type="page"/>
      </w:r>
      <w:r>
        <w:rPr>
          <w:rFonts w:hint="eastAsia" w:ascii="方正仿宋_GBK" w:hAnsi="宋体" w:eastAsia="方正仿宋_GBK"/>
          <w:szCs w:val="36"/>
        </w:rPr>
        <w:t>（二）分项报价明细表</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招标项目名称：</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单位：元</w:t>
      </w:r>
    </w:p>
    <w:tbl>
      <w:tblPr>
        <w:tblStyle w:val="59"/>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7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69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17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247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品牌、规格型号</w:t>
            </w:r>
          </w:p>
        </w:tc>
        <w:tc>
          <w:tcPr>
            <w:tcW w:w="1242"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制造商</w:t>
            </w:r>
          </w:p>
        </w:tc>
        <w:tc>
          <w:tcPr>
            <w:tcW w:w="1242"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原产地</w:t>
            </w:r>
          </w:p>
        </w:tc>
        <w:tc>
          <w:tcPr>
            <w:tcW w:w="93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93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934" w:type="dxa"/>
            <w:vAlign w:val="center"/>
          </w:tcPr>
          <w:p>
            <w:pPr>
              <w:jc w:val="center"/>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174" w:type="dxa"/>
            <w:vAlign w:val="center"/>
          </w:tcPr>
          <w:p>
            <w:pPr>
              <w:jc w:val="center"/>
              <w:rPr>
                <w:rFonts w:hint="eastAsia" w:ascii="方正仿宋_GBK" w:hAnsi="方正仿宋_GBK" w:eastAsia="方正仿宋_GBK" w:cs="方正仿宋_GBK"/>
                <w:sz w:val="21"/>
                <w:szCs w:val="21"/>
              </w:rPr>
            </w:pP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17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2474"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1242" w:type="dxa"/>
          </w:tcPr>
          <w:p>
            <w:pPr>
              <w:jc w:val="center"/>
              <w:rPr>
                <w:rFonts w:hint="eastAsia" w:ascii="方正仿宋_GBK" w:hAnsi="方正仿宋_GBK" w:eastAsia="方正仿宋_GBK" w:cs="方正仿宋_GBK"/>
                <w:sz w:val="21"/>
                <w:szCs w:val="21"/>
              </w:rPr>
            </w:pPr>
          </w:p>
        </w:tc>
        <w:tc>
          <w:tcPr>
            <w:tcW w:w="93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hint="eastAsia" w:ascii="方正仿宋_GBK" w:hAnsi="方正仿宋_GBK" w:eastAsia="方正仿宋_GBK" w:cs="方正仿宋_GBK"/>
                <w:sz w:val="21"/>
                <w:szCs w:val="21"/>
              </w:rPr>
            </w:pPr>
          </w:p>
        </w:tc>
        <w:tc>
          <w:tcPr>
            <w:tcW w:w="934" w:type="dxa"/>
          </w:tcPr>
          <w:p>
            <w:pPr>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174" w:type="dxa"/>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760" w:type="dxa"/>
            <w:gridSpan w:val="6"/>
          </w:tcPr>
          <w:p>
            <w:pPr>
              <w:rPr>
                <w:rFonts w:hint="eastAsia" w:ascii="方正仿宋_GBK" w:hAnsi="方正仿宋_GBK" w:eastAsia="方正仿宋_GBK" w:cs="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投标人：                                  法定代表人授权代表：</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pPr>
        <w:spacing w:line="500" w:lineRule="exact"/>
        <w:rPr>
          <w:rFonts w:hint="eastAsia" w:ascii="方正仿宋_GBK" w:hAnsi="宋体" w:eastAsia="方正仿宋_GBK"/>
          <w:sz w:val="24"/>
          <w:szCs w:val="28"/>
        </w:rPr>
      </w:pPr>
    </w:p>
    <w:p>
      <w:pPr>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1、请投标人完整填写本表；</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2、该表可扩展，并逐页签字或盖章。</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p>
    <w:p>
      <w:pPr>
        <w:rPr>
          <w:rFonts w:hint="eastAsia" w:ascii="方正仿宋_GBK" w:hAnsi="宋体" w:eastAsia="方正仿宋_GBK" w:cs="宋体"/>
          <w:b/>
          <w:kern w:val="0"/>
          <w:sz w:val="30"/>
          <w:szCs w:val="30"/>
        </w:rPr>
      </w:pPr>
    </w:p>
    <w:p>
      <w:pPr>
        <w:jc w:val="center"/>
        <w:rPr>
          <w:rFonts w:ascii="方正仿宋_GBK" w:hAnsi="宋体" w:eastAsia="方正仿宋_GBK" w:cs="宋体"/>
          <w:b/>
          <w:kern w:val="0"/>
          <w:sz w:val="30"/>
          <w:szCs w:val="30"/>
        </w:rPr>
      </w:pPr>
      <w:bookmarkStart w:id="54" w:name="_Toc493506320"/>
      <w:r>
        <w:rPr>
          <w:rFonts w:hint="eastAsia" w:ascii="方正仿宋_GBK" w:hAnsi="宋体" w:eastAsia="方正仿宋_GBK" w:cs="宋体"/>
          <w:b/>
          <w:kern w:val="0"/>
          <w:sz w:val="30"/>
          <w:szCs w:val="30"/>
        </w:rPr>
        <w:t>（三）所投设备易损配件及耗材报价表</w:t>
      </w:r>
    </w:p>
    <w:p>
      <w:pPr>
        <w:jc w:val="left"/>
        <w:rPr>
          <w:rFonts w:hint="eastAsia" w:ascii="方正仿宋_GBK" w:hAnsi="宋体" w:eastAsia="方正仿宋_GBK" w:cs="宋体"/>
          <w:bCs/>
          <w:kern w:val="0"/>
          <w:sz w:val="24"/>
          <w:szCs w:val="24"/>
        </w:rPr>
      </w:pPr>
      <w:r>
        <w:rPr>
          <w:rFonts w:hint="eastAsia" w:ascii="方正仿宋_GBK" w:hAnsi="宋体" w:eastAsia="方正仿宋_GBK" w:cs="宋体"/>
          <w:bCs/>
          <w:kern w:val="0"/>
          <w:sz w:val="24"/>
          <w:szCs w:val="24"/>
        </w:rPr>
        <w:t>设备名称：</w:t>
      </w:r>
    </w:p>
    <w:p>
      <w:pPr>
        <w:pStyle w:val="2"/>
        <w:numPr>
          <w:ilvl w:val="0"/>
          <w:numId w:val="0"/>
        </w:numPr>
        <w:ind w:left="1680"/>
        <w:rPr>
          <w:rFonts w:ascii="方正仿宋_GBK" w:hAnsi="宋体" w:eastAsia="方正仿宋_GBK" w:cs="宋体"/>
          <w:b w:val="0"/>
          <w:bCs/>
          <w:sz w:val="24"/>
          <w:szCs w:val="24"/>
        </w:rPr>
      </w:pPr>
      <w:r>
        <w:rPr>
          <w:rFonts w:hint="eastAsia"/>
        </w:rPr>
        <w:t xml:space="preserve">                                                           </w:t>
      </w:r>
      <w:r>
        <w:rPr>
          <w:rFonts w:hint="eastAsia" w:ascii="方正仿宋_GBK" w:hAnsi="宋体" w:eastAsia="方正仿宋_GBK" w:cs="宋体"/>
          <w:b w:val="0"/>
          <w:bCs/>
          <w:sz w:val="24"/>
          <w:szCs w:val="24"/>
        </w:rPr>
        <w:t>单位：元</w:t>
      </w:r>
    </w:p>
    <w:tbl>
      <w:tblPr>
        <w:tblStyle w:val="59"/>
        <w:tblW w:w="8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174"/>
        <w:gridCol w:w="2474"/>
        <w:gridCol w:w="1184"/>
        <w:gridCol w:w="992"/>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69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17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247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品牌、规格型号</w:t>
            </w:r>
          </w:p>
        </w:tc>
        <w:tc>
          <w:tcPr>
            <w:tcW w:w="1184" w:type="dxa"/>
            <w:vAlign w:val="center"/>
          </w:tcPr>
          <w:p>
            <w:pPr>
              <w:ind w:firstLine="211" w:firstLineChars="100"/>
            </w:pPr>
            <w:r>
              <w:rPr>
                <w:rFonts w:hint="eastAsia" w:ascii="方正仿宋_GBK" w:hAnsi="方正仿宋_GBK" w:eastAsia="方正仿宋_GBK" w:cs="方正仿宋_GBK"/>
                <w:b/>
                <w:sz w:val="21"/>
                <w:szCs w:val="21"/>
              </w:rPr>
              <w:t>原产地</w:t>
            </w:r>
          </w:p>
        </w:tc>
        <w:tc>
          <w:tcPr>
            <w:tcW w:w="992"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93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934" w:type="dxa"/>
            <w:vAlign w:val="center"/>
          </w:tcPr>
          <w:p>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174" w:type="dxa"/>
            <w:vAlign w:val="center"/>
          </w:tcPr>
          <w:p>
            <w:pPr>
              <w:jc w:val="center"/>
              <w:rPr>
                <w:rFonts w:ascii="方正仿宋_GBK" w:hAnsi="方正仿宋_GBK" w:eastAsia="方正仿宋_GBK" w:cs="方正仿宋_GBK"/>
                <w:sz w:val="21"/>
                <w:szCs w:val="21"/>
              </w:rPr>
            </w:pP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174"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2474" w:type="dxa"/>
          </w:tcPr>
          <w:p>
            <w:pPr>
              <w:jc w:val="center"/>
              <w:rPr>
                <w:rFonts w:ascii="方正仿宋_GBK" w:hAnsi="方正仿宋_GBK" w:eastAsia="方正仿宋_GBK" w:cs="方正仿宋_GBK"/>
                <w:sz w:val="21"/>
                <w:szCs w:val="21"/>
              </w:rPr>
            </w:pPr>
          </w:p>
        </w:tc>
        <w:tc>
          <w:tcPr>
            <w:tcW w:w="1184" w:type="dxa"/>
          </w:tcPr>
          <w:p>
            <w:pPr>
              <w:jc w:val="center"/>
              <w:rPr>
                <w:rFonts w:ascii="方正仿宋_GBK" w:hAnsi="方正仿宋_GBK" w:eastAsia="方正仿宋_GBK" w:cs="方正仿宋_GBK"/>
                <w:sz w:val="21"/>
                <w:szCs w:val="21"/>
              </w:rPr>
            </w:pPr>
          </w:p>
        </w:tc>
        <w:tc>
          <w:tcPr>
            <w:tcW w:w="992"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934" w:type="dxa"/>
          </w:tcPr>
          <w:p>
            <w:pPr>
              <w:jc w:val="center"/>
              <w:rPr>
                <w:rFonts w:ascii="方正仿宋_GBK" w:hAnsi="方正仿宋_GBK" w:eastAsia="方正仿宋_GBK" w:cs="方正仿宋_GBK"/>
                <w:sz w:val="21"/>
                <w:szCs w:val="21"/>
              </w:rPr>
            </w:pPr>
          </w:p>
        </w:tc>
        <w:tc>
          <w:tcPr>
            <w:tcW w:w="934" w:type="dxa"/>
          </w:tcPr>
          <w:p>
            <w:pPr>
              <w:jc w:val="center"/>
              <w:rPr>
                <w:rFonts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694" w:type="dxa"/>
            <w:vAlign w:val="center"/>
          </w:tcPr>
          <w:p>
            <w:pPr>
              <w:pStyle w:val="25"/>
              <w:spacing w:line="240" w:lineRule="atLeast"/>
              <w:ind w:left="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174" w:type="dxa"/>
            <w:vAlign w:val="center"/>
          </w:tcPr>
          <w:p>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6518" w:type="dxa"/>
            <w:gridSpan w:val="5"/>
          </w:tcPr>
          <w:p>
            <w:pPr>
              <w:rPr>
                <w:rFonts w:ascii="方正仿宋_GBK" w:hAnsi="方正仿宋_GBK" w:eastAsia="方正仿宋_GBK" w:cs="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投标人：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1、请投标人完整填写本表；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pPr>
        <w:snapToGrid w:val="0"/>
        <w:spacing w:line="500" w:lineRule="exact"/>
        <w:ind w:firstLine="480" w:firstLineChars="200"/>
        <w:rPr>
          <w:rFonts w:ascii="方正仿宋_GBK" w:hAnsi="宋体" w:eastAsia="方正仿宋_GBK"/>
          <w:sz w:val="24"/>
          <w:szCs w:val="28"/>
        </w:rPr>
      </w:pPr>
    </w:p>
    <w:p>
      <w:pPr>
        <w:pStyle w:val="2"/>
        <w:numPr>
          <w:ilvl w:val="0"/>
          <w:numId w:val="0"/>
        </w:numPr>
        <w:ind w:left="1680"/>
      </w:pPr>
    </w:p>
    <w:p>
      <w:pPr>
        <w:pStyle w:val="5"/>
        <w:pageBreakBefore/>
        <w:spacing w:line="500" w:lineRule="exact"/>
        <w:rPr>
          <w:rFonts w:hint="eastAsia" w:ascii="方正仿宋_GBK" w:hAnsi="方正仿宋_GBK" w:eastAsia="方正仿宋_GBK" w:cs="方正仿宋_GBK"/>
          <w:b/>
          <w:sz w:val="24"/>
        </w:rPr>
      </w:pPr>
      <w:r>
        <w:rPr>
          <w:rFonts w:hint="eastAsia" w:ascii="方正仿宋_GBK" w:hAnsi="方正仿宋_GBK" w:eastAsia="方正仿宋_GBK" w:cs="方正仿宋_GBK"/>
          <w:b/>
          <w:szCs w:val="28"/>
        </w:rPr>
        <w:t>二、技术文件</w:t>
      </w:r>
      <w:bookmarkEnd w:id="54"/>
    </w:p>
    <w:p>
      <w:pPr>
        <w:tabs>
          <w:tab w:val="left" w:pos="6300"/>
        </w:tabs>
        <w:snapToGrid w:val="0"/>
        <w:spacing w:line="500" w:lineRule="exact"/>
        <w:ind w:firstLine="57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（一）所投各产品的技术参数（或技术指标）</w:t>
      </w:r>
    </w:p>
    <w:p>
      <w:pPr>
        <w:tabs>
          <w:tab w:val="left" w:pos="6300"/>
        </w:tabs>
        <w:snapToGrid w:val="0"/>
        <w:spacing w:line="500" w:lineRule="exact"/>
        <w:ind w:firstLine="57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t>（二）所投各产品进入节能产品、环境标志产品政府采购品目清单的证明文件（如果有）</w:t>
      </w:r>
    </w:p>
    <w:p>
      <w:pPr>
        <w:snapToGrid w:val="0"/>
        <w:spacing w:line="500" w:lineRule="exact"/>
        <w:rPr>
          <w:rFonts w:hint="eastAsia" w:ascii="方正仿宋_GBK" w:hAnsi="方正仿宋_GBK" w:eastAsia="方正仿宋_GBK" w:cs="方正仿宋_GBK"/>
          <w:b/>
          <w:sz w:val="24"/>
          <w:szCs w:val="24"/>
        </w:rPr>
      </w:pPr>
    </w:p>
    <w:p>
      <w:pPr>
        <w:snapToGrid w:val="0"/>
        <w:spacing w:line="50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说明：</w:t>
      </w:r>
    </w:p>
    <w:p>
      <w:pPr>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napToGrid w:val="0"/>
        <w:spacing w:line="500" w:lineRule="exact"/>
        <w:ind w:left="241" w:leftChars="8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570"/>
        <w:rPr>
          <w:rFonts w:hint="eastAsia" w:ascii="方正仿宋_GBK" w:hAnsi="方正仿宋_GBK" w:eastAsia="方正仿宋_GBK" w:cs="方正仿宋_GBK"/>
          <w:szCs w:val="24"/>
        </w:rPr>
      </w:pPr>
    </w:p>
    <w:p>
      <w:pPr>
        <w:tabs>
          <w:tab w:val="left" w:pos="6300"/>
        </w:tabs>
        <w:snapToGrid w:val="0"/>
        <w:spacing w:line="500" w:lineRule="exact"/>
        <w:ind w:firstLine="570"/>
        <w:rPr>
          <w:rFonts w:hint="eastAsia" w:ascii="方正仿宋_GBK" w:hAnsi="方正仿宋_GBK" w:eastAsia="方正仿宋_GBK" w:cs="方正仿宋_GBK"/>
          <w:szCs w:val="24"/>
        </w:rPr>
      </w:pPr>
      <w:r>
        <w:rPr>
          <w:rFonts w:hint="eastAsia" w:ascii="方正仿宋_GBK" w:hAnsi="方正仿宋_GBK" w:eastAsia="方正仿宋_GBK" w:cs="方正仿宋_GBK"/>
          <w:szCs w:val="24"/>
        </w:rPr>
        <w:br w:type="page"/>
      </w:r>
      <w:r>
        <w:rPr>
          <w:rFonts w:hint="eastAsia" w:ascii="方正仿宋_GBK" w:hAnsi="方正仿宋_GBK" w:eastAsia="方正仿宋_GBK" w:cs="方正仿宋_GBK"/>
          <w:szCs w:val="24"/>
        </w:rPr>
        <w:t>（三）技术条款差异表</w:t>
      </w:r>
    </w:p>
    <w:p>
      <w:pPr>
        <w:pStyle w:val="34"/>
        <w:tabs>
          <w:tab w:val="left" w:pos="6300"/>
        </w:tabs>
        <w:snapToGrid w:val="0"/>
        <w:spacing w:line="500" w:lineRule="exact"/>
        <w:ind w:firstLine="480" w:firstLineChars="2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p>
    <w:tbl>
      <w:tblPr>
        <w:tblStyle w:val="59"/>
        <w:tblW w:w="9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470"/>
        <w:gridCol w:w="347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招标要求</w:t>
            </w: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投标应答</w:t>
            </w: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6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471"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413"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法定代表人或法定代表人授权代表：</w:t>
      </w:r>
    </w:p>
    <w:p>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pPr>
        <w:spacing w:line="500" w:lineRule="exact"/>
        <w:ind w:firstLine="720" w:firstLineChars="3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（投标人公章）                               （签字或盖章）</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2.该表必须按照招标文件要求逐条如实填写，根据投标情况在“差异说明”项填写正偏离或负偏离及原因，完全符合的填写“无差异”；</w:t>
      </w:r>
      <w:r>
        <w:rPr>
          <w:rFonts w:hint="eastAsia" w:ascii="方正仿宋_GBK" w:hAnsi="方正仿宋_GBK" w:eastAsia="方正仿宋_GBK" w:cs="方正仿宋_GBK"/>
          <w:b/>
          <w:bCs/>
          <w:sz w:val="24"/>
          <w:szCs w:val="24"/>
        </w:rPr>
        <w:t>请注明正偏离参数所在页码；</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snapToGrid w:val="0"/>
        <w:spacing w:line="500" w:lineRule="exact"/>
        <w:ind w:firstLine="480" w:firstLineChars="200"/>
        <w:rPr>
          <w:rFonts w:hint="eastAsia" w:ascii="方正仿宋_GBK" w:hAnsi="方正仿宋_GBK" w:eastAsia="方正仿宋_GBK" w:cs="方正仿宋_GBK"/>
          <w:sz w:val="24"/>
          <w:szCs w:val="28"/>
        </w:rPr>
      </w:pPr>
    </w:p>
    <w:p>
      <w:pPr>
        <w:pStyle w:val="5"/>
        <w:pageBreakBefore/>
        <w:spacing w:line="500" w:lineRule="exact"/>
        <w:rPr>
          <w:rFonts w:hint="eastAsia" w:ascii="方正仿宋_GBK" w:hAnsi="方正仿宋_GBK" w:eastAsia="方正仿宋_GBK" w:cs="方正仿宋_GBK"/>
          <w:b/>
          <w:szCs w:val="28"/>
        </w:rPr>
      </w:pPr>
      <w:bookmarkStart w:id="55" w:name="_Toc492721039"/>
      <w:bookmarkStart w:id="56" w:name="_Toc429584886"/>
      <w:bookmarkStart w:id="57" w:name="_Toc493506321"/>
      <w:r>
        <w:rPr>
          <w:rFonts w:hint="eastAsia" w:ascii="方正仿宋_GBK" w:hAnsi="方正仿宋_GBK" w:eastAsia="方正仿宋_GBK" w:cs="方正仿宋_GBK"/>
          <w:b/>
          <w:szCs w:val="28"/>
        </w:rPr>
        <w:t>三、商务文件</w:t>
      </w:r>
      <w:bookmarkEnd w:id="55"/>
      <w:bookmarkEnd w:id="56"/>
      <w:bookmarkEnd w:id="57"/>
    </w:p>
    <w:p>
      <w:pPr>
        <w:snapToGrid w:val="0"/>
        <w:spacing w:beforeLines="50" w:line="500" w:lineRule="exact"/>
        <w:jc w:val="center"/>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（一）投标函（格式）</w:t>
      </w:r>
    </w:p>
    <w:p>
      <w:pPr>
        <w:spacing w:line="500" w:lineRule="exact"/>
        <w:rPr>
          <w:rFonts w:hint="eastAsia" w:ascii="方正仿宋_GBK" w:hAnsi="方正仿宋_GBK" w:eastAsia="方正仿宋_GBK" w:cs="方正仿宋_GBK"/>
          <w:sz w:val="24"/>
          <w:szCs w:val="28"/>
        </w:rPr>
      </w:pPr>
    </w:p>
    <w:p>
      <w:pPr>
        <w:spacing w:line="500" w:lineRule="exact"/>
        <w:ind w:firstLine="480" w:firstLineChars="200"/>
        <w:rPr>
          <w:rFonts w:hint="eastAsia" w:ascii="方正仿宋_GBK" w:hAnsi="方正仿宋_GBK" w:eastAsia="方正仿宋_GBK" w:cs="方正仿宋_GBK"/>
          <w:sz w:val="24"/>
          <w:szCs w:val="28"/>
          <w:u w:val="single"/>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szCs w:val="28"/>
          <w:u w:val="single"/>
        </w:rPr>
        <w:t xml:space="preserve">                                             </w:t>
      </w:r>
    </w:p>
    <w:p>
      <w:pPr>
        <w:spacing w:line="500" w:lineRule="exact"/>
        <w:rPr>
          <w:rFonts w:hint="eastAsia" w:ascii="方正仿宋_GBK" w:hAnsi="方正仿宋_GBK" w:eastAsia="方正仿宋_GBK" w:cs="方正仿宋_GBK"/>
          <w:sz w:val="24"/>
          <w:szCs w:val="28"/>
        </w:rPr>
      </w:pPr>
    </w:p>
    <w:p>
      <w:pPr>
        <w:tabs>
          <w:tab w:val="left" w:pos="6300"/>
        </w:tabs>
        <w:snapToGrid w:val="0"/>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（集中采购机构名称）：</w:t>
      </w:r>
    </w:p>
    <w:p>
      <w:pPr>
        <w:snapToGrid w:val="0"/>
        <w:spacing w:beforeLines="50"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（投标人名称）系中华人民共和国合法企业，注册地址：</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一、我方完全理解并接受该项目招标文件所有要求。</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三、我方承诺按照招标文件要求，提供招标项目的技术服务。</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四、我方按招标文件要求提交的投标文件为：投标文件正本1份，副本2份。</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五、我方承诺：本次投标的投标有效期为90天。</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八、我方未</w:t>
      </w:r>
      <w:r>
        <w:rPr>
          <w:rFonts w:hint="eastAsia" w:ascii="方正仿宋_GBK" w:hAnsi="方正仿宋_GBK" w:eastAsia="方正仿宋_GBK" w:cs="方正仿宋_GBK"/>
          <w:sz w:val="24"/>
          <w:szCs w:val="24"/>
        </w:rPr>
        <w:t>为采购项目提供整体设计、规范编制或者项目管理、监理、检测等服务。</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九、我方理解，最低报价不是中标的唯一条件。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十、我方同意按有关规定及招标文件要求，缴纳足额投标保证金。</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十一、若我方中标，愿意按有关规定及招标文件要求缴纳招标代理服务费和交易服务费。</w:t>
      </w:r>
    </w:p>
    <w:p>
      <w:pPr>
        <w:tabs>
          <w:tab w:val="left" w:pos="6300"/>
        </w:tabs>
        <w:snapToGrid w:val="0"/>
        <w:spacing w:line="500" w:lineRule="exact"/>
        <w:ind w:firstLine="570"/>
        <w:rPr>
          <w:rFonts w:hint="eastAsia" w:ascii="方正仿宋_GBK" w:hAnsi="方正仿宋_GBK" w:eastAsia="方正仿宋_GBK" w:cs="方正仿宋_GBK"/>
          <w:sz w:val="24"/>
          <w:szCs w:val="28"/>
        </w:rPr>
      </w:pPr>
    </w:p>
    <w:p>
      <w:pPr>
        <w:tabs>
          <w:tab w:val="left" w:pos="6300"/>
        </w:tabs>
        <w:snapToGrid w:val="0"/>
        <w:spacing w:line="500" w:lineRule="exact"/>
        <w:ind w:firstLine="5460" w:firstLineChars="2275"/>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（投标人公章）</w:t>
      </w:r>
    </w:p>
    <w:p>
      <w:pPr>
        <w:tabs>
          <w:tab w:val="left" w:pos="6300"/>
        </w:tabs>
        <w:snapToGrid w:val="0"/>
        <w:spacing w:line="500" w:lineRule="exact"/>
        <w:ind w:firstLine="570"/>
        <w:rPr>
          <w:rFonts w:hint="eastAsia" w:ascii="方正仿宋_GBK" w:hAnsi="方正仿宋_GBK" w:eastAsia="方正仿宋_GBK" w:cs="方正仿宋_GBK"/>
          <w:sz w:val="24"/>
          <w:szCs w:val="28"/>
        </w:rPr>
      </w:pPr>
    </w:p>
    <w:p>
      <w:pPr>
        <w:tabs>
          <w:tab w:val="left" w:pos="6300"/>
        </w:tabs>
        <w:snapToGrid w:val="0"/>
        <w:spacing w:line="500" w:lineRule="exact"/>
        <w:ind w:firstLine="5760" w:firstLineChars="2400"/>
        <w:rPr>
          <w:rFonts w:hint="eastAsia" w:ascii="方正仿宋_GBK" w:hAnsi="方正仿宋_GBK" w:eastAsia="方正仿宋_GBK" w:cs="方正仿宋_GBK"/>
          <w:szCs w:val="28"/>
        </w:rPr>
      </w:pPr>
      <w:r>
        <w:rPr>
          <w:rFonts w:hint="eastAsia" w:ascii="方正仿宋_GBK" w:hAnsi="方正仿宋_GBK" w:eastAsia="方正仿宋_GBK" w:cs="方正仿宋_GBK"/>
          <w:sz w:val="24"/>
          <w:szCs w:val="28"/>
        </w:rPr>
        <w:t>年    月   日</w:t>
      </w:r>
    </w:p>
    <w:p>
      <w:pPr>
        <w:tabs>
          <w:tab w:val="left" w:pos="6300"/>
        </w:tabs>
        <w:snapToGrid w:val="0"/>
        <w:spacing w:line="500" w:lineRule="exact"/>
        <w:ind w:firstLine="560" w:firstLineChars="200"/>
        <w:outlineLvl w:val="0"/>
        <w:rPr>
          <w:rFonts w:hint="eastAsia" w:ascii="方正仿宋_GBK" w:hAnsi="方正仿宋_GBK" w:eastAsia="方正仿宋_GBK" w:cs="方正仿宋_GBK"/>
        </w:rPr>
      </w:pPr>
      <w:r>
        <w:rPr>
          <w:rFonts w:hint="eastAsia" w:ascii="方正仿宋_GBK" w:hAnsi="方正仿宋_GBK" w:eastAsia="方正仿宋_GBK" w:cs="方正仿宋_GBK"/>
          <w:szCs w:val="44"/>
        </w:rPr>
        <w:br w:type="page"/>
      </w:r>
      <w:r>
        <w:rPr>
          <w:rFonts w:hint="eastAsia" w:ascii="方正仿宋_GBK" w:hAnsi="方正仿宋_GBK" w:eastAsia="方正仿宋_GBK" w:cs="方正仿宋_GBK"/>
        </w:rPr>
        <w:t>（二）商务条款差异表</w:t>
      </w:r>
    </w:p>
    <w:p>
      <w:pPr>
        <w:pStyle w:val="34"/>
        <w:tabs>
          <w:tab w:val="left" w:pos="6300"/>
        </w:tabs>
        <w:snapToGrid w:val="0"/>
        <w:spacing w:line="500" w:lineRule="exact"/>
        <w:ind w:firstLine="240" w:firstLineChars="1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p>
    <w:tbl>
      <w:tblPr>
        <w:tblStyle w:val="59"/>
        <w:tblW w:w="9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716"/>
        <w:gridCol w:w="371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招标商务要求</w:t>
            </w: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投标商务应答</w:t>
            </w: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3716"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c>
          <w:tcPr>
            <w:tcW w:w="125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sz w:val="21"/>
                <w:szCs w:val="21"/>
              </w:rPr>
            </w:pPr>
          </w:p>
        </w:tc>
      </w:tr>
    </w:tbl>
    <w:p>
      <w:pPr>
        <w:spacing w:line="500" w:lineRule="exact"/>
        <w:ind w:firstLine="600" w:firstLineChars="25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法定代表人或法定代表人授权代表：</w:t>
      </w:r>
    </w:p>
    <w:p>
      <w:pPr>
        <w:spacing w:line="500" w:lineRule="exact"/>
        <w:rPr>
          <w:rFonts w:hint="eastAsia" w:ascii="方正仿宋_GBK" w:hAnsi="方正仿宋_GBK" w:eastAsia="方正仿宋_GBK" w:cs="方正仿宋_GBK"/>
          <w:sz w:val="24"/>
          <w:szCs w:val="28"/>
        </w:rPr>
      </w:pPr>
    </w:p>
    <w:p>
      <w:pPr>
        <w:spacing w:line="500" w:lineRule="exact"/>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（投标人公章）                               （签字或盖章）</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1.本表即为对本项目“第三篇 项目商务要求”中所列商务条款进行比较和响应；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w:t>
      </w:r>
    </w:p>
    <w:p>
      <w:pPr>
        <w:tabs>
          <w:tab w:val="left" w:pos="6300"/>
        </w:tabs>
        <w:snapToGrid w:val="0"/>
        <w:spacing w:line="500" w:lineRule="exact"/>
        <w:ind w:firstLine="560" w:firstLineChars="200"/>
        <w:outlineLvl w:val="0"/>
        <w:rPr>
          <w:rFonts w:hint="eastAsia" w:ascii="方正仿宋_GBK" w:hAnsi="方正仿宋_GBK" w:eastAsia="方正仿宋_GBK" w:cs="方正仿宋_GBK"/>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rPr>
        <w:t>（三）商务承诺（包括但不限于）：</w:t>
      </w:r>
    </w:p>
    <w:p>
      <w:pPr>
        <w:tabs>
          <w:tab w:val="left" w:pos="6300"/>
        </w:tabs>
        <w:snapToGrid w:val="0"/>
        <w:spacing w:line="500" w:lineRule="exact"/>
        <w:ind w:firstLine="480" w:firstLineChars="2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u w:val="single"/>
        </w:rPr>
        <w:t xml:space="preserve"> 交货期 </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u w:val="single"/>
        </w:rPr>
        <w:t xml:space="preserve"> 质量保证期 </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u w:val="single"/>
        </w:rPr>
        <w:t xml:space="preserve"> 售后服务 </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u w:val="single"/>
        </w:rPr>
        <w:t xml:space="preserve"> 培训  </w:t>
      </w:r>
      <w:r>
        <w:rPr>
          <w:rFonts w:hint="eastAsia" w:ascii="方正仿宋_GBK" w:hAnsi="方正仿宋_GBK" w:eastAsia="方正仿宋_GBK" w:cs="方正仿宋_GBK"/>
          <w:sz w:val="24"/>
        </w:rPr>
        <w:t>;</w:t>
      </w:r>
    </w:p>
    <w:p>
      <w:pPr>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pStyle w:val="5"/>
        <w:pageBreakBefore/>
        <w:spacing w:line="500" w:lineRule="exact"/>
        <w:ind w:firstLine="560" w:firstLineChars="200"/>
        <w:rPr>
          <w:rFonts w:hint="eastAsia" w:ascii="方正仿宋_GBK" w:hAnsi="方正仿宋_GBK" w:eastAsia="方正仿宋_GBK" w:cs="方正仿宋_GBK"/>
        </w:rPr>
      </w:pPr>
      <w:bookmarkStart w:id="58" w:name="_Toc492721041"/>
      <w:bookmarkStart w:id="59" w:name="_Toc493506322"/>
      <w:bookmarkStart w:id="60" w:name="_Toc429584888"/>
      <w:r>
        <w:rPr>
          <w:rFonts w:hint="eastAsia" w:ascii="方正仿宋_GBK" w:hAnsi="方正仿宋_GBK" w:eastAsia="方正仿宋_GBK" w:cs="方正仿宋_GBK"/>
        </w:rPr>
        <w:t>（四）</w:t>
      </w:r>
      <w:bookmarkEnd w:id="58"/>
      <w:bookmarkEnd w:id="59"/>
      <w:bookmarkEnd w:id="60"/>
      <w:r>
        <w:rPr>
          <w:rFonts w:hint="eastAsia" w:ascii="方正仿宋_GBK" w:hAnsi="方正仿宋_GBK" w:eastAsia="方正仿宋_GBK" w:cs="方正仿宋_GBK"/>
        </w:rPr>
        <w:t>投标人</w:t>
      </w:r>
      <w:r>
        <w:rPr>
          <w:rFonts w:hint="eastAsia" w:ascii="方正仿宋_GBK" w:hAnsi="方正仿宋_GBK" w:eastAsia="方正仿宋_GBK" w:cs="方正仿宋_GBK"/>
          <w:szCs w:val="22"/>
        </w:rPr>
        <w:t>中小微企业声明函、监狱企业证明文件</w:t>
      </w:r>
      <w:r>
        <w:rPr>
          <w:rFonts w:hint="eastAsia" w:ascii="方正仿宋_GBK" w:hAnsi="方正仿宋_GBK" w:eastAsia="方正仿宋_GBK" w:cs="方正仿宋_GBK"/>
        </w:rPr>
        <w:t>、残疾人福利性单位声明函</w:t>
      </w:r>
    </w:p>
    <w:p>
      <w:pPr>
        <w:tabs>
          <w:tab w:val="left" w:pos="6300"/>
        </w:tabs>
        <w:snapToGrid w:val="0"/>
        <w:ind w:firstLine="700" w:firstLineChars="250"/>
        <w:rPr>
          <w:rFonts w:hint="eastAsia" w:ascii="方正仿宋_GBK" w:hAnsi="宋体" w:eastAsia="方正仿宋_GBK"/>
          <w:sz w:val="24"/>
          <w:szCs w:val="24"/>
        </w:rPr>
      </w:pPr>
      <w:r>
        <w:rPr>
          <w:rFonts w:hint="eastAsia" w:ascii="方正仿宋_GBK" w:hAnsi="方正仿宋_GBK" w:eastAsia="方正仿宋_GBK" w:cs="方正仿宋_GBK"/>
          <w:szCs w:val="22"/>
        </w:rPr>
        <w:t>1、中小微企业声明函</w:t>
      </w:r>
    </w:p>
    <w:p>
      <w:pPr>
        <w:ind w:firstLine="3640" w:firstLineChars="1300"/>
        <w:rPr>
          <w:rFonts w:hint="eastAsia" w:ascii="方正仿宋_GBK" w:hAnsi="宋体" w:eastAsia="方正仿宋_GBK"/>
          <w:szCs w:val="28"/>
        </w:rPr>
      </w:pPr>
    </w:p>
    <w:p>
      <w:pPr>
        <w:ind w:firstLine="3640" w:firstLineChars="1300"/>
        <w:rPr>
          <w:rFonts w:hint="eastAsia" w:ascii="方正仿宋_GBK" w:hAnsi="宋体" w:eastAsia="方正仿宋_GBK"/>
          <w:szCs w:val="28"/>
        </w:rPr>
      </w:pPr>
    </w:p>
    <w:p>
      <w:pPr>
        <w:ind w:firstLine="3640" w:firstLineChars="1300"/>
        <w:rPr>
          <w:rFonts w:hint="eastAsia" w:ascii="方正仿宋_GBK" w:hAnsi="宋体" w:eastAsia="方正仿宋_GBK"/>
          <w:szCs w:val="28"/>
        </w:rPr>
      </w:pPr>
      <w:r>
        <w:rPr>
          <w:rFonts w:hint="eastAsia" w:ascii="方正仿宋_GBK" w:hAnsi="宋体" w:eastAsia="方正仿宋_GBK"/>
          <w:szCs w:val="28"/>
        </w:rPr>
        <w:t>中小微企业声明函</w:t>
      </w:r>
    </w:p>
    <w:p>
      <w:pPr>
        <w:ind w:firstLine="480" w:firstLineChars="200"/>
        <w:rPr>
          <w:rFonts w:hint="eastAsia" w:ascii="方正仿宋_GBK" w:hAnsi="宋体" w:eastAsia="方正仿宋_GBK"/>
          <w:sz w:val="24"/>
        </w:rPr>
      </w:pPr>
      <w:r>
        <w:rPr>
          <w:rFonts w:hint="eastAsia" w:ascii="方正仿宋_GBK" w:hAnsi="宋体" w:eastAsia="方正仿宋_GBK"/>
          <w:sz w:val="24"/>
        </w:rPr>
        <w:t xml:space="preserve">项目名称：                        </w:t>
      </w:r>
    </w:p>
    <w:p>
      <w:pPr>
        <w:ind w:firstLine="480" w:firstLineChars="200"/>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ind w:firstLine="480" w:firstLineChars="200"/>
        <w:rPr>
          <w:rFonts w:hint="eastAsia" w:ascii="方正仿宋_GBK" w:hAnsi="宋体" w:eastAsia="方正仿宋_GBK"/>
          <w:sz w:val="24"/>
        </w:rPr>
      </w:pPr>
      <w:r>
        <w:rPr>
          <w:rFonts w:hint="eastAsia" w:ascii="方正仿宋_GBK" w:hAnsi="宋体" w:eastAsia="方正仿宋_GBK"/>
          <w:sz w:val="24"/>
        </w:rPr>
        <w:t>本公司郑重声明，根据《政府采购促进中小企业发展暂行办法》（财库〔2011〕181号）的规定。本公司为</w:t>
      </w:r>
      <w:r>
        <w:rPr>
          <w:rFonts w:hint="eastAsia" w:ascii="方正仿宋_GBK" w:hAnsi="宋体" w:eastAsia="方正仿宋_GBK"/>
          <w:sz w:val="24"/>
          <w:u w:val="single"/>
        </w:rPr>
        <w:t xml:space="preserve">       </w:t>
      </w:r>
      <w:r>
        <w:rPr>
          <w:rFonts w:hint="eastAsia" w:ascii="方正仿宋_GBK" w:hAnsi="宋体" w:eastAsia="方正仿宋_GBK"/>
          <w:sz w:val="24"/>
        </w:rPr>
        <w:t>（请填写：中型、小型、微型）企业。即，本企业同时满足以下条件：</w:t>
      </w:r>
    </w:p>
    <w:p>
      <w:pPr>
        <w:ind w:firstLine="480" w:firstLineChars="200"/>
        <w:rPr>
          <w:rFonts w:hint="eastAsia" w:ascii="方正仿宋_GBK" w:hAnsi="宋体" w:eastAsia="方正仿宋_GBK"/>
          <w:sz w:val="24"/>
        </w:rPr>
      </w:pPr>
      <w:r>
        <w:rPr>
          <w:rFonts w:hint="eastAsia" w:ascii="方正仿宋_GBK" w:hAnsi="宋体" w:eastAsia="方正仿宋_GBK"/>
          <w:sz w:val="24"/>
        </w:rPr>
        <w:t>1.根据《工业和信息化部、国家统计局、国家发展和改革委员会、财政部关于印发中小企业划型标准规定的通知》（工信部联企业〔2011〕300号）规定的划分标准，本企业为</w:t>
      </w:r>
      <w:r>
        <w:rPr>
          <w:rFonts w:hint="eastAsia" w:ascii="方正仿宋_GBK" w:hAnsi="宋体" w:eastAsia="方正仿宋_GBK"/>
          <w:sz w:val="24"/>
          <w:u w:val="single"/>
        </w:rPr>
        <w:t xml:space="preserve">        </w:t>
      </w:r>
      <w:r>
        <w:rPr>
          <w:rFonts w:hint="eastAsia" w:ascii="方正仿宋_GBK" w:hAnsi="宋体" w:eastAsia="方正仿宋_GBK"/>
          <w:sz w:val="24"/>
        </w:rPr>
        <w:t>行业（行业类别）的</w:t>
      </w:r>
      <w:r>
        <w:rPr>
          <w:rFonts w:hint="eastAsia" w:ascii="方正仿宋_GBK" w:hAnsi="宋体" w:eastAsia="方正仿宋_GBK"/>
          <w:sz w:val="24"/>
          <w:u w:val="single"/>
        </w:rPr>
        <w:t xml:space="preserve">          </w:t>
      </w:r>
      <w:r>
        <w:rPr>
          <w:rFonts w:hint="eastAsia" w:ascii="方正仿宋_GBK" w:hAnsi="宋体" w:eastAsia="方正仿宋_GBK"/>
          <w:sz w:val="24"/>
        </w:rPr>
        <w:t>（请填写：中型、小型、微型）企业。</w:t>
      </w:r>
    </w:p>
    <w:p>
      <w:pPr>
        <w:ind w:firstLine="480" w:firstLineChars="200"/>
        <w:rPr>
          <w:rFonts w:hint="eastAsia" w:ascii="方正仿宋_GBK" w:hAnsi="宋体" w:eastAsia="方正仿宋_GBK"/>
          <w:sz w:val="24"/>
        </w:rPr>
      </w:pPr>
      <w:r>
        <w:rPr>
          <w:rFonts w:hint="eastAsia" w:ascii="方正仿宋_GBK" w:hAnsi="宋体" w:eastAsia="方正仿宋_GBK"/>
          <w:sz w:val="24"/>
        </w:rPr>
        <w:t>2.本公司参加本项目提供本企业制造的货物、承担的工程或者服务，或者提供其它小微企业制造的货物。本项目采购的货物、工程或者服务</w:t>
      </w:r>
      <w:r>
        <w:rPr>
          <w:rFonts w:hint="eastAsia" w:ascii="方正仿宋_GBK" w:hAnsi="宋体" w:eastAsia="方正仿宋_GBK"/>
          <w:sz w:val="24"/>
          <w:u w:val="single"/>
        </w:rPr>
        <w:t xml:space="preserve">             </w:t>
      </w:r>
      <w:r>
        <w:rPr>
          <w:rFonts w:hint="eastAsia" w:ascii="方正仿宋_GBK" w:hAnsi="宋体" w:eastAsia="方正仿宋_GBK"/>
          <w:sz w:val="24"/>
        </w:rPr>
        <w:t>（请填写：“全部由我公司提供”、“部分由我公司提供”、或“全部不是我公司提供”）。本条所称货物不包括使用大中型企业注册商标的货物。</w:t>
      </w:r>
    </w:p>
    <w:p>
      <w:pPr>
        <w:tabs>
          <w:tab w:val="left" w:pos="6300"/>
        </w:tabs>
        <w:snapToGrid w:val="0"/>
        <w:ind w:firstLine="480" w:firstLineChars="200"/>
        <w:jc w:val="center"/>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企业基本情况表</w:t>
      </w:r>
    </w:p>
    <w:tbl>
      <w:tblPr>
        <w:tblStyle w:val="59"/>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409"/>
        <w:gridCol w:w="1843"/>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235" w:type="dxa"/>
            <w:vAlign w:val="center"/>
          </w:tcPr>
          <w:p>
            <w:pPr>
              <w:tabs>
                <w:tab w:val="left" w:pos="6300"/>
              </w:tabs>
              <w:snapToGrid w:val="0"/>
              <w:jc w:val="center"/>
              <w:rPr>
                <w:rFonts w:ascii="方正仿宋_GBK" w:hAnsi="仿宋" w:eastAsia="方正仿宋_GBK"/>
                <w:sz w:val="24"/>
              </w:rPr>
            </w:pPr>
            <w:r>
              <w:rPr>
                <w:rFonts w:hint="eastAsia" w:ascii="方正仿宋_GBK" w:hAnsi="仿宋" w:eastAsia="方正仿宋_GBK"/>
                <w:sz w:val="24"/>
              </w:rPr>
              <w:t>行业类别</w:t>
            </w:r>
          </w:p>
        </w:tc>
        <w:tc>
          <w:tcPr>
            <w:tcW w:w="2409" w:type="dxa"/>
            <w:vAlign w:val="center"/>
          </w:tcPr>
          <w:p>
            <w:pPr>
              <w:tabs>
                <w:tab w:val="left" w:pos="6300"/>
              </w:tabs>
              <w:snapToGrid w:val="0"/>
              <w:jc w:val="center"/>
              <w:rPr>
                <w:rFonts w:ascii="方正仿宋_GBK" w:hAnsi="仿宋" w:eastAsia="方正仿宋_GBK"/>
                <w:sz w:val="24"/>
              </w:rPr>
            </w:pPr>
            <w:r>
              <w:rPr>
                <w:rFonts w:hint="eastAsia" w:ascii="方正仿宋_GBK" w:hAnsi="仿宋" w:eastAsia="方正仿宋_GBK"/>
                <w:sz w:val="24"/>
              </w:rPr>
              <w:t>营业收入（万元）</w:t>
            </w:r>
          </w:p>
        </w:tc>
        <w:tc>
          <w:tcPr>
            <w:tcW w:w="1843" w:type="dxa"/>
            <w:vAlign w:val="center"/>
          </w:tcPr>
          <w:p>
            <w:pPr>
              <w:tabs>
                <w:tab w:val="left" w:pos="6300"/>
              </w:tabs>
              <w:snapToGrid w:val="0"/>
              <w:jc w:val="center"/>
              <w:rPr>
                <w:rFonts w:ascii="方正仿宋_GBK" w:hAnsi="仿宋" w:eastAsia="方正仿宋_GBK"/>
                <w:sz w:val="24"/>
              </w:rPr>
            </w:pPr>
            <w:r>
              <w:rPr>
                <w:rFonts w:hint="eastAsia" w:ascii="方正仿宋_GBK" w:hAnsi="仿宋" w:eastAsia="方正仿宋_GBK"/>
                <w:sz w:val="24"/>
              </w:rPr>
              <w:t>从业人员（人）</w:t>
            </w:r>
          </w:p>
        </w:tc>
        <w:tc>
          <w:tcPr>
            <w:tcW w:w="2559" w:type="dxa"/>
            <w:vAlign w:val="center"/>
          </w:tcPr>
          <w:p>
            <w:pPr>
              <w:tabs>
                <w:tab w:val="left" w:pos="6300"/>
              </w:tabs>
              <w:snapToGrid w:val="0"/>
              <w:jc w:val="center"/>
              <w:rPr>
                <w:rFonts w:ascii="方正仿宋_GBK" w:hAnsi="仿宋" w:eastAsia="方正仿宋_GBK"/>
                <w:sz w:val="24"/>
              </w:rPr>
            </w:pPr>
            <w:r>
              <w:rPr>
                <w:rFonts w:hint="eastAsia" w:ascii="方正仿宋_GBK" w:hAnsi="仿宋" w:eastAsia="方正仿宋_GBK"/>
                <w:sz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2235" w:type="dxa"/>
            <w:vAlign w:val="center"/>
          </w:tcPr>
          <w:p>
            <w:pPr>
              <w:tabs>
                <w:tab w:val="left" w:pos="6300"/>
              </w:tabs>
              <w:snapToGrid w:val="0"/>
              <w:jc w:val="center"/>
              <w:rPr>
                <w:rFonts w:ascii="方正仿宋_GBK" w:hAnsi="仿宋" w:eastAsia="方正仿宋_GBK"/>
                <w:sz w:val="24"/>
              </w:rPr>
            </w:pPr>
          </w:p>
        </w:tc>
        <w:tc>
          <w:tcPr>
            <w:tcW w:w="2409" w:type="dxa"/>
            <w:vAlign w:val="center"/>
          </w:tcPr>
          <w:p>
            <w:pPr>
              <w:tabs>
                <w:tab w:val="left" w:pos="6300"/>
              </w:tabs>
              <w:snapToGrid w:val="0"/>
              <w:jc w:val="center"/>
              <w:rPr>
                <w:rFonts w:ascii="方正仿宋_GBK" w:hAnsi="仿宋" w:eastAsia="方正仿宋_GBK"/>
                <w:sz w:val="24"/>
              </w:rPr>
            </w:pPr>
          </w:p>
        </w:tc>
        <w:tc>
          <w:tcPr>
            <w:tcW w:w="1843" w:type="dxa"/>
            <w:vAlign w:val="center"/>
          </w:tcPr>
          <w:p>
            <w:pPr>
              <w:tabs>
                <w:tab w:val="left" w:pos="6300"/>
              </w:tabs>
              <w:snapToGrid w:val="0"/>
              <w:jc w:val="center"/>
              <w:rPr>
                <w:rFonts w:ascii="方正仿宋_GBK" w:hAnsi="仿宋" w:eastAsia="方正仿宋_GBK"/>
                <w:sz w:val="24"/>
              </w:rPr>
            </w:pPr>
          </w:p>
        </w:tc>
        <w:tc>
          <w:tcPr>
            <w:tcW w:w="2559" w:type="dxa"/>
            <w:vAlign w:val="center"/>
          </w:tcPr>
          <w:p>
            <w:pPr>
              <w:tabs>
                <w:tab w:val="left" w:pos="6300"/>
              </w:tabs>
              <w:snapToGrid w:val="0"/>
              <w:jc w:val="center"/>
              <w:rPr>
                <w:rFonts w:ascii="方正仿宋_GBK" w:hAnsi="仿宋" w:eastAsia="方正仿宋_GBK"/>
                <w:sz w:val="24"/>
              </w:rPr>
            </w:pPr>
          </w:p>
        </w:tc>
      </w:tr>
    </w:tbl>
    <w:p>
      <w:pPr>
        <w:rPr>
          <w:rFonts w:ascii="方正仿宋_GBK" w:hAnsi="宋体" w:eastAsia="方正仿宋_GBK"/>
          <w:sz w:val="24"/>
        </w:rPr>
      </w:pPr>
      <w:r>
        <w:rPr>
          <w:rFonts w:ascii="方正仿宋_GBK" w:hAnsi="宋体" w:eastAsia="方正仿宋_GBK"/>
          <w:sz w:val="24"/>
        </w:rPr>
        <w:tab/>
      </w:r>
      <w:r>
        <w:rPr>
          <w:rFonts w:ascii="方正仿宋_GBK" w:hAnsi="宋体" w:eastAsia="方正仿宋_GBK"/>
          <w:sz w:val="24"/>
        </w:rPr>
        <w:tab/>
      </w:r>
    </w:p>
    <w:p>
      <w:pPr>
        <w:ind w:firstLine="480" w:firstLineChars="200"/>
        <w:rPr>
          <w:rFonts w:hint="eastAsia" w:ascii="方正仿宋_GBK" w:hAnsi="宋体" w:eastAsia="方正仿宋_GBK"/>
          <w:sz w:val="24"/>
        </w:rPr>
      </w:pPr>
      <w:r>
        <w:rPr>
          <w:rFonts w:hint="eastAsia" w:ascii="方正仿宋_GBK" w:hAnsi="宋体" w:eastAsia="方正仿宋_GBK"/>
          <w:sz w:val="24"/>
        </w:rPr>
        <w:t>本公司对上述声明的真实性负责。如有虚假，将依法承担相应责任。</w:t>
      </w:r>
    </w:p>
    <w:p>
      <w:pPr>
        <w:ind w:firstLine="480" w:firstLineChars="200"/>
        <w:rPr>
          <w:rFonts w:ascii="方正仿宋_GBK" w:hAnsi="宋体" w:eastAsia="方正仿宋_GBK"/>
          <w:sz w:val="24"/>
        </w:rPr>
      </w:pPr>
    </w:p>
    <w:p>
      <w:pPr>
        <w:ind w:firstLine="5760" w:firstLineChars="2400"/>
        <w:rPr>
          <w:rFonts w:hint="eastAsia" w:ascii="方正仿宋_GBK" w:hAnsi="宋体" w:eastAsia="方正仿宋_GBK"/>
          <w:sz w:val="24"/>
        </w:rPr>
      </w:pPr>
      <w:r>
        <w:rPr>
          <w:rFonts w:hint="eastAsia" w:ascii="方正仿宋_GBK" w:hAnsi="宋体" w:eastAsia="方正仿宋_GBK"/>
          <w:sz w:val="24"/>
        </w:rPr>
        <w:t>投标人名称（公章）：</w:t>
      </w:r>
    </w:p>
    <w:p>
      <w:pPr>
        <w:ind w:firstLine="480" w:firstLineChars="200"/>
        <w:rPr>
          <w:rFonts w:ascii="方正仿宋_GBK" w:hAnsi="宋体" w:eastAsia="方正仿宋_GBK"/>
          <w:sz w:val="24"/>
        </w:rPr>
      </w:pPr>
      <w:r>
        <w:rPr>
          <w:rFonts w:hint="eastAsia" w:ascii="方正仿宋_GBK" w:hAnsi="宋体" w:eastAsia="方正仿宋_GBK"/>
          <w:sz w:val="24"/>
        </w:rPr>
        <w:t xml:space="preserve">                                                   年  月  日</w:t>
      </w:r>
    </w:p>
    <w:p>
      <w:pPr>
        <w:ind w:firstLine="480" w:firstLineChars="200"/>
        <w:rPr>
          <w:rFonts w:hint="eastAsia" w:ascii="方正仿宋_GBK" w:hAnsi="宋体" w:eastAsia="方正仿宋_GBK"/>
          <w:sz w:val="24"/>
          <w:szCs w:val="22"/>
        </w:rPr>
      </w:pPr>
      <w:r>
        <w:rPr>
          <w:rFonts w:hint="eastAsia" w:ascii="方正仿宋_GBK" w:hAnsi="宋体" w:eastAsia="方正仿宋_GBK"/>
          <w:sz w:val="24"/>
          <w:szCs w:val="22"/>
        </w:rPr>
        <w:t>填写《企业基本情况表》时，应注意以下事项：</w:t>
      </w:r>
    </w:p>
    <w:p>
      <w:pPr>
        <w:ind w:firstLine="480" w:firstLineChars="200"/>
        <w:rPr>
          <w:rFonts w:hint="eastAsia" w:ascii="方正仿宋_GBK" w:hAnsi="宋体" w:eastAsia="方正仿宋_GBK"/>
          <w:sz w:val="24"/>
          <w:szCs w:val="22"/>
        </w:rPr>
      </w:pPr>
      <w:r>
        <w:rPr>
          <w:rFonts w:hint="eastAsia" w:ascii="方正仿宋_GBK" w:hAnsi="宋体" w:eastAsia="方正仿宋_GBK"/>
          <w:sz w:val="24"/>
          <w:szCs w:val="22"/>
        </w:rPr>
        <w:t>1.除建筑业、房地产开发经营、租赁和商务服务业等三个行业外，其余行业无需填写资产总额项；</w:t>
      </w:r>
    </w:p>
    <w:p>
      <w:pPr>
        <w:ind w:firstLine="480" w:firstLineChars="200"/>
        <w:rPr>
          <w:rFonts w:hint="eastAsia" w:ascii="方正仿宋_GBK" w:hAnsi="宋体" w:eastAsia="方正仿宋_GBK"/>
          <w:sz w:val="24"/>
          <w:szCs w:val="22"/>
        </w:rPr>
      </w:pPr>
      <w:r>
        <w:rPr>
          <w:rFonts w:hint="eastAsia" w:ascii="方正仿宋_GBK" w:hAnsi="宋体" w:eastAsia="方正仿宋_GBK"/>
          <w:sz w:val="24"/>
          <w:szCs w:val="22"/>
        </w:rPr>
        <w:t>2.农、林、牧、渔业无需填写从业人员和资产总额项。</w:t>
      </w:r>
    </w:p>
    <w:p>
      <w:pPr>
        <w:ind w:firstLine="480" w:firstLineChars="200"/>
        <w:rPr>
          <w:rFonts w:hint="eastAsia" w:ascii="方正仿宋_GBK" w:hAnsi="宋体" w:eastAsia="方正仿宋_GBK"/>
          <w:sz w:val="24"/>
          <w:szCs w:val="22"/>
        </w:rPr>
      </w:pPr>
      <w:r>
        <w:rPr>
          <w:rFonts w:hint="eastAsia" w:ascii="方正仿宋_GBK" w:hAnsi="宋体" w:eastAsia="方正仿宋_GBK"/>
          <w:sz w:val="24"/>
          <w:szCs w:val="22"/>
        </w:rPr>
        <w:t>3.投标人填写本函第2条若是填写“部分由我公司制造”或“全部不是我公司制造”的，还需提供所涉及的其它企业的《中小微企业声明函》，否是视为投标人提供非小微企业的货物、工程或服务。所涉及的其它企业填写《中小微企业声明函》时可不填写第2条。</w:t>
      </w:r>
    </w:p>
    <w:p>
      <w:pPr>
        <w:tabs>
          <w:tab w:val="left" w:pos="6300"/>
        </w:tabs>
        <w:snapToGrid w:val="0"/>
        <w:spacing w:line="500" w:lineRule="exact"/>
        <w:outlineLvl w:val="0"/>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 xml:space="preserve">  2、</w:t>
      </w:r>
      <w:r>
        <w:rPr>
          <w:rFonts w:hint="eastAsia" w:ascii="方正仿宋_GBK" w:hAnsi="方正仿宋_GBK" w:eastAsia="方正仿宋_GBK" w:cs="方正仿宋_GBK"/>
          <w:color w:val="000000"/>
          <w:sz w:val="29"/>
          <w:szCs w:val="29"/>
        </w:rPr>
        <w:t>监狱企业证明文件</w:t>
      </w:r>
    </w:p>
    <w:p>
      <w:pPr>
        <w:tabs>
          <w:tab w:val="left" w:pos="6300"/>
        </w:tabs>
        <w:snapToGrid w:val="0"/>
        <w:spacing w:line="500" w:lineRule="exact"/>
        <w:ind w:firstLine="580" w:firstLineChars="200"/>
        <w:outlineLvl w:val="0"/>
        <w:rPr>
          <w:rFonts w:hint="eastAsia" w:ascii="方正仿宋_GBK" w:hAnsi="方正仿宋_GBK" w:eastAsia="方正仿宋_GBK" w:cs="方正仿宋_GBK"/>
        </w:rPr>
      </w:pPr>
      <w:r>
        <w:rPr>
          <w:rFonts w:hint="eastAsia" w:ascii="方正仿宋_GBK" w:hAnsi="方正仿宋_GBK" w:eastAsia="方正仿宋_GBK" w:cs="方正仿宋_GBK"/>
          <w:color w:val="000000"/>
          <w:sz w:val="29"/>
          <w:szCs w:val="29"/>
        </w:rPr>
        <w:t>以省级以上监狱管理局、戒毒管理局（含新疆生产建设兵团）出具的属于监狱企业的证明文件为准。</w:t>
      </w:r>
      <w:r>
        <w:rPr>
          <w:rFonts w:hint="eastAsia" w:ascii="方正仿宋_GBK" w:hAnsi="方正仿宋_GBK" w:eastAsia="方正仿宋_GBK" w:cs="方正仿宋_GBK"/>
        </w:rPr>
        <w:br w:type="page"/>
      </w:r>
      <w:r>
        <w:rPr>
          <w:rFonts w:hint="eastAsia" w:ascii="方正仿宋_GBK" w:hAnsi="方正仿宋_GBK" w:eastAsia="方正仿宋_GBK" w:cs="方正仿宋_GBK"/>
        </w:rPr>
        <w:t xml:space="preserve">  3、残疾人福利性单位声明函</w:t>
      </w:r>
    </w:p>
    <w:p>
      <w:pPr>
        <w:tabs>
          <w:tab w:val="left" w:pos="6300"/>
        </w:tabs>
        <w:snapToGrid w:val="0"/>
        <w:spacing w:line="500" w:lineRule="exact"/>
        <w:ind w:firstLine="560" w:firstLineChars="200"/>
        <w:jc w:val="center"/>
        <w:outlineLvl w:val="0"/>
        <w:rPr>
          <w:rFonts w:hint="eastAsia" w:ascii="方正仿宋_GBK" w:hAnsi="方正仿宋_GBK" w:eastAsia="方正仿宋_GBK" w:cs="方正仿宋_GBK"/>
        </w:rPr>
      </w:pPr>
    </w:p>
    <w:p>
      <w:pPr>
        <w:tabs>
          <w:tab w:val="left" w:pos="6300"/>
        </w:tabs>
        <w:snapToGrid w:val="0"/>
        <w:spacing w:line="500" w:lineRule="exact"/>
        <w:ind w:firstLine="560" w:firstLineChars="200"/>
        <w:jc w:val="center"/>
        <w:outlineLvl w:val="0"/>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残疾人福利性单位声明函</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投标人名称（盖章）：</w:t>
      </w:r>
    </w:p>
    <w:p>
      <w:pPr>
        <w:tabs>
          <w:tab w:val="left" w:pos="6300"/>
        </w:tabs>
        <w:snapToGrid w:val="0"/>
        <w:spacing w:line="500" w:lineRule="exact"/>
        <w:ind w:firstLine="570"/>
        <w:jc w:val="left"/>
        <w:rPr>
          <w:rFonts w:hint="eastAsia" w:ascii="方正仿宋_GBK" w:hAnsi="方正仿宋_GBK" w:eastAsia="方正仿宋_GBK" w:cs="方正仿宋_GBK"/>
        </w:rPr>
      </w:pPr>
      <w:r>
        <w:rPr>
          <w:rFonts w:hint="eastAsia" w:ascii="方正仿宋_GBK" w:hAnsi="方正仿宋_GBK" w:eastAsia="方正仿宋_GBK" w:cs="方正仿宋_GBK"/>
          <w:sz w:val="24"/>
        </w:rPr>
        <w:t xml:space="preserve">                                                  日  期：</w:t>
      </w:r>
    </w:p>
    <w:p>
      <w:pPr>
        <w:tabs>
          <w:tab w:val="left" w:pos="6300"/>
        </w:tabs>
        <w:snapToGrid w:val="0"/>
        <w:spacing w:line="500" w:lineRule="exact"/>
        <w:ind w:firstLine="570"/>
        <w:jc w:val="left"/>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（五）其他与项目有关的资料（自附）</w:t>
      </w:r>
    </w:p>
    <w:p>
      <w:pPr>
        <w:pStyle w:val="5"/>
        <w:pageBreakBefore/>
        <w:spacing w:line="500" w:lineRule="exact"/>
        <w:rPr>
          <w:rFonts w:hint="eastAsia" w:ascii="方正仿宋_GBK" w:hAnsi="方正仿宋_GBK" w:eastAsia="方正仿宋_GBK" w:cs="方正仿宋_GBK"/>
          <w:b/>
          <w:szCs w:val="28"/>
        </w:rPr>
      </w:pPr>
      <w:bookmarkStart w:id="61" w:name="_Toc492721038"/>
      <w:bookmarkStart w:id="62" w:name="_Toc493506323"/>
      <w:r>
        <w:rPr>
          <w:rFonts w:hint="eastAsia" w:ascii="方正仿宋_GBK" w:hAnsi="方正仿宋_GBK" w:eastAsia="方正仿宋_GBK" w:cs="方正仿宋_GBK"/>
          <w:b/>
          <w:szCs w:val="28"/>
        </w:rPr>
        <w:t>四、资格文件</w:t>
      </w:r>
      <w:bookmarkEnd w:id="61"/>
      <w:r>
        <w:rPr>
          <w:rFonts w:hint="eastAsia" w:ascii="方正仿宋_GBK" w:hAnsi="方正仿宋_GBK" w:eastAsia="方正仿宋_GBK" w:cs="方正仿宋_GBK"/>
          <w:b/>
          <w:szCs w:val="28"/>
        </w:rPr>
        <w:t>（单独装订）</w:t>
      </w:r>
      <w:bookmarkEnd w:id="62"/>
    </w:p>
    <w:p>
      <w:pPr>
        <w:tabs>
          <w:tab w:val="left" w:pos="6300"/>
        </w:tabs>
        <w:snapToGrid w:val="0"/>
        <w:spacing w:line="500" w:lineRule="exact"/>
        <w:ind w:firstLine="570"/>
        <w:rPr>
          <w:rFonts w:hint="eastAsia" w:ascii="方正仿宋_GBK" w:hAnsi="方正仿宋_GBK" w:eastAsia="方正仿宋_GBK" w:cs="方正仿宋_GBK"/>
        </w:rPr>
      </w:pPr>
      <w:r>
        <w:rPr>
          <w:rFonts w:hint="eastAsia" w:ascii="方正仿宋_GBK" w:hAnsi="方正仿宋_GBK" w:eastAsia="方正仿宋_GBK" w:cs="方正仿宋_GBK"/>
        </w:rPr>
        <w:t>（一）营业执照（副本）</w:t>
      </w:r>
      <w:r>
        <w:rPr>
          <w:rFonts w:hint="eastAsia" w:ascii="方正仿宋_GBK" w:hAnsi="方正仿宋_GBK" w:eastAsia="方正仿宋_GBK" w:cs="方正仿宋_GBK"/>
          <w:szCs w:val="28"/>
        </w:rPr>
        <w:t>或事业单位法人证书（副本）</w:t>
      </w:r>
      <w:r>
        <w:rPr>
          <w:rFonts w:hint="eastAsia" w:ascii="方正仿宋_GBK" w:hAnsi="方正仿宋_GBK" w:eastAsia="方正仿宋_GBK" w:cs="方正仿宋_GBK"/>
        </w:rPr>
        <w:t>复印件</w:t>
      </w: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tabs>
          <w:tab w:val="left" w:pos="6300"/>
        </w:tabs>
        <w:snapToGrid w:val="0"/>
        <w:spacing w:line="500" w:lineRule="exact"/>
        <w:ind w:firstLine="570"/>
        <w:rPr>
          <w:rFonts w:hint="eastAsia" w:ascii="方正仿宋_GBK" w:hAnsi="方正仿宋_GBK" w:eastAsia="方正仿宋_GBK" w:cs="方正仿宋_GBK"/>
        </w:rPr>
      </w:pPr>
    </w:p>
    <w:p>
      <w:pPr>
        <w:widowControl/>
        <w:ind w:firstLine="56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（二）法定代表人身份证明书（格式）</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招标项目名称：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（集中采购机构名称）：</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（职务名称）职务，是（投标人名称）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（投标人公章）</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rPr>
        <w:t>（三）法定代表人授权委托书（格式）</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（集中采购机构名称）：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被授权人：                                 投标人法定代表人：</w:t>
      </w:r>
    </w:p>
    <w:p>
      <w:pPr>
        <w:tabs>
          <w:tab w:val="left" w:pos="6300"/>
        </w:tabs>
        <w:snapToGrid w:val="0"/>
        <w:spacing w:line="500" w:lineRule="exact"/>
        <w:ind w:firstLine="570"/>
        <w:rPr>
          <w:rFonts w:hint="eastAsia"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sz w:val="24"/>
          <w:szCs w:val="28"/>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（投标人公章）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p>
    <w:p>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1.若为法定代表人办理并签署投标文件的，不提供此文件。</w:t>
      </w:r>
    </w:p>
    <w:p>
      <w:pPr>
        <w:tabs>
          <w:tab w:val="left" w:pos="6300"/>
        </w:tabs>
        <w:snapToGrid w:val="0"/>
        <w:spacing w:line="500" w:lineRule="exact"/>
        <w:ind w:right="480" w:firstLine="57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rPr>
        <w:t>出具。</w:t>
      </w:r>
    </w:p>
    <w:p>
      <w:pPr>
        <w:tabs>
          <w:tab w:val="left" w:pos="6300"/>
        </w:tabs>
        <w:snapToGrid w:val="0"/>
        <w:spacing w:line="500" w:lineRule="exact"/>
        <w:ind w:firstLine="570"/>
        <w:rPr>
          <w:rFonts w:hint="eastAsia"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rPr>
        <w:t>（四）</w:t>
      </w:r>
      <w:r>
        <w:rPr>
          <w:rFonts w:hint="eastAsia" w:ascii="方正仿宋_GBK" w:hAnsi="方正仿宋_GBK" w:eastAsia="方正仿宋_GBK" w:cs="方正仿宋_GBK"/>
          <w:u w:val="single"/>
        </w:rPr>
        <w:t xml:space="preserve"> 2019 </w:t>
      </w:r>
      <w:r>
        <w:rPr>
          <w:rFonts w:hint="eastAsia" w:ascii="方正仿宋_GBK" w:hAnsi="方正仿宋_GBK" w:eastAsia="方正仿宋_GBK" w:cs="方正仿宋_GBK"/>
        </w:rPr>
        <w:t>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（五）书面声明</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（集中采购机构名称）：</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集中采购机构的检查验证，符合《政府采购法》规定的投标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sz w:val="24"/>
        </w:rPr>
      </w:pPr>
    </w:p>
    <w:p>
      <w:pPr>
        <w:tabs>
          <w:tab w:val="left" w:pos="6300"/>
        </w:tabs>
        <w:snapToGrid w:val="0"/>
        <w:spacing w:line="50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特此声明。</w:t>
      </w: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firstLine="570"/>
        <w:rPr>
          <w:rFonts w:hint="eastAsia" w:ascii="方正仿宋_GBK" w:hAnsi="方正仿宋_GBK" w:eastAsia="方正仿宋_GBK" w:cs="方正仿宋_GBK"/>
          <w:sz w:val="24"/>
        </w:rPr>
      </w:pPr>
    </w:p>
    <w:p>
      <w:pPr>
        <w:tabs>
          <w:tab w:val="left" w:pos="6300"/>
        </w:tabs>
        <w:snapToGrid w:val="0"/>
        <w:spacing w:line="500" w:lineRule="exact"/>
        <w:ind w:right="424"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（投标人公章）</w:t>
      </w:r>
    </w:p>
    <w:p>
      <w:pPr>
        <w:tabs>
          <w:tab w:val="left" w:pos="6300"/>
        </w:tabs>
        <w:snapToGrid w:val="0"/>
        <w:spacing w:line="500" w:lineRule="exact"/>
        <w:ind w:right="480" w:firstLine="570"/>
        <w:jc w:val="righ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snapToGrid w:val="0"/>
        <w:spacing w:line="44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（六）</w:t>
      </w:r>
      <w:r>
        <w:rPr>
          <w:rFonts w:hint="eastAsia" w:ascii="方正仿宋_GBK" w:hAnsi="方正仿宋_GBK" w:eastAsia="方正仿宋_GBK" w:cs="方正仿宋_GBK"/>
          <w:szCs w:val="22"/>
        </w:rPr>
        <w:t>开标日前三个月缴纳税收的证明材料复印件</w:t>
      </w:r>
    </w:p>
    <w:p>
      <w:pPr>
        <w:tabs>
          <w:tab w:val="left" w:pos="6300"/>
        </w:tabs>
        <w:snapToGrid w:val="0"/>
        <w:spacing w:line="50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缴纳税收的证明材料指：缴纳税收的凭据。依法免税的投标人，应提供相应文件证明其依法免税。</w:t>
      </w:r>
    </w:p>
    <w:p>
      <w:pPr>
        <w:tabs>
          <w:tab w:val="left" w:pos="6300"/>
        </w:tabs>
        <w:snapToGrid w:val="0"/>
        <w:spacing w:line="500" w:lineRule="exact"/>
        <w:ind w:firstLine="560"/>
        <w:rPr>
          <w:rFonts w:hint="eastAsia" w:ascii="方正仿宋_GBK" w:hAnsi="方正仿宋_GBK" w:eastAsia="方正仿宋_GBK" w:cs="方正仿宋_GBK"/>
        </w:rPr>
      </w:pPr>
      <w:r>
        <w:rPr>
          <w:rFonts w:hint="eastAsia" w:ascii="方正仿宋_GBK" w:hAnsi="方正仿宋_GBK" w:eastAsia="方正仿宋_GBK" w:cs="方正仿宋_GBK"/>
        </w:rPr>
        <w:t>（七）</w:t>
      </w:r>
      <w:r>
        <w:rPr>
          <w:rFonts w:hint="eastAsia" w:ascii="方正仿宋_GBK" w:hAnsi="方正仿宋_GBK" w:eastAsia="方正仿宋_GBK" w:cs="方正仿宋_GBK"/>
          <w:szCs w:val="22"/>
        </w:rPr>
        <w:t>开标日前三个月</w:t>
      </w:r>
      <w:r>
        <w:rPr>
          <w:rFonts w:hint="eastAsia" w:ascii="方正仿宋_GBK" w:hAnsi="方正仿宋_GBK" w:eastAsia="方正仿宋_GBK" w:cs="方正仿宋_GBK"/>
        </w:rPr>
        <w:t>缴纳社会保障金的证明材料复印件</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缴纳社会保障金的证明材料指：社会保险登记证或缴纳社会保险的凭据（专用收据或社会保险缴纳清单）。依法不需要缴纳社会保障资金的投标人，应提供相应文件证明其依法不需要缴纳社会保障资金。</w:t>
      </w:r>
    </w:p>
    <w:p>
      <w:pPr>
        <w:tabs>
          <w:tab w:val="left" w:pos="6300"/>
        </w:tabs>
        <w:snapToGrid w:val="0"/>
        <w:spacing w:line="500" w:lineRule="exact"/>
        <w:ind w:firstLine="480" w:firstLineChars="200"/>
        <w:rPr>
          <w:rFonts w:hint="eastAsia" w:ascii="方正仿宋_GBK" w:hAnsi="方正仿宋_GBK" w:eastAsia="方正仿宋_GBK" w:cs="方正仿宋_GBK"/>
          <w:sz w:val="24"/>
          <w:szCs w:val="24"/>
        </w:rPr>
      </w:pPr>
    </w:p>
    <w:p>
      <w:pPr>
        <w:tabs>
          <w:tab w:val="left" w:pos="6300"/>
        </w:tabs>
        <w:snapToGrid w:val="0"/>
        <w:spacing w:line="500" w:lineRule="exact"/>
        <w:ind w:firstLine="570"/>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rPr>
        <w:t>（八）特定资格条件证书或证明文件</w:t>
      </w: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ind w:firstLine="570"/>
        <w:jc w:val="left"/>
        <w:rPr>
          <w:rFonts w:hint="eastAsia" w:ascii="方正仿宋_GBK" w:hAnsi="方正仿宋_GBK" w:eastAsia="方正仿宋_GBK" w:cs="方正仿宋_GBK"/>
          <w:sz w:val="24"/>
        </w:rPr>
      </w:pPr>
    </w:p>
    <w:p>
      <w:pPr>
        <w:tabs>
          <w:tab w:val="left" w:pos="6300"/>
        </w:tabs>
        <w:snapToGrid w:val="0"/>
        <w:spacing w:line="50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（结束）</w:t>
      </w:r>
    </w:p>
    <w:p>
      <w:pPr>
        <w:tabs>
          <w:tab w:val="left" w:pos="6300"/>
        </w:tabs>
        <w:snapToGrid w:val="0"/>
        <w:spacing w:line="500" w:lineRule="exact"/>
        <w:jc w:val="center"/>
        <w:rPr>
          <w:rFonts w:hint="eastAsia" w:ascii="方正仿宋_GBK" w:hAnsi="宋体" w:eastAsia="方正仿宋_GBK"/>
        </w:rPr>
      </w:pPr>
    </w:p>
    <w:sectPr>
      <w:headerReference r:id="rId11" w:type="default"/>
      <w:footerReference r:id="rId12"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文鼎粗黑">
    <w:altName w:val="新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sz w:val="24"/>
      </w:rPr>
    </w:pPr>
    <w:r>
      <w:rPr>
        <w:sz w:val="24"/>
      </w:rPr>
      <w:fldChar w:fldCharType="begin"/>
    </w:r>
    <w:r>
      <w:rPr>
        <w:rStyle w:val="63"/>
        <w:sz w:val="24"/>
      </w:rPr>
      <w:instrText xml:space="preserve"> PAGE </w:instrText>
    </w:r>
    <w:r>
      <w:rPr>
        <w:sz w:val="24"/>
      </w:rPr>
      <w:fldChar w:fldCharType="separate"/>
    </w:r>
    <w:r>
      <w:rPr>
        <w:rStyle w:val="63"/>
        <w:sz w:val="24"/>
      </w:rPr>
      <w:t>- 29 -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3"/>
      </w:rPr>
    </w:pPr>
    <w:r>
      <w:fldChar w:fldCharType="begin"/>
    </w:r>
    <w:r>
      <w:rPr>
        <w:rStyle w:val="63"/>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sz w:val="24"/>
      </w:rPr>
    </w:pPr>
    <w:r>
      <w:rPr>
        <w:sz w:val="24"/>
      </w:rPr>
      <w:fldChar w:fldCharType="begin"/>
    </w:r>
    <w:r>
      <w:rPr>
        <w:rStyle w:val="63"/>
        <w:sz w:val="24"/>
      </w:rPr>
      <w:instrText xml:space="preserve"> PAGE </w:instrText>
    </w:r>
    <w:r>
      <w:rPr>
        <w:sz w:val="24"/>
      </w:rPr>
      <w:fldChar w:fldCharType="separate"/>
    </w:r>
    <w:r>
      <w:rPr>
        <w:rStyle w:val="63"/>
        <w:sz w:val="24"/>
      </w:rPr>
      <w:t>- 49 -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重庆市合川区公共资源交易中心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4"/>
      </w:rPr>
    </w:pPr>
    <w:r>
      <w:rPr>
        <w:rFonts w:hint="eastAsia" w:ascii="方正仿宋_GBK" w:eastAsia="方正仿宋_GBK"/>
        <w:sz w:val="21"/>
        <w:szCs w:val="24"/>
      </w:rPr>
      <w:t>重庆市合川区公共资源交易中心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方正仿宋_GBK" w:eastAsia="方正仿宋_GBK"/>
        <w:sz w:val="21"/>
        <w:szCs w:val="21"/>
      </w:rPr>
    </w:pPr>
    <w:r>
      <w:rPr>
        <w:rFonts w:hint="eastAsia" w:ascii="方正仿宋_GBK" w:eastAsia="方正仿宋_GBK"/>
        <w:sz w:val="21"/>
        <w:szCs w:val="24"/>
      </w:rPr>
      <w:t>重庆市合川区公共资源交易中心                                                     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4"/>
      </w:rPr>
    </w:pPr>
    <w:r>
      <w:rPr>
        <w:rFonts w:hint="eastAsia" w:ascii="方正仿宋_GBK" w:eastAsia="方正仿宋_GBK"/>
        <w:sz w:val="21"/>
        <w:szCs w:val="24"/>
      </w:rPr>
      <w:t>重庆市合川区公共资源交易中心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6901E0"/>
    <w:multiLevelType w:val="singleLevel"/>
    <w:tmpl w:val="906901E0"/>
    <w:lvl w:ilvl="0" w:tentative="0">
      <w:start w:val="1"/>
      <w:numFmt w:val="chineseCounting"/>
      <w:suff w:val="nothing"/>
      <w:lvlText w:val="%1、"/>
      <w:lvlJc w:val="left"/>
      <w:rPr>
        <w:rFonts w:hint="eastAsia"/>
      </w:rPr>
    </w:lvl>
  </w:abstractNum>
  <w:abstractNum w:abstractNumId="1">
    <w:nsid w:val="BEC29AD9"/>
    <w:multiLevelType w:val="singleLevel"/>
    <w:tmpl w:val="BEC29AD9"/>
    <w:lvl w:ilvl="0" w:tentative="0">
      <w:start w:val="2"/>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pStyle w:val="15"/>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12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6"/>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24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8"/>
    <w:multiLevelType w:val="multilevel"/>
    <w:tmpl w:val="00000008"/>
    <w:lvl w:ilvl="0" w:tentative="0">
      <w:start w:val="1"/>
      <w:numFmt w:val="chineseCountingThousand"/>
      <w:pStyle w:val="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2"/>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0000000A"/>
    <w:multiLevelType w:val="multilevel"/>
    <w:tmpl w:val="0000000A"/>
    <w:lvl w:ilvl="0" w:tentative="0">
      <w:start w:val="8"/>
      <w:numFmt w:val="decimal"/>
      <w:pStyle w:val="237"/>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0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12"/>
    <w:multiLevelType w:val="singleLevel"/>
    <w:tmpl w:val="00000012"/>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0">
    <w:nsid w:val="00000013"/>
    <w:multiLevelType w:val="multilevel"/>
    <w:tmpl w:val="00000013"/>
    <w:lvl w:ilvl="0" w:tentative="0">
      <w:start w:val="1"/>
      <w:numFmt w:val="bullet"/>
      <w:pStyle w:val="18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5"/>
    <w:multiLevelType w:val="multilevel"/>
    <w:tmpl w:val="00000015"/>
    <w:lvl w:ilvl="0" w:tentative="0">
      <w:start w:val="1"/>
      <w:numFmt w:val="decimal"/>
      <w:pStyle w:val="192"/>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6"/>
    <w:multiLevelType w:val="singleLevel"/>
    <w:tmpl w:val="00000016"/>
    <w:lvl w:ilvl="0" w:tentative="0">
      <w:start w:val="1"/>
      <w:numFmt w:val="bullet"/>
      <w:pStyle w:val="178"/>
      <w:lvlText w:val=""/>
      <w:lvlJc w:val="left"/>
      <w:pPr>
        <w:tabs>
          <w:tab w:val="left" w:pos="360"/>
        </w:tabs>
        <w:ind w:left="360" w:hanging="360"/>
      </w:pPr>
      <w:rPr>
        <w:rFonts w:hint="default" w:ascii="Wingdings" w:hAnsi="Wingdings"/>
      </w:rPr>
    </w:lvl>
  </w:abstractNum>
  <w:abstractNum w:abstractNumId="14">
    <w:nsid w:val="00000017"/>
    <w:multiLevelType w:val="singleLevel"/>
    <w:tmpl w:val="00000017"/>
    <w:lvl w:ilvl="0" w:tentative="0">
      <w:start w:val="1"/>
      <w:numFmt w:val="bullet"/>
      <w:pStyle w:val="23"/>
      <w:lvlText w:val=""/>
      <w:lvlJc w:val="left"/>
      <w:pPr>
        <w:tabs>
          <w:tab w:val="left" w:pos="1200"/>
        </w:tabs>
        <w:ind w:left="1200" w:hanging="360"/>
      </w:pPr>
      <w:rPr>
        <w:rFonts w:hint="default" w:ascii="Wingdings" w:hAnsi="Wingdings"/>
      </w:rPr>
    </w:lvl>
  </w:abstractNum>
  <w:abstractNum w:abstractNumId="15">
    <w:nsid w:val="00000019"/>
    <w:multiLevelType w:val="singleLevel"/>
    <w:tmpl w:val="00000019"/>
    <w:lvl w:ilvl="0" w:tentative="0">
      <w:start w:val="1"/>
      <w:numFmt w:val="decimal"/>
      <w:pStyle w:val="252"/>
      <w:lvlText w:val="%1)"/>
      <w:lvlJc w:val="left"/>
      <w:pPr>
        <w:tabs>
          <w:tab w:val="left" w:pos="425"/>
        </w:tabs>
        <w:ind w:left="425" w:hanging="425"/>
      </w:pPr>
      <w:rPr>
        <w:rFonts w:hint="eastAsia"/>
      </w:rPr>
    </w:lvl>
  </w:abstractNum>
  <w:abstractNum w:abstractNumId="16">
    <w:nsid w:val="0000001A"/>
    <w:multiLevelType w:val="multilevel"/>
    <w:tmpl w:val="0000001A"/>
    <w:lvl w:ilvl="0" w:tentative="0">
      <w:start w:val="1"/>
      <w:numFmt w:val="decimal"/>
      <w:pStyle w:val="15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1D"/>
    <w:multiLevelType w:val="multilevel"/>
    <w:tmpl w:val="0000001D"/>
    <w:lvl w:ilvl="0" w:tentative="0">
      <w:start w:val="1"/>
      <w:numFmt w:val="chineseCountingThousand"/>
      <w:pStyle w:val="18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302A01A0"/>
    <w:multiLevelType w:val="multilevel"/>
    <w:tmpl w:val="302A01A0"/>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4"/>
  </w:num>
  <w:num w:numId="4">
    <w:abstractNumId w:val="14"/>
  </w:num>
  <w:num w:numId="5">
    <w:abstractNumId w:val="9"/>
  </w:num>
  <w:num w:numId="6">
    <w:abstractNumId w:val="3"/>
  </w:num>
  <w:num w:numId="7">
    <w:abstractNumId w:val="16"/>
  </w:num>
  <w:num w:numId="8">
    <w:abstractNumId w:val="7"/>
  </w:num>
  <w:num w:numId="9">
    <w:abstractNumId w:val="13"/>
  </w:num>
  <w:num w:numId="10">
    <w:abstractNumId w:val="10"/>
  </w:num>
  <w:num w:numId="11">
    <w:abstractNumId w:val="17"/>
  </w:num>
  <w:num w:numId="12">
    <w:abstractNumId w:val="12"/>
  </w:num>
  <w:num w:numId="13">
    <w:abstractNumId w:val="8"/>
  </w:num>
  <w:num w:numId="14">
    <w:abstractNumId w:val="5"/>
  </w:num>
  <w:num w:numId="15">
    <w:abstractNumId w:val="15"/>
  </w:num>
  <w:num w:numId="16">
    <w:abstractNumId w:val="11"/>
  </w:num>
  <w:num w:numId="17">
    <w:abstractNumId w:val="0"/>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280"/>
  <w:drawingGridHorizontalSpacing w:val="140"/>
  <w:drawingGridVerticalSpacing w:val="38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2F0"/>
    <w:rsid w:val="00011AF1"/>
    <w:rsid w:val="00021946"/>
    <w:rsid w:val="000266A1"/>
    <w:rsid w:val="00034A67"/>
    <w:rsid w:val="0003767C"/>
    <w:rsid w:val="000376BA"/>
    <w:rsid w:val="00042250"/>
    <w:rsid w:val="00043311"/>
    <w:rsid w:val="00047EC0"/>
    <w:rsid w:val="00056058"/>
    <w:rsid w:val="00060807"/>
    <w:rsid w:val="00063ABE"/>
    <w:rsid w:val="0006572E"/>
    <w:rsid w:val="00067E27"/>
    <w:rsid w:val="0007289F"/>
    <w:rsid w:val="00075520"/>
    <w:rsid w:val="000919FD"/>
    <w:rsid w:val="000946BD"/>
    <w:rsid w:val="00094D91"/>
    <w:rsid w:val="000A5589"/>
    <w:rsid w:val="000B2716"/>
    <w:rsid w:val="000C2017"/>
    <w:rsid w:val="000E43DC"/>
    <w:rsid w:val="000F16AA"/>
    <w:rsid w:val="000F176A"/>
    <w:rsid w:val="000F1F83"/>
    <w:rsid w:val="000F4C4D"/>
    <w:rsid w:val="001103D7"/>
    <w:rsid w:val="00110AA3"/>
    <w:rsid w:val="0011194D"/>
    <w:rsid w:val="00135250"/>
    <w:rsid w:val="001407F6"/>
    <w:rsid w:val="0014319C"/>
    <w:rsid w:val="001528E5"/>
    <w:rsid w:val="00161645"/>
    <w:rsid w:val="00175368"/>
    <w:rsid w:val="001767A8"/>
    <w:rsid w:val="001864B0"/>
    <w:rsid w:val="00194910"/>
    <w:rsid w:val="001A0940"/>
    <w:rsid w:val="001B7C8C"/>
    <w:rsid w:val="001C24D4"/>
    <w:rsid w:val="001C71AD"/>
    <w:rsid w:val="001D3B7E"/>
    <w:rsid w:val="001E0AC9"/>
    <w:rsid w:val="001E13AD"/>
    <w:rsid w:val="001E2993"/>
    <w:rsid w:val="001E4F32"/>
    <w:rsid w:val="00217C0F"/>
    <w:rsid w:val="00223B03"/>
    <w:rsid w:val="0022711C"/>
    <w:rsid w:val="00233AFE"/>
    <w:rsid w:val="00234507"/>
    <w:rsid w:val="002435D0"/>
    <w:rsid w:val="00243F8F"/>
    <w:rsid w:val="00252999"/>
    <w:rsid w:val="0025308A"/>
    <w:rsid w:val="0025601D"/>
    <w:rsid w:val="00257FF1"/>
    <w:rsid w:val="00262267"/>
    <w:rsid w:val="00263F00"/>
    <w:rsid w:val="00264A68"/>
    <w:rsid w:val="002704A3"/>
    <w:rsid w:val="00274C2A"/>
    <w:rsid w:val="0028066C"/>
    <w:rsid w:val="002833CF"/>
    <w:rsid w:val="0029022C"/>
    <w:rsid w:val="002A0576"/>
    <w:rsid w:val="002B0DAA"/>
    <w:rsid w:val="002B26F0"/>
    <w:rsid w:val="002B797F"/>
    <w:rsid w:val="002C6836"/>
    <w:rsid w:val="002C7F2B"/>
    <w:rsid w:val="002D2F75"/>
    <w:rsid w:val="002E0FB6"/>
    <w:rsid w:val="002E1597"/>
    <w:rsid w:val="002E2816"/>
    <w:rsid w:val="002E41DF"/>
    <w:rsid w:val="002E6DFA"/>
    <w:rsid w:val="002E72FA"/>
    <w:rsid w:val="002F1086"/>
    <w:rsid w:val="002F584D"/>
    <w:rsid w:val="002F5EEF"/>
    <w:rsid w:val="00307F68"/>
    <w:rsid w:val="003231A8"/>
    <w:rsid w:val="00326D46"/>
    <w:rsid w:val="00331597"/>
    <w:rsid w:val="0033541F"/>
    <w:rsid w:val="00344FF3"/>
    <w:rsid w:val="003454AF"/>
    <w:rsid w:val="00370BF4"/>
    <w:rsid w:val="0037169E"/>
    <w:rsid w:val="00375060"/>
    <w:rsid w:val="00383C9F"/>
    <w:rsid w:val="0038635F"/>
    <w:rsid w:val="003902F6"/>
    <w:rsid w:val="00390541"/>
    <w:rsid w:val="003A0D6F"/>
    <w:rsid w:val="003A4636"/>
    <w:rsid w:val="003C3995"/>
    <w:rsid w:val="003D0992"/>
    <w:rsid w:val="003D1F45"/>
    <w:rsid w:val="003E5E95"/>
    <w:rsid w:val="003E699F"/>
    <w:rsid w:val="003F2CFF"/>
    <w:rsid w:val="003F407F"/>
    <w:rsid w:val="003F5BC7"/>
    <w:rsid w:val="0040154D"/>
    <w:rsid w:val="00405D7D"/>
    <w:rsid w:val="0040799A"/>
    <w:rsid w:val="00410D92"/>
    <w:rsid w:val="00411C41"/>
    <w:rsid w:val="004157DD"/>
    <w:rsid w:val="00415899"/>
    <w:rsid w:val="00422860"/>
    <w:rsid w:val="00425B08"/>
    <w:rsid w:val="00427F21"/>
    <w:rsid w:val="00442474"/>
    <w:rsid w:val="0044361E"/>
    <w:rsid w:val="0045181E"/>
    <w:rsid w:val="00453721"/>
    <w:rsid w:val="00454511"/>
    <w:rsid w:val="0045590E"/>
    <w:rsid w:val="00460D82"/>
    <w:rsid w:val="00475385"/>
    <w:rsid w:val="0047562B"/>
    <w:rsid w:val="0048396B"/>
    <w:rsid w:val="00485174"/>
    <w:rsid w:val="00487CDA"/>
    <w:rsid w:val="00494A22"/>
    <w:rsid w:val="004978F0"/>
    <w:rsid w:val="00497DCC"/>
    <w:rsid w:val="004A0052"/>
    <w:rsid w:val="004A263F"/>
    <w:rsid w:val="004B1497"/>
    <w:rsid w:val="004B6CA6"/>
    <w:rsid w:val="004B7FE0"/>
    <w:rsid w:val="004C1FC5"/>
    <w:rsid w:val="004C2A6E"/>
    <w:rsid w:val="004C6147"/>
    <w:rsid w:val="004D009E"/>
    <w:rsid w:val="004E257E"/>
    <w:rsid w:val="004F295B"/>
    <w:rsid w:val="005016D9"/>
    <w:rsid w:val="00502629"/>
    <w:rsid w:val="00505396"/>
    <w:rsid w:val="00513A31"/>
    <w:rsid w:val="00513CBD"/>
    <w:rsid w:val="00525E4A"/>
    <w:rsid w:val="005263CD"/>
    <w:rsid w:val="00537C42"/>
    <w:rsid w:val="00541231"/>
    <w:rsid w:val="00546C36"/>
    <w:rsid w:val="0055311C"/>
    <w:rsid w:val="005645D3"/>
    <w:rsid w:val="00566CBB"/>
    <w:rsid w:val="00567434"/>
    <w:rsid w:val="00581938"/>
    <w:rsid w:val="005844C3"/>
    <w:rsid w:val="00586FDF"/>
    <w:rsid w:val="00587496"/>
    <w:rsid w:val="00594EBB"/>
    <w:rsid w:val="005A18A4"/>
    <w:rsid w:val="005A56A5"/>
    <w:rsid w:val="005A6846"/>
    <w:rsid w:val="005B1105"/>
    <w:rsid w:val="005B1829"/>
    <w:rsid w:val="005B5D00"/>
    <w:rsid w:val="005C1CAD"/>
    <w:rsid w:val="005C4345"/>
    <w:rsid w:val="005D2A0E"/>
    <w:rsid w:val="005D2F52"/>
    <w:rsid w:val="005E0DDE"/>
    <w:rsid w:val="005E117E"/>
    <w:rsid w:val="005E12B4"/>
    <w:rsid w:val="005E7B12"/>
    <w:rsid w:val="005F5262"/>
    <w:rsid w:val="005F65A7"/>
    <w:rsid w:val="00600DF2"/>
    <w:rsid w:val="00601283"/>
    <w:rsid w:val="006016E0"/>
    <w:rsid w:val="0060469C"/>
    <w:rsid w:val="006061D4"/>
    <w:rsid w:val="00616EC6"/>
    <w:rsid w:val="00633602"/>
    <w:rsid w:val="006341BD"/>
    <w:rsid w:val="00636C1F"/>
    <w:rsid w:val="00641B25"/>
    <w:rsid w:val="00643928"/>
    <w:rsid w:val="00643C81"/>
    <w:rsid w:val="006456C7"/>
    <w:rsid w:val="00647905"/>
    <w:rsid w:val="00653FC4"/>
    <w:rsid w:val="006558D7"/>
    <w:rsid w:val="00655CB3"/>
    <w:rsid w:val="006661A4"/>
    <w:rsid w:val="0066764A"/>
    <w:rsid w:val="00675735"/>
    <w:rsid w:val="00675E52"/>
    <w:rsid w:val="006800A2"/>
    <w:rsid w:val="00680CC4"/>
    <w:rsid w:val="00680EEC"/>
    <w:rsid w:val="0068367F"/>
    <w:rsid w:val="00687999"/>
    <w:rsid w:val="00692295"/>
    <w:rsid w:val="00696EEA"/>
    <w:rsid w:val="006A0B45"/>
    <w:rsid w:val="006A3DC1"/>
    <w:rsid w:val="006A5644"/>
    <w:rsid w:val="006A71EB"/>
    <w:rsid w:val="006A7FBD"/>
    <w:rsid w:val="006C236F"/>
    <w:rsid w:val="006C32BC"/>
    <w:rsid w:val="006C4663"/>
    <w:rsid w:val="006D7125"/>
    <w:rsid w:val="006E016E"/>
    <w:rsid w:val="006E2F2B"/>
    <w:rsid w:val="006F1A60"/>
    <w:rsid w:val="006F7B0F"/>
    <w:rsid w:val="00701E8B"/>
    <w:rsid w:val="0070514A"/>
    <w:rsid w:val="007070E3"/>
    <w:rsid w:val="007101F0"/>
    <w:rsid w:val="00723B56"/>
    <w:rsid w:val="00730B80"/>
    <w:rsid w:val="007440E6"/>
    <w:rsid w:val="007445DB"/>
    <w:rsid w:val="00751BD7"/>
    <w:rsid w:val="00757139"/>
    <w:rsid w:val="00757EAA"/>
    <w:rsid w:val="007613AA"/>
    <w:rsid w:val="007615A8"/>
    <w:rsid w:val="00761C88"/>
    <w:rsid w:val="00761E7F"/>
    <w:rsid w:val="007629D1"/>
    <w:rsid w:val="00762B37"/>
    <w:rsid w:val="007641FC"/>
    <w:rsid w:val="0077586D"/>
    <w:rsid w:val="00781B69"/>
    <w:rsid w:val="00781E90"/>
    <w:rsid w:val="00783AF5"/>
    <w:rsid w:val="007843B7"/>
    <w:rsid w:val="007914CB"/>
    <w:rsid w:val="007977A7"/>
    <w:rsid w:val="007A1958"/>
    <w:rsid w:val="007A1D16"/>
    <w:rsid w:val="007A3B17"/>
    <w:rsid w:val="007A4D8F"/>
    <w:rsid w:val="007B08DC"/>
    <w:rsid w:val="007D5328"/>
    <w:rsid w:val="007E0FF7"/>
    <w:rsid w:val="007E7604"/>
    <w:rsid w:val="007F13DC"/>
    <w:rsid w:val="007F396F"/>
    <w:rsid w:val="007F3ED7"/>
    <w:rsid w:val="00813DCB"/>
    <w:rsid w:val="00820974"/>
    <w:rsid w:val="00823323"/>
    <w:rsid w:val="00836907"/>
    <w:rsid w:val="00846038"/>
    <w:rsid w:val="00850495"/>
    <w:rsid w:val="008550EB"/>
    <w:rsid w:val="0086007F"/>
    <w:rsid w:val="00860FA0"/>
    <w:rsid w:val="008653C0"/>
    <w:rsid w:val="00867787"/>
    <w:rsid w:val="00872CE0"/>
    <w:rsid w:val="008805E7"/>
    <w:rsid w:val="008808B5"/>
    <w:rsid w:val="00883ADD"/>
    <w:rsid w:val="00884FA6"/>
    <w:rsid w:val="00885CBF"/>
    <w:rsid w:val="0088645C"/>
    <w:rsid w:val="00887F44"/>
    <w:rsid w:val="00897EEC"/>
    <w:rsid w:val="008A0CEB"/>
    <w:rsid w:val="008A6DB1"/>
    <w:rsid w:val="008C0317"/>
    <w:rsid w:val="008C4238"/>
    <w:rsid w:val="008C54D0"/>
    <w:rsid w:val="008C5917"/>
    <w:rsid w:val="008D2134"/>
    <w:rsid w:val="008D2FB6"/>
    <w:rsid w:val="008D5D99"/>
    <w:rsid w:val="008E19F1"/>
    <w:rsid w:val="008E4A4A"/>
    <w:rsid w:val="008E6807"/>
    <w:rsid w:val="008F0CB3"/>
    <w:rsid w:val="008F63A4"/>
    <w:rsid w:val="008F6B0B"/>
    <w:rsid w:val="008F7FC7"/>
    <w:rsid w:val="00902AF4"/>
    <w:rsid w:val="00906CF9"/>
    <w:rsid w:val="00907D95"/>
    <w:rsid w:val="009111F7"/>
    <w:rsid w:val="00923C4C"/>
    <w:rsid w:val="0092759C"/>
    <w:rsid w:val="00932299"/>
    <w:rsid w:val="00934B7C"/>
    <w:rsid w:val="009431CE"/>
    <w:rsid w:val="0094771A"/>
    <w:rsid w:val="00952A37"/>
    <w:rsid w:val="00952BB5"/>
    <w:rsid w:val="0095360A"/>
    <w:rsid w:val="00965D3C"/>
    <w:rsid w:val="009704E8"/>
    <w:rsid w:val="00971635"/>
    <w:rsid w:val="00977EA2"/>
    <w:rsid w:val="009815D1"/>
    <w:rsid w:val="009847F2"/>
    <w:rsid w:val="009931BD"/>
    <w:rsid w:val="00993E75"/>
    <w:rsid w:val="009954A6"/>
    <w:rsid w:val="009961AF"/>
    <w:rsid w:val="00997ED7"/>
    <w:rsid w:val="009A1B99"/>
    <w:rsid w:val="009A2F0C"/>
    <w:rsid w:val="009A559F"/>
    <w:rsid w:val="009B7144"/>
    <w:rsid w:val="009C33FD"/>
    <w:rsid w:val="009C6566"/>
    <w:rsid w:val="009D3468"/>
    <w:rsid w:val="009D3B7C"/>
    <w:rsid w:val="009E6755"/>
    <w:rsid w:val="009E7274"/>
    <w:rsid w:val="009F3F85"/>
    <w:rsid w:val="009F51F7"/>
    <w:rsid w:val="009F62AD"/>
    <w:rsid w:val="00A03117"/>
    <w:rsid w:val="00A05776"/>
    <w:rsid w:val="00A216BD"/>
    <w:rsid w:val="00A33DAC"/>
    <w:rsid w:val="00A348D5"/>
    <w:rsid w:val="00A36EAF"/>
    <w:rsid w:val="00A372DF"/>
    <w:rsid w:val="00A43B02"/>
    <w:rsid w:val="00A43BFA"/>
    <w:rsid w:val="00A52466"/>
    <w:rsid w:val="00A63131"/>
    <w:rsid w:val="00A70CFF"/>
    <w:rsid w:val="00A84CC4"/>
    <w:rsid w:val="00A85534"/>
    <w:rsid w:val="00A85AFE"/>
    <w:rsid w:val="00A87965"/>
    <w:rsid w:val="00A96FAC"/>
    <w:rsid w:val="00AA178F"/>
    <w:rsid w:val="00AA29D5"/>
    <w:rsid w:val="00AA3559"/>
    <w:rsid w:val="00AA3A39"/>
    <w:rsid w:val="00AA3DB5"/>
    <w:rsid w:val="00AA3EA9"/>
    <w:rsid w:val="00AA5FAE"/>
    <w:rsid w:val="00AB65A4"/>
    <w:rsid w:val="00AB77E1"/>
    <w:rsid w:val="00AC0D4B"/>
    <w:rsid w:val="00AC34CB"/>
    <w:rsid w:val="00AC7E13"/>
    <w:rsid w:val="00AD7D27"/>
    <w:rsid w:val="00AE6D6B"/>
    <w:rsid w:val="00AE6E1E"/>
    <w:rsid w:val="00AE7B9D"/>
    <w:rsid w:val="00B03427"/>
    <w:rsid w:val="00B10447"/>
    <w:rsid w:val="00B15553"/>
    <w:rsid w:val="00B2083A"/>
    <w:rsid w:val="00B20DE3"/>
    <w:rsid w:val="00B22B74"/>
    <w:rsid w:val="00B279B7"/>
    <w:rsid w:val="00B31D6B"/>
    <w:rsid w:val="00B332F8"/>
    <w:rsid w:val="00B40E48"/>
    <w:rsid w:val="00B46AE5"/>
    <w:rsid w:val="00B47211"/>
    <w:rsid w:val="00B477F3"/>
    <w:rsid w:val="00B479A2"/>
    <w:rsid w:val="00B54C95"/>
    <w:rsid w:val="00B61D5E"/>
    <w:rsid w:val="00B66F07"/>
    <w:rsid w:val="00B744BA"/>
    <w:rsid w:val="00B74E30"/>
    <w:rsid w:val="00B754BB"/>
    <w:rsid w:val="00B82429"/>
    <w:rsid w:val="00B82C14"/>
    <w:rsid w:val="00B83E7A"/>
    <w:rsid w:val="00B9347F"/>
    <w:rsid w:val="00B94DDB"/>
    <w:rsid w:val="00B964E1"/>
    <w:rsid w:val="00BA0493"/>
    <w:rsid w:val="00BA33A9"/>
    <w:rsid w:val="00BA4C26"/>
    <w:rsid w:val="00BB37C5"/>
    <w:rsid w:val="00BB481C"/>
    <w:rsid w:val="00BC02E9"/>
    <w:rsid w:val="00BC1F99"/>
    <w:rsid w:val="00BC4871"/>
    <w:rsid w:val="00BC4D5D"/>
    <w:rsid w:val="00BC521D"/>
    <w:rsid w:val="00BC7CD5"/>
    <w:rsid w:val="00BD328B"/>
    <w:rsid w:val="00BD5D5C"/>
    <w:rsid w:val="00BD6D76"/>
    <w:rsid w:val="00BE200A"/>
    <w:rsid w:val="00BF297A"/>
    <w:rsid w:val="00BF4212"/>
    <w:rsid w:val="00C005CB"/>
    <w:rsid w:val="00C11DF3"/>
    <w:rsid w:val="00C22FB5"/>
    <w:rsid w:val="00C23C59"/>
    <w:rsid w:val="00C33B44"/>
    <w:rsid w:val="00C35F43"/>
    <w:rsid w:val="00C3773D"/>
    <w:rsid w:val="00C423BA"/>
    <w:rsid w:val="00C45ACD"/>
    <w:rsid w:val="00C558E6"/>
    <w:rsid w:val="00C62A1C"/>
    <w:rsid w:val="00C71166"/>
    <w:rsid w:val="00C71788"/>
    <w:rsid w:val="00C74BE1"/>
    <w:rsid w:val="00C778A3"/>
    <w:rsid w:val="00C7796A"/>
    <w:rsid w:val="00C815BF"/>
    <w:rsid w:val="00C8267B"/>
    <w:rsid w:val="00C8289A"/>
    <w:rsid w:val="00C90DCF"/>
    <w:rsid w:val="00C95622"/>
    <w:rsid w:val="00CA35F2"/>
    <w:rsid w:val="00CA4768"/>
    <w:rsid w:val="00CB1B17"/>
    <w:rsid w:val="00CB610C"/>
    <w:rsid w:val="00CB779B"/>
    <w:rsid w:val="00CC60A8"/>
    <w:rsid w:val="00CC658E"/>
    <w:rsid w:val="00CD07B0"/>
    <w:rsid w:val="00CD2D74"/>
    <w:rsid w:val="00CD793C"/>
    <w:rsid w:val="00CE69EB"/>
    <w:rsid w:val="00CE6A29"/>
    <w:rsid w:val="00CF7D09"/>
    <w:rsid w:val="00D00074"/>
    <w:rsid w:val="00D004DE"/>
    <w:rsid w:val="00D175E6"/>
    <w:rsid w:val="00D2387A"/>
    <w:rsid w:val="00D32E09"/>
    <w:rsid w:val="00D33903"/>
    <w:rsid w:val="00D37ABC"/>
    <w:rsid w:val="00D40ED4"/>
    <w:rsid w:val="00D5598F"/>
    <w:rsid w:val="00D56691"/>
    <w:rsid w:val="00D629C4"/>
    <w:rsid w:val="00D70362"/>
    <w:rsid w:val="00D72A76"/>
    <w:rsid w:val="00D771DD"/>
    <w:rsid w:val="00D93E8A"/>
    <w:rsid w:val="00D95EF5"/>
    <w:rsid w:val="00D96D4D"/>
    <w:rsid w:val="00DA3209"/>
    <w:rsid w:val="00DA46EA"/>
    <w:rsid w:val="00DA473D"/>
    <w:rsid w:val="00DA5311"/>
    <w:rsid w:val="00DB136B"/>
    <w:rsid w:val="00DB1DD6"/>
    <w:rsid w:val="00DB361F"/>
    <w:rsid w:val="00DB4665"/>
    <w:rsid w:val="00DB54D4"/>
    <w:rsid w:val="00DB556A"/>
    <w:rsid w:val="00DB7DF8"/>
    <w:rsid w:val="00DC1093"/>
    <w:rsid w:val="00DC16CA"/>
    <w:rsid w:val="00DC1D65"/>
    <w:rsid w:val="00DC663A"/>
    <w:rsid w:val="00DC68A9"/>
    <w:rsid w:val="00DD0496"/>
    <w:rsid w:val="00DD16EF"/>
    <w:rsid w:val="00DD40E6"/>
    <w:rsid w:val="00DD502D"/>
    <w:rsid w:val="00DE4E0A"/>
    <w:rsid w:val="00DE63D8"/>
    <w:rsid w:val="00DF264F"/>
    <w:rsid w:val="00DF348E"/>
    <w:rsid w:val="00DF461B"/>
    <w:rsid w:val="00E0374D"/>
    <w:rsid w:val="00E03A0F"/>
    <w:rsid w:val="00E1306B"/>
    <w:rsid w:val="00E15AE5"/>
    <w:rsid w:val="00E24142"/>
    <w:rsid w:val="00E30B66"/>
    <w:rsid w:val="00E31BE7"/>
    <w:rsid w:val="00E40D07"/>
    <w:rsid w:val="00E447EB"/>
    <w:rsid w:val="00E60B6E"/>
    <w:rsid w:val="00E635B6"/>
    <w:rsid w:val="00E75622"/>
    <w:rsid w:val="00E814F3"/>
    <w:rsid w:val="00E93790"/>
    <w:rsid w:val="00EA09A7"/>
    <w:rsid w:val="00EA229F"/>
    <w:rsid w:val="00EA5253"/>
    <w:rsid w:val="00EB30B3"/>
    <w:rsid w:val="00EB3F9C"/>
    <w:rsid w:val="00EC53CC"/>
    <w:rsid w:val="00ED2120"/>
    <w:rsid w:val="00ED51FD"/>
    <w:rsid w:val="00EE46A0"/>
    <w:rsid w:val="00EE4B26"/>
    <w:rsid w:val="00EE50D3"/>
    <w:rsid w:val="00EE6FB0"/>
    <w:rsid w:val="00EE719A"/>
    <w:rsid w:val="00EF0CF7"/>
    <w:rsid w:val="00EF7979"/>
    <w:rsid w:val="00EF7D65"/>
    <w:rsid w:val="00F028F2"/>
    <w:rsid w:val="00F06FCC"/>
    <w:rsid w:val="00F11682"/>
    <w:rsid w:val="00F1212C"/>
    <w:rsid w:val="00F26781"/>
    <w:rsid w:val="00F35E18"/>
    <w:rsid w:val="00F35E99"/>
    <w:rsid w:val="00F5045C"/>
    <w:rsid w:val="00F54684"/>
    <w:rsid w:val="00F60AC5"/>
    <w:rsid w:val="00F65F78"/>
    <w:rsid w:val="00F664D2"/>
    <w:rsid w:val="00F753A8"/>
    <w:rsid w:val="00F7735B"/>
    <w:rsid w:val="00F81532"/>
    <w:rsid w:val="00F830A4"/>
    <w:rsid w:val="00F91D96"/>
    <w:rsid w:val="00FA422E"/>
    <w:rsid w:val="00FA65AC"/>
    <w:rsid w:val="00FA72B1"/>
    <w:rsid w:val="00FB26B3"/>
    <w:rsid w:val="00FB7965"/>
    <w:rsid w:val="00FC059C"/>
    <w:rsid w:val="00FC10F7"/>
    <w:rsid w:val="00FC6A7B"/>
    <w:rsid w:val="00FD20D2"/>
    <w:rsid w:val="00FD5C43"/>
    <w:rsid w:val="00FF2459"/>
    <w:rsid w:val="00FF2D68"/>
    <w:rsid w:val="00FF7EB1"/>
    <w:rsid w:val="018C74A1"/>
    <w:rsid w:val="01D6682F"/>
    <w:rsid w:val="01DF13DB"/>
    <w:rsid w:val="02315502"/>
    <w:rsid w:val="03B24683"/>
    <w:rsid w:val="03DA00E4"/>
    <w:rsid w:val="03DC0089"/>
    <w:rsid w:val="042329D7"/>
    <w:rsid w:val="04377FA3"/>
    <w:rsid w:val="04C03E7A"/>
    <w:rsid w:val="04D3081F"/>
    <w:rsid w:val="053E7713"/>
    <w:rsid w:val="05477D60"/>
    <w:rsid w:val="05CC7628"/>
    <w:rsid w:val="06041362"/>
    <w:rsid w:val="06252F6E"/>
    <w:rsid w:val="06A10DE1"/>
    <w:rsid w:val="06B04642"/>
    <w:rsid w:val="06ED4C16"/>
    <w:rsid w:val="07247725"/>
    <w:rsid w:val="07541B38"/>
    <w:rsid w:val="07DF75F3"/>
    <w:rsid w:val="083A6992"/>
    <w:rsid w:val="085A6FA2"/>
    <w:rsid w:val="08B01209"/>
    <w:rsid w:val="093061E5"/>
    <w:rsid w:val="09320823"/>
    <w:rsid w:val="098D3195"/>
    <w:rsid w:val="09B23793"/>
    <w:rsid w:val="09DA02D6"/>
    <w:rsid w:val="0A124246"/>
    <w:rsid w:val="0A53157A"/>
    <w:rsid w:val="0BC92EFE"/>
    <w:rsid w:val="0BF05EC7"/>
    <w:rsid w:val="0BFB13A9"/>
    <w:rsid w:val="0C0746ED"/>
    <w:rsid w:val="0C1A1160"/>
    <w:rsid w:val="0C4517E3"/>
    <w:rsid w:val="0C5E63B2"/>
    <w:rsid w:val="0CC91F65"/>
    <w:rsid w:val="0D0732B3"/>
    <w:rsid w:val="0D3F76B2"/>
    <w:rsid w:val="0D5121BA"/>
    <w:rsid w:val="0E0C4296"/>
    <w:rsid w:val="0EA0191C"/>
    <w:rsid w:val="0F1D5319"/>
    <w:rsid w:val="0F5D1CC2"/>
    <w:rsid w:val="0F721FD0"/>
    <w:rsid w:val="0FDF008E"/>
    <w:rsid w:val="10233592"/>
    <w:rsid w:val="102E507C"/>
    <w:rsid w:val="10865D45"/>
    <w:rsid w:val="11C455E5"/>
    <w:rsid w:val="11F00431"/>
    <w:rsid w:val="12AB6BE7"/>
    <w:rsid w:val="12AC5872"/>
    <w:rsid w:val="13423683"/>
    <w:rsid w:val="134715EF"/>
    <w:rsid w:val="13B14A66"/>
    <w:rsid w:val="13E87BEC"/>
    <w:rsid w:val="13FE0020"/>
    <w:rsid w:val="14536655"/>
    <w:rsid w:val="14582B42"/>
    <w:rsid w:val="14A82BC7"/>
    <w:rsid w:val="14B803D9"/>
    <w:rsid w:val="1513449C"/>
    <w:rsid w:val="151E3CDC"/>
    <w:rsid w:val="162C7709"/>
    <w:rsid w:val="163A3DAC"/>
    <w:rsid w:val="16430B34"/>
    <w:rsid w:val="164933CA"/>
    <w:rsid w:val="16A7735A"/>
    <w:rsid w:val="17BB4710"/>
    <w:rsid w:val="17F6029A"/>
    <w:rsid w:val="183F09DB"/>
    <w:rsid w:val="18806972"/>
    <w:rsid w:val="188D6B1D"/>
    <w:rsid w:val="18D233EA"/>
    <w:rsid w:val="19663FA6"/>
    <w:rsid w:val="1A694E1F"/>
    <w:rsid w:val="1A9F1945"/>
    <w:rsid w:val="1ACA4D42"/>
    <w:rsid w:val="1ACF0A8A"/>
    <w:rsid w:val="1B0E24D6"/>
    <w:rsid w:val="1B1B64B1"/>
    <w:rsid w:val="1B311F1F"/>
    <w:rsid w:val="1B5511FF"/>
    <w:rsid w:val="1C595F3C"/>
    <w:rsid w:val="1CC4307B"/>
    <w:rsid w:val="1CDE481A"/>
    <w:rsid w:val="1CE70B0E"/>
    <w:rsid w:val="1D0C2F2E"/>
    <w:rsid w:val="1D29353A"/>
    <w:rsid w:val="1D4607FC"/>
    <w:rsid w:val="1E457198"/>
    <w:rsid w:val="1EA54A52"/>
    <w:rsid w:val="1F523299"/>
    <w:rsid w:val="1FC07E45"/>
    <w:rsid w:val="202F47C0"/>
    <w:rsid w:val="20466BA3"/>
    <w:rsid w:val="205B093B"/>
    <w:rsid w:val="209D27D7"/>
    <w:rsid w:val="20BA29A4"/>
    <w:rsid w:val="20C663AC"/>
    <w:rsid w:val="219B6862"/>
    <w:rsid w:val="21C27F40"/>
    <w:rsid w:val="220740CD"/>
    <w:rsid w:val="22BB70D5"/>
    <w:rsid w:val="22D14185"/>
    <w:rsid w:val="23390068"/>
    <w:rsid w:val="23AB025A"/>
    <w:rsid w:val="23FE6AD2"/>
    <w:rsid w:val="243F0AC6"/>
    <w:rsid w:val="24C87208"/>
    <w:rsid w:val="24EA27BA"/>
    <w:rsid w:val="25263EED"/>
    <w:rsid w:val="255B6AEA"/>
    <w:rsid w:val="25DA134E"/>
    <w:rsid w:val="25E043A3"/>
    <w:rsid w:val="25E46FDC"/>
    <w:rsid w:val="260A1D17"/>
    <w:rsid w:val="2616203F"/>
    <w:rsid w:val="261E4778"/>
    <w:rsid w:val="2626472F"/>
    <w:rsid w:val="26967A6B"/>
    <w:rsid w:val="26BF1B1B"/>
    <w:rsid w:val="26CA0E11"/>
    <w:rsid w:val="270951CA"/>
    <w:rsid w:val="27560AC6"/>
    <w:rsid w:val="277C782C"/>
    <w:rsid w:val="27AC765B"/>
    <w:rsid w:val="27B60235"/>
    <w:rsid w:val="27C329E3"/>
    <w:rsid w:val="28076CFA"/>
    <w:rsid w:val="282147D0"/>
    <w:rsid w:val="28285619"/>
    <w:rsid w:val="283C6975"/>
    <w:rsid w:val="28AC5385"/>
    <w:rsid w:val="28B047AE"/>
    <w:rsid w:val="28FD1D99"/>
    <w:rsid w:val="29461364"/>
    <w:rsid w:val="295F7F38"/>
    <w:rsid w:val="29A36E88"/>
    <w:rsid w:val="29A47F3F"/>
    <w:rsid w:val="2A74678F"/>
    <w:rsid w:val="2A7C23D2"/>
    <w:rsid w:val="2AE12B57"/>
    <w:rsid w:val="2AF630E1"/>
    <w:rsid w:val="2AFD17FC"/>
    <w:rsid w:val="2B032048"/>
    <w:rsid w:val="2B8056E8"/>
    <w:rsid w:val="2BC8692D"/>
    <w:rsid w:val="2BEA11A0"/>
    <w:rsid w:val="2C55234A"/>
    <w:rsid w:val="2C6D2AB2"/>
    <w:rsid w:val="2C8C7D85"/>
    <w:rsid w:val="2CC0355F"/>
    <w:rsid w:val="2F362FDD"/>
    <w:rsid w:val="2F672174"/>
    <w:rsid w:val="2F792345"/>
    <w:rsid w:val="2FDA5ED6"/>
    <w:rsid w:val="308A6AF3"/>
    <w:rsid w:val="30CE5037"/>
    <w:rsid w:val="31073251"/>
    <w:rsid w:val="31407D44"/>
    <w:rsid w:val="316C56ED"/>
    <w:rsid w:val="31724863"/>
    <w:rsid w:val="31DE2412"/>
    <w:rsid w:val="31F75D23"/>
    <w:rsid w:val="32617084"/>
    <w:rsid w:val="32824FB0"/>
    <w:rsid w:val="331251F2"/>
    <w:rsid w:val="33696298"/>
    <w:rsid w:val="338617EE"/>
    <w:rsid w:val="3399493D"/>
    <w:rsid w:val="33BB36A3"/>
    <w:rsid w:val="34095A9F"/>
    <w:rsid w:val="340E208D"/>
    <w:rsid w:val="34396A03"/>
    <w:rsid w:val="344A2319"/>
    <w:rsid w:val="344D314D"/>
    <w:rsid w:val="34CF7688"/>
    <w:rsid w:val="34EB168F"/>
    <w:rsid w:val="3534149C"/>
    <w:rsid w:val="35607344"/>
    <w:rsid w:val="35810FDD"/>
    <w:rsid w:val="362A515C"/>
    <w:rsid w:val="36817F36"/>
    <w:rsid w:val="3749671E"/>
    <w:rsid w:val="374B3116"/>
    <w:rsid w:val="375A56F2"/>
    <w:rsid w:val="37A370F1"/>
    <w:rsid w:val="38440DA4"/>
    <w:rsid w:val="38A45671"/>
    <w:rsid w:val="38BE4C92"/>
    <w:rsid w:val="38F75542"/>
    <w:rsid w:val="38FF37B5"/>
    <w:rsid w:val="393731E4"/>
    <w:rsid w:val="39A5172D"/>
    <w:rsid w:val="39BD4D51"/>
    <w:rsid w:val="39F77EBD"/>
    <w:rsid w:val="3A5E61DD"/>
    <w:rsid w:val="3A8E21D6"/>
    <w:rsid w:val="3A9027C7"/>
    <w:rsid w:val="3ADF266E"/>
    <w:rsid w:val="3B5E59FA"/>
    <w:rsid w:val="3B834610"/>
    <w:rsid w:val="3C1E493A"/>
    <w:rsid w:val="3C23384D"/>
    <w:rsid w:val="3C491C9D"/>
    <w:rsid w:val="3C835D7F"/>
    <w:rsid w:val="3E192B67"/>
    <w:rsid w:val="3E1E2E76"/>
    <w:rsid w:val="3E404BB9"/>
    <w:rsid w:val="3E6B5D84"/>
    <w:rsid w:val="3E8931AF"/>
    <w:rsid w:val="3EEE78A8"/>
    <w:rsid w:val="3F177B6A"/>
    <w:rsid w:val="3F1A62DB"/>
    <w:rsid w:val="3F3F004B"/>
    <w:rsid w:val="3F647AFE"/>
    <w:rsid w:val="3FA31687"/>
    <w:rsid w:val="3FDE490E"/>
    <w:rsid w:val="40587825"/>
    <w:rsid w:val="405C53EF"/>
    <w:rsid w:val="40795309"/>
    <w:rsid w:val="4173067F"/>
    <w:rsid w:val="41764DF5"/>
    <w:rsid w:val="41813F01"/>
    <w:rsid w:val="418D14E3"/>
    <w:rsid w:val="41964D78"/>
    <w:rsid w:val="41CE2CCB"/>
    <w:rsid w:val="41D306BF"/>
    <w:rsid w:val="422D635B"/>
    <w:rsid w:val="4254131B"/>
    <w:rsid w:val="42EB7A97"/>
    <w:rsid w:val="43156C34"/>
    <w:rsid w:val="431852F7"/>
    <w:rsid w:val="43263274"/>
    <w:rsid w:val="433B662D"/>
    <w:rsid w:val="447A7F17"/>
    <w:rsid w:val="45551C1F"/>
    <w:rsid w:val="45585719"/>
    <w:rsid w:val="455A1F22"/>
    <w:rsid w:val="455F502C"/>
    <w:rsid w:val="459553D1"/>
    <w:rsid w:val="46113E62"/>
    <w:rsid w:val="46377193"/>
    <w:rsid w:val="46A05F01"/>
    <w:rsid w:val="46A874D2"/>
    <w:rsid w:val="46DB091C"/>
    <w:rsid w:val="47026107"/>
    <w:rsid w:val="478E0400"/>
    <w:rsid w:val="47B80F35"/>
    <w:rsid w:val="47C81042"/>
    <w:rsid w:val="485A75C6"/>
    <w:rsid w:val="48BD3BA5"/>
    <w:rsid w:val="494B19CF"/>
    <w:rsid w:val="496B0157"/>
    <w:rsid w:val="49856D42"/>
    <w:rsid w:val="49AF63D8"/>
    <w:rsid w:val="49B82AD0"/>
    <w:rsid w:val="49D26997"/>
    <w:rsid w:val="49E2101F"/>
    <w:rsid w:val="4A4961F9"/>
    <w:rsid w:val="4A4B4B96"/>
    <w:rsid w:val="4B6F0CFF"/>
    <w:rsid w:val="4BA845AB"/>
    <w:rsid w:val="4BEA226E"/>
    <w:rsid w:val="4C4E15BC"/>
    <w:rsid w:val="4C7E4662"/>
    <w:rsid w:val="4CB54432"/>
    <w:rsid w:val="4CE45F91"/>
    <w:rsid w:val="4CF845C6"/>
    <w:rsid w:val="4D33409A"/>
    <w:rsid w:val="4D3F0D18"/>
    <w:rsid w:val="4D3F685C"/>
    <w:rsid w:val="4D731DD1"/>
    <w:rsid w:val="4DB77A57"/>
    <w:rsid w:val="4DC678B7"/>
    <w:rsid w:val="4E3E7F32"/>
    <w:rsid w:val="4E555E96"/>
    <w:rsid w:val="4ED922D7"/>
    <w:rsid w:val="4EE809B6"/>
    <w:rsid w:val="4F090FDE"/>
    <w:rsid w:val="4FF42125"/>
    <w:rsid w:val="50D1292D"/>
    <w:rsid w:val="51280A72"/>
    <w:rsid w:val="51327B3F"/>
    <w:rsid w:val="51583EA8"/>
    <w:rsid w:val="51701307"/>
    <w:rsid w:val="51800627"/>
    <w:rsid w:val="519C35CD"/>
    <w:rsid w:val="51D01883"/>
    <w:rsid w:val="51E636AB"/>
    <w:rsid w:val="51FB71BE"/>
    <w:rsid w:val="52207AF8"/>
    <w:rsid w:val="52631722"/>
    <w:rsid w:val="5283053C"/>
    <w:rsid w:val="52AC17C6"/>
    <w:rsid w:val="52EE6003"/>
    <w:rsid w:val="534860BD"/>
    <w:rsid w:val="534D5E6C"/>
    <w:rsid w:val="536900FF"/>
    <w:rsid w:val="536C34A1"/>
    <w:rsid w:val="53781214"/>
    <w:rsid w:val="53E8726A"/>
    <w:rsid w:val="540F1279"/>
    <w:rsid w:val="541A0B0E"/>
    <w:rsid w:val="548019F7"/>
    <w:rsid w:val="54D56DBB"/>
    <w:rsid w:val="54FC03FF"/>
    <w:rsid w:val="5605296C"/>
    <w:rsid w:val="560D52BC"/>
    <w:rsid w:val="56111DC9"/>
    <w:rsid w:val="5617114F"/>
    <w:rsid w:val="56C72EB7"/>
    <w:rsid w:val="57027020"/>
    <w:rsid w:val="570B30AF"/>
    <w:rsid w:val="575A37E8"/>
    <w:rsid w:val="579C6D37"/>
    <w:rsid w:val="57DC17F2"/>
    <w:rsid w:val="58875324"/>
    <w:rsid w:val="589E1B77"/>
    <w:rsid w:val="58C3790D"/>
    <w:rsid w:val="58E91A97"/>
    <w:rsid w:val="598C2537"/>
    <w:rsid w:val="5A092237"/>
    <w:rsid w:val="5A9A2E55"/>
    <w:rsid w:val="5AB20496"/>
    <w:rsid w:val="5AFF2FFF"/>
    <w:rsid w:val="5B1B680D"/>
    <w:rsid w:val="5B512A06"/>
    <w:rsid w:val="5B92303C"/>
    <w:rsid w:val="5BBC2136"/>
    <w:rsid w:val="5BD5659A"/>
    <w:rsid w:val="5C034258"/>
    <w:rsid w:val="5C5B6FF5"/>
    <w:rsid w:val="5CFA537E"/>
    <w:rsid w:val="5D156C9E"/>
    <w:rsid w:val="5D48224A"/>
    <w:rsid w:val="5E0438E7"/>
    <w:rsid w:val="5E3F23D5"/>
    <w:rsid w:val="5EAD7654"/>
    <w:rsid w:val="5F2B43A8"/>
    <w:rsid w:val="5F451DA8"/>
    <w:rsid w:val="5FAF6640"/>
    <w:rsid w:val="5FE8335D"/>
    <w:rsid w:val="601A3CA1"/>
    <w:rsid w:val="605F1EC0"/>
    <w:rsid w:val="611B5FFE"/>
    <w:rsid w:val="61952949"/>
    <w:rsid w:val="61A24A33"/>
    <w:rsid w:val="62733896"/>
    <w:rsid w:val="627B1593"/>
    <w:rsid w:val="62D77B1F"/>
    <w:rsid w:val="62EA40E6"/>
    <w:rsid w:val="636C0473"/>
    <w:rsid w:val="636F0F0F"/>
    <w:rsid w:val="63C8362E"/>
    <w:rsid w:val="63F5383B"/>
    <w:rsid w:val="63FA7509"/>
    <w:rsid w:val="640D394B"/>
    <w:rsid w:val="64A43C86"/>
    <w:rsid w:val="64C35D0B"/>
    <w:rsid w:val="654C7362"/>
    <w:rsid w:val="655B5E47"/>
    <w:rsid w:val="658F44CE"/>
    <w:rsid w:val="65B00A2F"/>
    <w:rsid w:val="662E1580"/>
    <w:rsid w:val="679377B0"/>
    <w:rsid w:val="67F80C93"/>
    <w:rsid w:val="687A1FBD"/>
    <w:rsid w:val="689C51F0"/>
    <w:rsid w:val="68C836D3"/>
    <w:rsid w:val="68D018A1"/>
    <w:rsid w:val="690458C5"/>
    <w:rsid w:val="692956C7"/>
    <w:rsid w:val="69E23624"/>
    <w:rsid w:val="6A7C1C13"/>
    <w:rsid w:val="6AB471E5"/>
    <w:rsid w:val="6AF717AF"/>
    <w:rsid w:val="6B8410AD"/>
    <w:rsid w:val="6BAC0EB6"/>
    <w:rsid w:val="6BDB73D7"/>
    <w:rsid w:val="6C1909A0"/>
    <w:rsid w:val="6C411BB0"/>
    <w:rsid w:val="6CD97349"/>
    <w:rsid w:val="6D731218"/>
    <w:rsid w:val="6D996232"/>
    <w:rsid w:val="6DEE158B"/>
    <w:rsid w:val="6E1F0668"/>
    <w:rsid w:val="6E4422CD"/>
    <w:rsid w:val="6E4E0B02"/>
    <w:rsid w:val="6E5967CC"/>
    <w:rsid w:val="6E933CCF"/>
    <w:rsid w:val="6ED25968"/>
    <w:rsid w:val="6EED14B8"/>
    <w:rsid w:val="6F35442E"/>
    <w:rsid w:val="6F6B5CE9"/>
    <w:rsid w:val="6FDF1E92"/>
    <w:rsid w:val="709139E3"/>
    <w:rsid w:val="71132E6A"/>
    <w:rsid w:val="711728CA"/>
    <w:rsid w:val="71DC26D1"/>
    <w:rsid w:val="72612C0E"/>
    <w:rsid w:val="728C1C01"/>
    <w:rsid w:val="73581BC4"/>
    <w:rsid w:val="739D304D"/>
    <w:rsid w:val="73B32009"/>
    <w:rsid w:val="73D916F5"/>
    <w:rsid w:val="73D92220"/>
    <w:rsid w:val="742C3818"/>
    <w:rsid w:val="743C2F79"/>
    <w:rsid w:val="748E0C9C"/>
    <w:rsid w:val="749A1981"/>
    <w:rsid w:val="74BE363E"/>
    <w:rsid w:val="74D14B04"/>
    <w:rsid w:val="750869A2"/>
    <w:rsid w:val="7519079F"/>
    <w:rsid w:val="758569BC"/>
    <w:rsid w:val="76871C2C"/>
    <w:rsid w:val="76A2547E"/>
    <w:rsid w:val="76EE2DF6"/>
    <w:rsid w:val="7703523C"/>
    <w:rsid w:val="77051F77"/>
    <w:rsid w:val="772D3B4C"/>
    <w:rsid w:val="774529A0"/>
    <w:rsid w:val="77787E14"/>
    <w:rsid w:val="778203B0"/>
    <w:rsid w:val="77A178F8"/>
    <w:rsid w:val="77D41BA6"/>
    <w:rsid w:val="781539E7"/>
    <w:rsid w:val="78851768"/>
    <w:rsid w:val="791C3CEE"/>
    <w:rsid w:val="796D342E"/>
    <w:rsid w:val="79EB1622"/>
    <w:rsid w:val="7A4F0FBA"/>
    <w:rsid w:val="7A7F48B9"/>
    <w:rsid w:val="7AB503BC"/>
    <w:rsid w:val="7B782A1B"/>
    <w:rsid w:val="7BCA2F61"/>
    <w:rsid w:val="7BD3538D"/>
    <w:rsid w:val="7BE03C31"/>
    <w:rsid w:val="7C29762A"/>
    <w:rsid w:val="7C9743B4"/>
    <w:rsid w:val="7CBE4D06"/>
    <w:rsid w:val="7CC92D91"/>
    <w:rsid w:val="7CDC28EB"/>
    <w:rsid w:val="7CDD7A61"/>
    <w:rsid w:val="7CE36CAF"/>
    <w:rsid w:val="7D58069B"/>
    <w:rsid w:val="7D9E58D9"/>
    <w:rsid w:val="7DAE5069"/>
    <w:rsid w:val="7E794582"/>
    <w:rsid w:val="7EA40693"/>
    <w:rsid w:val="7EB9001D"/>
    <w:rsid w:val="7F8D7DA2"/>
    <w:rsid w:val="7F9667C9"/>
    <w:rsid w:val="7FDC22CE"/>
    <w:rsid w:val="7FF0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qFormat="1"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106"/>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5">
    <w:name w:val="heading 2"/>
    <w:basedOn w:val="1"/>
    <w:next w:val="1"/>
    <w:link w:val="100"/>
    <w:qFormat/>
    <w:uiPriority w:val="0"/>
    <w:pPr>
      <w:keepNext/>
      <w:keepLines/>
      <w:adjustRightInd w:val="0"/>
      <w:snapToGrid w:val="0"/>
      <w:spacing w:line="360" w:lineRule="auto"/>
      <w:outlineLvl w:val="1"/>
    </w:pPr>
    <w:rPr>
      <w:rFonts w:ascii="宋体" w:hAnsi="宋体"/>
    </w:rPr>
  </w:style>
  <w:style w:type="paragraph" w:styleId="6">
    <w:name w:val="heading 3"/>
    <w:basedOn w:val="1"/>
    <w:next w:val="1"/>
    <w:link w:val="71"/>
    <w:qFormat/>
    <w:uiPriority w:val="9"/>
    <w:pPr>
      <w:keepNext/>
      <w:keepLines/>
      <w:spacing w:before="260" w:after="260" w:line="413" w:lineRule="auto"/>
      <w:jc w:val="center"/>
      <w:outlineLvl w:val="2"/>
    </w:pPr>
    <w:rPr>
      <w:b/>
      <w:sz w:val="44"/>
    </w:rPr>
  </w:style>
  <w:style w:type="paragraph" w:styleId="7">
    <w:name w:val="heading 4"/>
    <w:basedOn w:val="1"/>
    <w:next w:val="1"/>
    <w:qFormat/>
    <w:uiPriority w:val="0"/>
    <w:pPr>
      <w:keepNext/>
      <w:keepLines/>
      <w:numPr>
        <w:ilvl w:val="0"/>
        <w:numId w:val="1"/>
      </w:numPr>
      <w:spacing w:before="560" w:after="290" w:line="377"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1">
    <w:name w:val="Default Paragraph Font"/>
    <w:uiPriority w:val="0"/>
  </w:style>
  <w:style w:type="table" w:default="1" w:styleId="59">
    <w:name w:val="Normal Table"/>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3"/>
    <w:qFormat/>
    <w:uiPriority w:val="0"/>
    <w:pPr>
      <w:keepNext/>
      <w:keepLines/>
      <w:widowControl w:val="0"/>
      <w:numPr>
        <w:ilvl w:val="4"/>
        <w:numId w:val="1"/>
      </w:numPr>
      <w:spacing w:before="280" w:after="156" w:line="377" w:lineRule="auto"/>
      <w:jc w:val="both"/>
      <w:outlineLvl w:val="4"/>
    </w:pPr>
    <w:rPr>
      <w:rFonts w:ascii="Arial" w:hAnsi="Arial" w:eastAsia="黑体" w:cs="Times New Roman"/>
      <w:b/>
      <w:sz w:val="21"/>
      <w:szCs w:val="28"/>
      <w:lang w:val="en-US" w:eastAsia="zh-CN" w:bidi="ar-SA"/>
    </w:rPr>
  </w:style>
  <w:style w:type="paragraph" w:customStyle="1" w:styleId="3">
    <w:name w:val="正文（绿盟科技）"/>
    <w:qFormat/>
    <w:uiPriority w:val="0"/>
    <w:pPr>
      <w:spacing w:line="300" w:lineRule="auto"/>
    </w:pPr>
    <w:rPr>
      <w:rFonts w:ascii="Arial" w:hAnsi="Arial" w:eastAsia="宋体" w:cs="Times New Roman"/>
      <w:sz w:val="21"/>
      <w:szCs w:val="21"/>
      <w:lang w:val="en-US" w:eastAsia="zh-CN" w:bidi="ar-SA"/>
    </w:rPr>
  </w:style>
  <w:style w:type="paragraph" w:styleId="13">
    <w:name w:val="List 3"/>
    <w:basedOn w:val="1"/>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2"/>
      </w:numPr>
      <w:spacing w:line="360" w:lineRule="auto"/>
    </w:pPr>
    <w:rPr>
      <w:sz w:val="24"/>
    </w:rPr>
  </w:style>
  <w:style w:type="paragraph" w:styleId="16">
    <w:name w:val="List Bullet 4"/>
    <w:basedOn w:val="1"/>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7">
    <w:name w:val="Normal Indent"/>
    <w:basedOn w:val="1"/>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95"/>
    <w:uiPriority w:val="99"/>
    <w:pPr>
      <w:widowControl/>
      <w:tabs>
        <w:tab w:val="left" w:pos="1134"/>
      </w:tabs>
      <w:adjustRightInd w:val="0"/>
      <w:snapToGrid w:val="0"/>
      <w:spacing w:line="280" w:lineRule="atLeast"/>
      <w:jc w:val="left"/>
    </w:pPr>
    <w:rPr>
      <w:rFonts w:eastAsia="PMingLiU"/>
      <w:kern w:val="0"/>
      <w:sz w:val="24"/>
      <w:lang w:eastAsia="zh-TW"/>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uiPriority w:val="0"/>
    <w:pPr>
      <w:numPr>
        <w:ilvl w:val="0"/>
        <w:numId w:val="4"/>
      </w:numPr>
      <w:adjustRightInd w:val="0"/>
      <w:snapToGrid w:val="0"/>
      <w:spacing w:line="360" w:lineRule="auto"/>
    </w:pPr>
    <w:rPr>
      <w:sz w:val="24"/>
    </w:rPr>
  </w:style>
  <w:style w:type="paragraph" w:styleId="24">
    <w:name w:val="Body Text"/>
    <w:basedOn w:val="1"/>
    <w:link w:val="70"/>
    <w:qFormat/>
    <w:uiPriority w:val="0"/>
    <w:rPr>
      <w:rFonts w:ascii="仿宋_GB2312" w:eastAsia="仿宋_GB2312"/>
      <w:sz w:val="32"/>
    </w:rPr>
  </w:style>
  <w:style w:type="paragraph" w:styleId="25">
    <w:name w:val="Body Text Indent"/>
    <w:basedOn w:val="1"/>
    <w:link w:val="104"/>
    <w:uiPriority w:val="99"/>
    <w:pPr>
      <w:spacing w:line="700" w:lineRule="exact"/>
      <w:ind w:left="960"/>
    </w:pPr>
    <w:rPr>
      <w:sz w:val="44"/>
    </w:r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qFormat/>
    <w:uiPriority w:val="0"/>
    <w:pPr>
      <w:adjustRightInd w:val="0"/>
      <w:snapToGrid w:val="0"/>
      <w:spacing w:after="120" w:line="360" w:lineRule="auto"/>
      <w:ind w:left="420" w:leftChars="200"/>
    </w:pPr>
    <w:rPr>
      <w:sz w:val="24"/>
    </w:rPr>
  </w:style>
  <w:style w:type="paragraph" w:styleId="29">
    <w:name w:val="List Bullet 2"/>
    <w:basedOn w:val="1"/>
    <w:uiPriority w:val="0"/>
    <w:pPr>
      <w:numPr>
        <w:ilvl w:val="0"/>
        <w:numId w:val="5"/>
      </w:numPr>
      <w:adjustRightInd w:val="0"/>
      <w:snapToGrid w:val="0"/>
      <w:spacing w:line="360" w:lineRule="auto"/>
    </w:pPr>
    <w:rPr>
      <w:sz w:val="24"/>
    </w:rPr>
  </w:style>
  <w:style w:type="paragraph" w:styleId="30">
    <w:name w:val="toc 5"/>
    <w:basedOn w:val="1"/>
    <w:next w:val="1"/>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link w:val="85"/>
    <w:uiPriority w:val="0"/>
    <w:pPr>
      <w:adjustRightInd w:val="0"/>
      <w:snapToGrid w:val="0"/>
      <w:spacing w:line="360" w:lineRule="auto"/>
    </w:pPr>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75"/>
    <w:uiPriority w:val="99"/>
  </w:style>
  <w:style w:type="paragraph" w:styleId="35">
    <w:name w:val="Balloon Text"/>
    <w:basedOn w:val="1"/>
    <w:link w:val="79"/>
    <w:qFormat/>
    <w:uiPriority w:val="99"/>
    <w:rPr>
      <w:sz w:val="18"/>
    </w:rPr>
  </w:style>
  <w:style w:type="paragraph" w:styleId="36">
    <w:name w:val="footer"/>
    <w:basedOn w:val="1"/>
    <w:link w:val="99"/>
    <w:qFormat/>
    <w:uiPriority w:val="99"/>
    <w:pPr>
      <w:tabs>
        <w:tab w:val="center" w:pos="4153"/>
        <w:tab w:val="right" w:pos="8306"/>
      </w:tabs>
      <w:snapToGrid w:val="0"/>
      <w:jc w:val="left"/>
    </w:pPr>
    <w:rPr>
      <w:sz w:val="18"/>
    </w:rPr>
  </w:style>
  <w:style w:type="paragraph" w:styleId="37">
    <w:name w:val="header"/>
    <w:basedOn w:val="1"/>
    <w:link w:val="111"/>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rPr>
      <w:lang w:val="en-US" w:eastAsia="zh-CN"/>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link w:val="114"/>
    <w:uiPriority w:val="99"/>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Chars="-91"/>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HTML Preformatted"/>
    <w:basedOn w:val="1"/>
    <w:link w:val="105"/>
    <w:unhideWhenUsed/>
    <w:qFormat/>
    <w:uiPriority w:val="99"/>
    <w:rPr>
      <w:rFonts w:ascii="Courier New" w:hAnsi="Courier New"/>
      <w:sz w:val="20"/>
    </w:rPr>
  </w:style>
  <w:style w:type="paragraph" w:styleId="52">
    <w:name w:val="Normal (Web)"/>
    <w:basedOn w:val="1"/>
    <w:uiPriority w:val="99"/>
    <w:pPr>
      <w:widowControl/>
      <w:spacing w:before="100" w:beforeAutospacing="1" w:after="100" w:afterAutospacing="1"/>
      <w:jc w:val="left"/>
    </w:pPr>
    <w:rPr>
      <w:rFonts w:ascii="Arial Unicode MS" w:hAnsi="Arial Unicode MS" w:eastAsia="Arial Unicode MS"/>
      <w:kern w:val="0"/>
      <w:sz w:val="24"/>
    </w:rPr>
  </w:style>
  <w:style w:type="paragraph" w:styleId="53">
    <w:name w:val="List Continue 3"/>
    <w:basedOn w:val="1"/>
    <w:qFormat/>
    <w:uiPriority w:val="0"/>
    <w:pPr>
      <w:adjustRightInd w:val="0"/>
      <w:snapToGrid w:val="0"/>
      <w:spacing w:after="120" w:line="360" w:lineRule="auto"/>
      <w:ind w:left="126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qFormat/>
    <w:uiPriority w:val="0"/>
    <w:pPr>
      <w:widowControl/>
      <w:spacing w:after="240" w:line="360" w:lineRule="auto"/>
      <w:jc w:val="center"/>
    </w:pPr>
    <w:rPr>
      <w:rFonts w:ascii="Arial" w:hAnsi="Arial"/>
      <w:b/>
      <w:smallCaps/>
      <w:kern w:val="28"/>
      <w:sz w:val="36"/>
      <w:lang w:eastAsia="en-US"/>
    </w:rPr>
  </w:style>
  <w:style w:type="paragraph" w:styleId="56">
    <w:name w:val="annotation subject"/>
    <w:basedOn w:val="21"/>
    <w:next w:val="21"/>
    <w:qFormat/>
    <w:uiPriority w:val="0"/>
    <w:pPr>
      <w:widowControl w:val="0"/>
      <w:tabs>
        <w:tab w:val="clear" w:pos="1134"/>
      </w:tabs>
      <w:adjustRightInd/>
      <w:snapToGrid/>
      <w:spacing w:line="240" w:lineRule="auto"/>
    </w:pPr>
    <w:rPr>
      <w:rFonts w:eastAsia="宋体"/>
      <w:b/>
      <w:kern w:val="2"/>
      <w:sz w:val="21"/>
      <w:lang w:eastAsia="zh-CN"/>
    </w:rPr>
  </w:style>
  <w:style w:type="paragraph" w:styleId="57">
    <w:name w:val="Body Text First Indent"/>
    <w:basedOn w:val="1"/>
    <w:qFormat/>
    <w:uiPriority w:val="0"/>
    <w:pPr>
      <w:spacing w:line="360" w:lineRule="auto"/>
      <w:ind w:firstLine="420"/>
    </w:pPr>
    <w:rPr>
      <w:rFonts w:ascii="宋体" w:hAnsi="宋体"/>
      <w:sz w:val="24"/>
    </w:rPr>
  </w:style>
  <w:style w:type="paragraph" w:styleId="58">
    <w:name w:val="Body Text First Indent 2"/>
    <w:basedOn w:val="25"/>
    <w:qFormat/>
    <w:uiPriority w:val="0"/>
    <w:pPr>
      <w:spacing w:after="120" w:line="240" w:lineRule="auto"/>
      <w:ind w:left="420" w:leftChars="200" w:firstLine="420" w:firstLineChars="200"/>
    </w:pPr>
    <w:rPr>
      <w:sz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2">
    <w:name w:val="Strong"/>
    <w:qFormat/>
    <w:uiPriority w:val="22"/>
    <w:rPr>
      <w:b/>
    </w:rPr>
  </w:style>
  <w:style w:type="character" w:styleId="63">
    <w:name w:val="page number"/>
    <w:basedOn w:val="61"/>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uiPriority w:val="99"/>
    <w:rPr>
      <w:color w:val="0000FF"/>
      <w:u w:val="single"/>
    </w:rPr>
  </w:style>
  <w:style w:type="character" w:styleId="67">
    <w:name w:val="annotation reference"/>
    <w:qFormat/>
    <w:uiPriority w:val="99"/>
    <w:rPr>
      <w:sz w:val="21"/>
    </w:rPr>
  </w:style>
  <w:style w:type="character" w:styleId="68">
    <w:name w:val="footnote reference"/>
    <w:qFormat/>
    <w:uiPriority w:val="0"/>
    <w:rPr>
      <w:position w:val="6"/>
      <w:sz w:val="14"/>
      <w:vertAlign w:val="superscript"/>
    </w:rPr>
  </w:style>
  <w:style w:type="character" w:customStyle="1" w:styleId="69">
    <w:name w:val="crowed11"/>
    <w:qFormat/>
    <w:uiPriority w:val="0"/>
    <w:rPr>
      <w:rFonts w:hint="default"/>
      <w:sz w:val="24"/>
    </w:rPr>
  </w:style>
  <w:style w:type="character" w:customStyle="1" w:styleId="70">
    <w:name w:val="正文文本 Char"/>
    <w:link w:val="24"/>
    <w:qFormat/>
    <w:uiPriority w:val="0"/>
    <w:rPr>
      <w:rFonts w:ascii="仿宋_GB2312" w:eastAsia="仿宋_GB2312"/>
      <w:kern w:val="2"/>
      <w:sz w:val="32"/>
    </w:rPr>
  </w:style>
  <w:style w:type="character" w:customStyle="1" w:styleId="71">
    <w:name w:val="标题 3 Char"/>
    <w:link w:val="6"/>
    <w:uiPriority w:val="9"/>
    <w:rPr>
      <w:b/>
      <w:kern w:val="2"/>
      <w:sz w:val="44"/>
    </w:rPr>
  </w:style>
  <w:style w:type="character" w:customStyle="1" w:styleId="72">
    <w:name w:val=" Char Char4"/>
    <w:qFormat/>
    <w:uiPriority w:val="0"/>
    <w:rPr>
      <w:rFonts w:eastAsia="宋体"/>
      <w:b/>
      <w:kern w:val="2"/>
      <w:sz w:val="21"/>
      <w:lang w:val="en-US" w:eastAsia="zh-CN"/>
    </w:rPr>
  </w:style>
  <w:style w:type="character" w:customStyle="1" w:styleId="73">
    <w:name w:val="font51"/>
    <w:qFormat/>
    <w:uiPriority w:val="99"/>
    <w:rPr>
      <w:rFonts w:hint="eastAsia" w:ascii="微软雅黑" w:hAnsi="微软雅黑" w:eastAsia="微软雅黑" w:cs="微软雅黑"/>
      <w:color w:val="000000"/>
      <w:sz w:val="20"/>
      <w:szCs w:val="20"/>
      <w:u w:val="none"/>
    </w:rPr>
  </w:style>
  <w:style w:type="character" w:customStyle="1" w:styleId="74">
    <w:name w:val=" Char Char2"/>
    <w:qFormat/>
    <w:uiPriority w:val="0"/>
    <w:rPr>
      <w:rFonts w:eastAsia="宋体"/>
      <w:kern w:val="2"/>
      <w:sz w:val="18"/>
      <w:lang w:val="en-US" w:eastAsia="zh-CN"/>
    </w:rPr>
  </w:style>
  <w:style w:type="character" w:customStyle="1" w:styleId="75">
    <w:name w:val="日期 Char"/>
    <w:link w:val="34"/>
    <w:qFormat/>
    <w:uiPriority w:val="99"/>
    <w:rPr>
      <w:kern w:val="2"/>
      <w:sz w:val="28"/>
    </w:rPr>
  </w:style>
  <w:style w:type="character" w:customStyle="1" w:styleId="76">
    <w:name w:val="其他_"/>
    <w:link w:val="77"/>
    <w:qFormat/>
    <w:uiPriority w:val="99"/>
    <w:rPr>
      <w:rFonts w:ascii="黑体" w:eastAsia="黑体" w:cs="黑体"/>
      <w:color w:val="575757"/>
      <w:sz w:val="36"/>
      <w:szCs w:val="36"/>
      <w:shd w:val="clear" w:color="auto" w:fill="FFFFFF"/>
      <w:lang w:val="zh-CN"/>
    </w:rPr>
  </w:style>
  <w:style w:type="paragraph" w:customStyle="1" w:styleId="77">
    <w:name w:val="其他"/>
    <w:basedOn w:val="1"/>
    <w:link w:val="76"/>
    <w:qFormat/>
    <w:uiPriority w:val="99"/>
    <w:pPr>
      <w:shd w:val="clear" w:color="auto" w:fill="FFFFFF"/>
      <w:ind w:firstLine="160"/>
      <w:jc w:val="left"/>
    </w:pPr>
    <w:rPr>
      <w:rFonts w:ascii="黑体" w:eastAsia="黑体"/>
      <w:color w:val="575757"/>
      <w:kern w:val="0"/>
      <w:sz w:val="36"/>
      <w:szCs w:val="36"/>
      <w:lang w:val="zh-CN"/>
    </w:rPr>
  </w:style>
  <w:style w:type="character" w:customStyle="1" w:styleId="78">
    <w:name w:val=" Char Char3"/>
    <w:qFormat/>
    <w:uiPriority w:val="0"/>
    <w:rPr>
      <w:rFonts w:eastAsia="宋体"/>
      <w:kern w:val="2"/>
      <w:sz w:val="18"/>
      <w:lang w:val="en-US" w:eastAsia="zh-CN"/>
    </w:rPr>
  </w:style>
  <w:style w:type="character" w:customStyle="1" w:styleId="79">
    <w:name w:val="批注框文本 Char"/>
    <w:link w:val="35"/>
    <w:qFormat/>
    <w:uiPriority w:val="99"/>
    <w:rPr>
      <w:kern w:val="2"/>
      <w:sz w:val="18"/>
    </w:rPr>
  </w:style>
  <w:style w:type="character" w:customStyle="1" w:styleId="80">
    <w:name w:val="Table Heading Char Char"/>
    <w:qFormat/>
    <w:uiPriority w:val="0"/>
    <w:rPr>
      <w:rFonts w:ascii="Arial" w:hAnsi="Arial" w:eastAsia="黑体"/>
      <w:kern w:val="2"/>
      <w:sz w:val="18"/>
      <w:lang w:val="en-US" w:eastAsia="zh-CN"/>
    </w:rPr>
  </w:style>
  <w:style w:type="character" w:customStyle="1" w:styleId="81">
    <w:name w:val="正文文本缩进 Char1"/>
    <w:semiHidden/>
    <w:qFormat/>
    <w:uiPriority w:val="99"/>
    <w:rPr>
      <w:kern w:val="2"/>
      <w:sz w:val="21"/>
      <w:szCs w:val="22"/>
    </w:rPr>
  </w:style>
  <w:style w:type="character" w:customStyle="1" w:styleId="82">
    <w:name w:val="正文文本缩进 2 Char1"/>
    <w:semiHidden/>
    <w:qFormat/>
    <w:uiPriority w:val="99"/>
    <w:rPr>
      <w:kern w:val="2"/>
      <w:sz w:val="21"/>
      <w:szCs w:val="22"/>
    </w:rPr>
  </w:style>
  <w:style w:type="character" w:customStyle="1" w:styleId="83">
    <w:name w:val="文字 Char"/>
    <w:link w:val="84"/>
    <w:qFormat/>
    <w:uiPriority w:val="0"/>
    <w:rPr>
      <w:rFonts w:ascii="宋体" w:eastAsia="宋体"/>
      <w:kern w:val="2"/>
      <w:sz w:val="28"/>
      <w:lang w:val="en-US" w:eastAsia="zh-CN" w:bidi="ar-SA"/>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纯文本 Char"/>
    <w:link w:val="32"/>
    <w:qFormat/>
    <w:uiPriority w:val="0"/>
    <w:rPr>
      <w:rFonts w:ascii="宋体" w:hAnsi="Courier New"/>
      <w:kern w:val="2"/>
      <w:sz w:val="21"/>
    </w:rPr>
  </w:style>
  <w:style w:type="character" w:customStyle="1" w:styleId="86">
    <w:name w:val="正文 + 三号 Char"/>
    <w:qFormat/>
    <w:uiPriority w:val="0"/>
    <w:rPr>
      <w:rFonts w:eastAsia="宋体"/>
      <w:kern w:val="2"/>
      <w:sz w:val="21"/>
      <w:lang w:val="en-US" w:eastAsia="zh-CN"/>
    </w:rPr>
  </w:style>
  <w:style w:type="character" w:customStyle="1" w:styleId="87">
    <w:name w:val="正文文本_"/>
    <w:link w:val="88"/>
    <w:qFormat/>
    <w:uiPriority w:val="0"/>
    <w:rPr>
      <w:rFonts w:ascii="MingLiU" w:hAnsi="MingLiU" w:eastAsia="MingLiU" w:cs="MingLiU"/>
      <w:spacing w:val="20"/>
      <w:sz w:val="31"/>
      <w:szCs w:val="31"/>
      <w:shd w:val="clear" w:color="auto" w:fill="FFFFFF"/>
    </w:rPr>
  </w:style>
  <w:style w:type="paragraph" w:customStyle="1" w:styleId="88">
    <w:name w:val="正文文本2"/>
    <w:basedOn w:val="1"/>
    <w:link w:val="87"/>
    <w:qFormat/>
    <w:uiPriority w:val="0"/>
    <w:pPr>
      <w:shd w:val="clear" w:color="auto" w:fill="FFFFFF"/>
      <w:spacing w:before="540" w:line="586" w:lineRule="exact"/>
      <w:ind w:hanging="940"/>
      <w:jc w:val="distribute"/>
    </w:pPr>
    <w:rPr>
      <w:rFonts w:ascii="MingLiU" w:hAnsi="MingLiU" w:eastAsia="MingLiU"/>
      <w:spacing w:val="20"/>
      <w:kern w:val="0"/>
      <w:sz w:val="31"/>
      <w:szCs w:val="31"/>
    </w:rPr>
  </w:style>
  <w:style w:type="character" w:customStyle="1" w:styleId="89">
    <w:name w:val="小 Char"/>
    <w:uiPriority w:val="99"/>
    <w:rPr>
      <w:rFonts w:ascii="宋体" w:hAnsi="Courier New" w:eastAsia="宋体"/>
      <w:kern w:val="2"/>
      <w:sz w:val="21"/>
      <w:lang w:val="en-US" w:eastAsia="zh-CN" w:bidi="ar-SA"/>
    </w:rPr>
  </w:style>
  <w:style w:type="character" w:customStyle="1" w:styleId="90">
    <w:name w:val="Table Text Char Char Char Char"/>
    <w:qFormat/>
    <w:uiPriority w:val="0"/>
    <w:rPr>
      <w:rFonts w:ascii="Arial" w:hAnsi="Arial"/>
      <w:kern w:val="2"/>
      <w:sz w:val="18"/>
      <w:lang w:val="en-US" w:eastAsia="zh-CN" w:bidi="ar-SA"/>
    </w:rPr>
  </w:style>
  <w:style w:type="character" w:customStyle="1" w:styleId="91">
    <w:name w:val="content-white1"/>
    <w:uiPriority w:val="0"/>
    <w:rPr>
      <w:color w:val="auto"/>
      <w:sz w:val="18"/>
      <w:u w:val="none"/>
    </w:rPr>
  </w:style>
  <w:style w:type="character" w:customStyle="1" w:styleId="92">
    <w:name w:val=" Char Char5"/>
    <w:qFormat/>
    <w:uiPriority w:val="0"/>
    <w:rPr>
      <w:rFonts w:ascii="Arial" w:hAnsi="Arial" w:eastAsia="宋体"/>
      <w:b/>
      <w:smallCaps/>
      <w:kern w:val="28"/>
      <w:sz w:val="36"/>
      <w:lang w:val="en-US" w:eastAsia="en-US"/>
    </w:rPr>
  </w:style>
  <w:style w:type="character" w:customStyle="1" w:styleId="93">
    <w:name w:val=" Char Char6"/>
    <w:qFormat/>
    <w:uiPriority w:val="0"/>
    <w:rPr>
      <w:rFonts w:ascii="仿宋_GB2312" w:eastAsia="仿宋_GB2312"/>
      <w:kern w:val="2"/>
      <w:sz w:val="32"/>
    </w:rPr>
  </w:style>
  <w:style w:type="character" w:customStyle="1" w:styleId="94">
    <w:name w:val="top-det1"/>
    <w:uiPriority w:val="0"/>
    <w:rPr>
      <w:b/>
      <w:color w:val="000000"/>
    </w:rPr>
  </w:style>
  <w:style w:type="character" w:customStyle="1" w:styleId="95">
    <w:name w:val="批注文字 Char"/>
    <w:link w:val="21"/>
    <w:uiPriority w:val="99"/>
    <w:rPr>
      <w:rFonts w:eastAsia="PMingLiU"/>
      <w:sz w:val="24"/>
      <w:lang w:eastAsia="zh-TW"/>
    </w:rPr>
  </w:style>
  <w:style w:type="character" w:customStyle="1" w:styleId="96">
    <w:name w:val="apple-converted-space"/>
    <w:basedOn w:val="61"/>
    <w:uiPriority w:val="0"/>
  </w:style>
  <w:style w:type="character" w:customStyle="1" w:styleId="97">
    <w:name w:val="标书正文:  0.74 厘米 Char1"/>
    <w:uiPriority w:val="0"/>
    <w:rPr>
      <w:rFonts w:eastAsia="宋体"/>
      <w:kern w:val="2"/>
      <w:sz w:val="24"/>
      <w:lang w:val="en-US" w:eastAsia="zh-CN"/>
    </w:rPr>
  </w:style>
  <w:style w:type="character" w:customStyle="1" w:styleId="98">
    <w:name w:val="未命名11"/>
    <w:uiPriority w:val="0"/>
    <w:rPr>
      <w:color w:val="77FFFF"/>
      <w:sz w:val="24"/>
    </w:rPr>
  </w:style>
  <w:style w:type="character" w:customStyle="1" w:styleId="99">
    <w:name w:val="页脚 Char"/>
    <w:link w:val="36"/>
    <w:uiPriority w:val="99"/>
    <w:rPr>
      <w:kern w:val="2"/>
      <w:sz w:val="18"/>
    </w:rPr>
  </w:style>
  <w:style w:type="character" w:customStyle="1" w:styleId="100">
    <w:name w:val="标题 2 Char"/>
    <w:link w:val="5"/>
    <w:uiPriority w:val="0"/>
    <w:rPr>
      <w:rFonts w:ascii="宋体" w:hAnsi="宋体"/>
      <w:kern w:val="2"/>
      <w:sz w:val="28"/>
    </w:rPr>
  </w:style>
  <w:style w:type="character" w:customStyle="1" w:styleId="101">
    <w:name w:val="正文文本缩进 2 Char"/>
    <w:uiPriority w:val="99"/>
    <w:rPr>
      <w:rFonts w:ascii="宋体"/>
      <w:kern w:val="2"/>
      <w:sz w:val="28"/>
    </w:rPr>
  </w:style>
  <w:style w:type="character" w:customStyle="1" w:styleId="102">
    <w:name w:val=" Char Char7"/>
    <w:uiPriority w:val="0"/>
    <w:rPr>
      <w:rFonts w:ascii="宋体" w:hAnsi="宋体" w:eastAsia="宋体"/>
      <w:kern w:val="2"/>
      <w:sz w:val="28"/>
    </w:rPr>
  </w:style>
  <w:style w:type="character" w:customStyle="1" w:styleId="103">
    <w:name w:val="Table Text Char1 Char"/>
    <w:uiPriority w:val="0"/>
    <w:rPr>
      <w:rFonts w:ascii="Arial" w:hAnsi="Arial"/>
      <w:kern w:val="2"/>
      <w:sz w:val="18"/>
      <w:lang w:val="en-US" w:eastAsia="zh-CN" w:bidi="ar-SA"/>
    </w:rPr>
  </w:style>
  <w:style w:type="character" w:customStyle="1" w:styleId="104">
    <w:name w:val="正文文本缩进 Char"/>
    <w:link w:val="25"/>
    <w:uiPriority w:val="99"/>
    <w:rPr>
      <w:kern w:val="2"/>
      <w:sz w:val="44"/>
    </w:rPr>
  </w:style>
  <w:style w:type="character" w:customStyle="1" w:styleId="105">
    <w:name w:val="HTML 预设格式 Char"/>
    <w:basedOn w:val="61"/>
    <w:link w:val="51"/>
    <w:semiHidden/>
    <w:uiPriority w:val="99"/>
    <w:rPr>
      <w:rFonts w:ascii="Courier New" w:hAnsi="Courier New"/>
      <w:kern w:val="2"/>
    </w:rPr>
  </w:style>
  <w:style w:type="character" w:customStyle="1" w:styleId="106">
    <w:name w:val="标题 1 Char"/>
    <w:link w:val="4"/>
    <w:uiPriority w:val="0"/>
    <w:rPr>
      <w:rFonts w:eastAsia="黑体"/>
      <w:kern w:val="2"/>
      <w:sz w:val="44"/>
    </w:rPr>
  </w:style>
  <w:style w:type="character" w:customStyle="1" w:styleId="107">
    <w:name w:val="Table Text Char"/>
    <w:uiPriority w:val="0"/>
    <w:rPr>
      <w:rFonts w:ascii="Arial" w:hAnsi="Arial"/>
      <w:kern w:val="2"/>
      <w:sz w:val="18"/>
      <w:lang w:val="en-US" w:eastAsia="zh-CN" w:bidi="ar-SA"/>
    </w:rPr>
  </w:style>
  <w:style w:type="character" w:customStyle="1" w:styleId="108">
    <w:name w:val="font111"/>
    <w:qFormat/>
    <w:uiPriority w:val="99"/>
    <w:rPr>
      <w:rFonts w:hint="eastAsia" w:ascii="微软雅黑" w:hAnsi="微软雅黑" w:eastAsia="微软雅黑" w:cs="微软雅黑"/>
      <w:color w:val="000000"/>
      <w:sz w:val="20"/>
      <w:szCs w:val="20"/>
      <w:u w:val="none"/>
    </w:rPr>
  </w:style>
  <w:style w:type="character" w:customStyle="1" w:styleId="109">
    <w:name w:val="font1"/>
    <w:uiPriority w:val="0"/>
    <w:rPr>
      <w:color w:val="000000"/>
      <w:sz w:val="18"/>
    </w:rPr>
  </w:style>
  <w:style w:type="character" w:customStyle="1" w:styleId="110">
    <w:name w:val="v151"/>
    <w:uiPriority w:val="0"/>
    <w:rPr>
      <w:sz w:val="18"/>
    </w:rPr>
  </w:style>
  <w:style w:type="character" w:customStyle="1" w:styleId="111">
    <w:name w:val="页眉 Char"/>
    <w:link w:val="37"/>
    <w:uiPriority w:val="99"/>
    <w:rPr>
      <w:kern w:val="2"/>
      <w:sz w:val="18"/>
    </w:rPr>
  </w:style>
  <w:style w:type="character" w:customStyle="1" w:styleId="112">
    <w:name w:val="font91"/>
    <w:qFormat/>
    <w:uiPriority w:val="99"/>
    <w:rPr>
      <w:rFonts w:hint="eastAsia" w:ascii="微软雅黑" w:hAnsi="微软雅黑" w:eastAsia="微软雅黑" w:cs="微软雅黑"/>
      <w:color w:val="000000"/>
      <w:sz w:val="20"/>
      <w:szCs w:val="20"/>
      <w:u w:val="none"/>
    </w:rPr>
  </w:style>
  <w:style w:type="character" w:customStyle="1" w:styleId="113">
    <w:name w:val="样式 宋体"/>
    <w:uiPriority w:val="0"/>
    <w:rPr>
      <w:rFonts w:ascii="宋体" w:hAnsi="宋体" w:eastAsia="宋体"/>
      <w:sz w:val="28"/>
    </w:rPr>
  </w:style>
  <w:style w:type="character" w:customStyle="1" w:styleId="114">
    <w:name w:val="正文文本缩进 3 Char"/>
    <w:link w:val="44"/>
    <w:uiPriority w:val="99"/>
    <w:rPr>
      <w:rFonts w:ascii="黑体" w:eastAsia="黑体"/>
      <w:kern w:val="2"/>
      <w:sz w:val="28"/>
    </w:rPr>
  </w:style>
  <w:style w:type="character" w:customStyle="1" w:styleId="115">
    <w:name w:val=" Char Char"/>
    <w:uiPriority w:val="0"/>
    <w:rPr>
      <w:rFonts w:ascii="宋体" w:hAnsi="宋体" w:eastAsia="宋体"/>
      <w:kern w:val="2"/>
      <w:sz w:val="24"/>
      <w:lang w:val="en-US" w:eastAsia="zh-CN" w:bidi="ar-SA"/>
    </w:rPr>
  </w:style>
  <w:style w:type="character" w:customStyle="1" w:styleId="116">
    <w:name w:val="正文文本缩进 3 Char1"/>
    <w:semiHidden/>
    <w:uiPriority w:val="99"/>
    <w:rPr>
      <w:kern w:val="2"/>
      <w:sz w:val="16"/>
      <w:szCs w:val="16"/>
    </w:rPr>
  </w:style>
  <w:style w:type="character" w:customStyle="1" w:styleId="117">
    <w:name w:val="font71"/>
    <w:qFormat/>
    <w:uiPriority w:val="99"/>
    <w:rPr>
      <w:rFonts w:hint="eastAsia" w:ascii="宋体" w:hAnsi="宋体" w:eastAsia="宋体" w:cs="宋体"/>
      <w:color w:val="000000"/>
      <w:sz w:val="20"/>
      <w:szCs w:val="20"/>
      <w:u w:val="none"/>
    </w:rPr>
  </w:style>
  <w:style w:type="character" w:customStyle="1" w:styleId="118">
    <w:name w:val="NormalCharacter"/>
    <w:qFormat/>
    <w:uiPriority w:val="0"/>
  </w:style>
  <w:style w:type="paragraph" w:customStyle="1" w:styleId="119">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0">
    <w:name w:val="默认段落字体 Para Char Char Char Char Char Char Char Char Char1 Char Char Char Char"/>
    <w:basedOn w:val="1"/>
    <w:qFormat/>
    <w:uiPriority w:val="0"/>
    <w:rPr>
      <w:rFonts w:ascii="Tahoma" w:hAnsi="Tahoma"/>
      <w:sz w:val="24"/>
    </w:rPr>
  </w:style>
  <w:style w:type="paragraph" w:customStyle="1" w:styleId="121">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22">
    <w:name w:val=" 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23">
    <w:name w:val="Char"/>
    <w:basedOn w:val="1"/>
    <w:uiPriority w:val="0"/>
    <w:pPr>
      <w:widowControl/>
      <w:spacing w:line="400" w:lineRule="exact"/>
      <w:jc w:val="center"/>
    </w:pPr>
    <w:rPr>
      <w:sz w:val="24"/>
    </w:rPr>
  </w:style>
  <w:style w:type="paragraph" w:customStyle="1" w:styleId="124">
    <w:name w:val="1"/>
    <w:basedOn w:val="1"/>
    <w:qFormat/>
    <w:uiPriority w:val="99"/>
    <w:rPr>
      <w:rFonts w:ascii="Tahoma" w:hAnsi="Tahoma"/>
      <w:sz w:val="24"/>
    </w:rPr>
  </w:style>
  <w:style w:type="paragraph" w:customStyle="1" w:styleId="125">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28">
    <w:name w:val="列表项目"/>
    <w:basedOn w:val="1"/>
    <w:qFormat/>
    <w:uiPriority w:val="0"/>
    <w:pPr>
      <w:numPr>
        <w:ilvl w:val="0"/>
        <w:numId w:val="6"/>
      </w:numPr>
      <w:tabs>
        <w:tab w:val="left" w:pos="420"/>
        <w:tab w:val="clear" w:pos="980"/>
      </w:tabs>
      <w:spacing w:line="288" w:lineRule="auto"/>
      <w:ind w:left="840" w:leftChars="200" w:hanging="420" w:hangingChars="200"/>
    </w:pPr>
    <w:rPr>
      <w:sz w:val="21"/>
    </w:rPr>
  </w:style>
  <w:style w:type="paragraph" w:customStyle="1" w:styleId="129">
    <w:name w:val="段落正文"/>
    <w:basedOn w:val="1"/>
    <w:qFormat/>
    <w:uiPriority w:val="0"/>
    <w:pPr>
      <w:spacing w:beforeLines="50" w:line="360" w:lineRule="auto"/>
      <w:ind w:firstLine="200" w:firstLineChars="200"/>
    </w:pPr>
    <w:rPr>
      <w:spacing w:val="2"/>
      <w:sz w:val="24"/>
    </w:rPr>
  </w:style>
  <w:style w:type="paragraph" w:customStyle="1" w:styleId="13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3">
    <w:name w:val="标准正文"/>
    <w:basedOn w:val="25"/>
    <w:qFormat/>
    <w:uiPriority w:val="0"/>
    <w:pPr>
      <w:spacing w:before="60" w:after="60" w:line="360" w:lineRule="auto"/>
      <w:ind w:left="0" w:firstLine="482"/>
    </w:pPr>
    <w:rPr>
      <w:rFonts w:ascii="Arial" w:hAnsi="Arial"/>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6">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7">
    <w:name w:val=" Char Char 字元 字元 字元 Char Char Char Char"/>
    <w:basedOn w:val="1"/>
    <w:qFormat/>
    <w:uiPriority w:val="0"/>
    <w:pPr>
      <w:adjustRightInd w:val="0"/>
      <w:spacing w:line="360" w:lineRule="auto"/>
    </w:pPr>
    <w:rPr>
      <w:kern w:val="0"/>
      <w:sz w:val="24"/>
    </w:rPr>
  </w:style>
  <w:style w:type="paragraph" w:customStyle="1" w:styleId="13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39">
    <w:name w:val="内容标题"/>
    <w:basedOn w:val="19"/>
    <w:qFormat/>
    <w:uiPriority w:val="0"/>
    <w:rPr>
      <w:rFonts w:ascii="Tahoma" w:hAnsi="Tahoma"/>
      <w:sz w:val="24"/>
    </w:rPr>
  </w:style>
  <w:style w:type="paragraph" w:customStyle="1" w:styleId="14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文章正文"/>
    <w:basedOn w:val="1"/>
    <w:qFormat/>
    <w:uiPriority w:val="0"/>
    <w:pPr>
      <w:ind w:firstLine="560" w:firstLineChars="200"/>
    </w:pPr>
    <w:rPr>
      <w:rFonts w:ascii="仿宋_GB2312" w:hAnsi="宋体" w:eastAsia="仿宋_GB2312"/>
      <w:color w:val="000000"/>
    </w:rPr>
  </w:style>
  <w:style w:type="paragraph" w:customStyle="1" w:styleId="142">
    <w:name w:val="没有缩进（为图形使用）"/>
    <w:basedOn w:val="1"/>
    <w:qFormat/>
    <w:uiPriority w:val="0"/>
    <w:pPr>
      <w:spacing w:before="120" w:after="120" w:line="360" w:lineRule="auto"/>
    </w:pPr>
    <w:rPr>
      <w:sz w:val="24"/>
    </w:rPr>
  </w:style>
  <w:style w:type="paragraph" w:customStyle="1" w:styleId="143">
    <w:name w:val="Body Text Indent 21"/>
    <w:basedOn w:val="1"/>
    <w:qFormat/>
    <w:uiPriority w:val="0"/>
    <w:pPr>
      <w:adjustRightInd w:val="0"/>
      <w:spacing w:before="120"/>
      <w:ind w:firstLine="420"/>
      <w:textAlignment w:val="baseline"/>
    </w:pPr>
    <w:rPr>
      <w:sz w:val="24"/>
    </w:rPr>
  </w:style>
  <w:style w:type="paragraph" w:customStyle="1" w:styleId="144">
    <w:name w:val=" Char Char1 Char"/>
    <w:basedOn w:val="1"/>
    <w:qFormat/>
    <w:uiPriority w:val="0"/>
    <w:rPr>
      <w:rFonts w:ascii="Tahoma" w:hAnsi="Tahoma"/>
      <w:sz w:val="24"/>
      <w:szCs w:val="24"/>
    </w:rPr>
  </w:style>
  <w:style w:type="paragraph" w:customStyle="1" w:styleId="1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List Paragraph1"/>
    <w:basedOn w:val="1"/>
    <w:qFormat/>
    <w:uiPriority w:val="0"/>
    <w:pPr>
      <w:ind w:firstLine="420" w:firstLineChars="200"/>
    </w:pPr>
    <w:rPr>
      <w:sz w:val="21"/>
      <w:szCs w:val="22"/>
    </w:rPr>
  </w:style>
  <w:style w:type="paragraph" w:styleId="147">
    <w:name w:val="List Paragraph"/>
    <w:basedOn w:val="1"/>
    <w:qFormat/>
    <w:uiPriority w:val="34"/>
    <w:pPr>
      <w:ind w:firstLine="420" w:firstLineChars="200"/>
    </w:pPr>
    <w:rPr>
      <w:sz w:val="21"/>
      <w:szCs w:val="24"/>
    </w:rPr>
  </w:style>
  <w:style w:type="paragraph" w:customStyle="1" w:styleId="148">
    <w:name w:val="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正文4"/>
    <w:basedOn w:val="1"/>
    <w:qFormat/>
    <w:uiPriority w:val="0"/>
    <w:pPr>
      <w:tabs>
        <w:tab w:val="left" w:pos="1275"/>
      </w:tabs>
      <w:spacing w:before="60" w:after="60" w:line="360" w:lineRule="auto"/>
      <w:ind w:left="820" w:leftChars="400" w:hanging="705"/>
    </w:pPr>
    <w:rPr>
      <w:sz w:val="24"/>
    </w:rPr>
  </w:style>
  <w:style w:type="paragraph" w:customStyle="1" w:styleId="150">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1">
    <w:name w:val="样式 样式 首行缩进:  2 字符 + 首行缩进:  2 字符"/>
    <w:basedOn w:val="1"/>
    <w:qFormat/>
    <w:uiPriority w:val="0"/>
    <w:pPr>
      <w:numPr>
        <w:ilvl w:val="0"/>
        <w:numId w:val="7"/>
      </w:numPr>
      <w:tabs>
        <w:tab w:val="clear" w:pos="1230"/>
      </w:tabs>
      <w:spacing w:line="360" w:lineRule="auto"/>
      <w:ind w:firstLine="480" w:firstLineChars="200"/>
    </w:pPr>
    <w:rPr>
      <w:sz w:val="24"/>
    </w:rPr>
  </w:style>
  <w:style w:type="paragraph" w:customStyle="1" w:styleId="15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5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1">
    <w:name w:val=" 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2">
    <w:name w:val="标题无"/>
    <w:basedOn w:val="1"/>
    <w:qFormat/>
    <w:uiPriority w:val="0"/>
    <w:pPr>
      <w:spacing w:line="360" w:lineRule="auto"/>
    </w:pPr>
    <w:rPr>
      <w:sz w:val="24"/>
      <w:lang w:val="en-US" w:eastAsia="zh-CN"/>
    </w:rPr>
  </w:style>
  <w:style w:type="paragraph" w:customStyle="1" w:styleId="16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64">
    <w:name w:val="样式3"/>
    <w:basedOn w:val="4"/>
    <w:next w:val="4"/>
    <w:qFormat/>
    <w:uiPriority w:val="0"/>
    <w:pPr>
      <w:keepLines/>
      <w:tabs>
        <w:tab w:val="clear" w:pos="3360"/>
      </w:tabs>
      <w:adjustRightInd w:val="0"/>
      <w:spacing w:beforeLines="0" w:afterLines="0" w:line="576" w:lineRule="auto"/>
      <w:jc w:val="both"/>
    </w:pPr>
    <w:rPr>
      <w:b/>
      <w:kern w:val="44"/>
    </w:rPr>
  </w:style>
  <w:style w:type="paragraph" w:customStyle="1" w:styleId="165">
    <w:name w:val="1.正文"/>
    <w:basedOn w:val="1"/>
    <w:qFormat/>
    <w:uiPriority w:val="0"/>
    <w:pPr>
      <w:spacing w:line="360" w:lineRule="auto"/>
      <w:ind w:left="540" w:leftChars="225" w:firstLine="540" w:firstLineChars="225"/>
    </w:pPr>
    <w:rPr>
      <w:sz w:val="24"/>
    </w:rPr>
  </w:style>
  <w:style w:type="paragraph" w:customStyle="1" w:styleId="166">
    <w:name w:val="样式 标题 6第五层条 + 三号 段前: 0.5 行"/>
    <w:basedOn w:val="9"/>
    <w:qFormat/>
    <w:uiPriority w:val="0"/>
    <w:pPr>
      <w:widowControl/>
      <w:adjustRightInd/>
      <w:snapToGrid/>
      <w:spacing w:beforeLines="50"/>
      <w:ind w:left="1152" w:hanging="1152"/>
      <w:jc w:val="left"/>
    </w:pPr>
    <w:rPr>
      <w:snapToGrid w:val="0"/>
      <w:kern w:val="24"/>
      <w:sz w:val="28"/>
    </w:rPr>
  </w:style>
  <w:style w:type="paragraph" w:customStyle="1" w:styleId="167">
    <w:name w:val="txt"/>
    <w:qFormat/>
    <w:uiPriority w:val="99"/>
    <w:pPr>
      <w:spacing w:before="100" w:beforeAutospacing="1" w:after="100" w:afterAutospacing="1"/>
    </w:pPr>
    <w:rPr>
      <w:rFonts w:ascii="宋体" w:hAnsi="宋体" w:eastAsia="宋体" w:cs="宋体"/>
      <w:sz w:val="24"/>
      <w:szCs w:val="24"/>
      <w:lang w:val="en-US" w:eastAsia="zh-CN" w:bidi="ar-SA"/>
    </w:rPr>
  </w:style>
  <w:style w:type="paragraph" w:customStyle="1" w:styleId="168">
    <w:name w:val="正文字缩2字"/>
    <w:basedOn w:val="1"/>
    <w:qFormat/>
    <w:uiPriority w:val="0"/>
    <w:pPr>
      <w:spacing w:before="60" w:after="60" w:line="360" w:lineRule="auto"/>
      <w:ind w:left="200" w:leftChars="200" w:firstLine="200" w:firstLineChars="200"/>
    </w:pPr>
    <w:rPr>
      <w:sz w:val="24"/>
    </w:rPr>
  </w:style>
  <w:style w:type="paragraph" w:customStyle="1" w:styleId="169">
    <w:name w:val="_Style 180"/>
    <w:basedOn w:val="19"/>
    <w:qFormat/>
    <w:uiPriority w:val="0"/>
    <w:pPr>
      <w:spacing w:line="360" w:lineRule="auto"/>
      <w:ind w:firstLine="200" w:firstLineChars="200"/>
    </w:pPr>
  </w:style>
  <w:style w:type="paragraph" w:customStyle="1" w:styleId="170">
    <w:name w:val="Revision"/>
    <w:qFormat/>
    <w:uiPriority w:val="0"/>
    <w:rPr>
      <w:rFonts w:ascii="Times New Roman" w:hAnsi="Times New Roman" w:eastAsia="宋体" w:cs="Times New Roman"/>
      <w:kern w:val="2"/>
      <w:sz w:val="21"/>
      <w:lang w:val="en-US" w:eastAsia="zh-CN" w:bidi="ar-SA"/>
    </w:rPr>
  </w:style>
  <w:style w:type="paragraph" w:customStyle="1" w:styleId="171">
    <w:name w:val="关键词"/>
    <w:basedOn w:val="1"/>
    <w:next w:val="1"/>
    <w:qFormat/>
    <w:uiPriority w:val="0"/>
    <w:pPr>
      <w:spacing w:line="360" w:lineRule="auto"/>
    </w:pPr>
    <w:rPr>
      <w:rFonts w:eastAsia="黑体"/>
      <w:sz w:val="20"/>
    </w:rPr>
  </w:style>
  <w:style w:type="paragraph" w:customStyle="1" w:styleId="172">
    <w:name w:val="首行缩进"/>
    <w:basedOn w:val="1"/>
    <w:qFormat/>
    <w:uiPriority w:val="0"/>
    <w:pPr>
      <w:spacing w:line="360" w:lineRule="auto"/>
      <w:ind w:firstLine="420" w:firstLineChars="200"/>
    </w:pPr>
    <w:rPr>
      <w:sz w:val="21"/>
    </w:rPr>
  </w:style>
  <w:style w:type="paragraph" w:customStyle="1" w:styleId="1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4">
    <w:name w:val="章标题"/>
    <w:next w:val="1"/>
    <w:qFormat/>
    <w:uiPriority w:val="0"/>
    <w:pPr>
      <w:numPr>
        <w:ilvl w:val="1"/>
        <w:numId w:val="8"/>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附录3"/>
    <w:basedOn w:val="1"/>
    <w:next w:val="1"/>
    <w:qFormat/>
    <w:uiPriority w:val="0"/>
    <w:pPr>
      <w:tabs>
        <w:tab w:val="left" w:pos="851"/>
      </w:tabs>
      <w:ind w:left="425" w:hanging="425"/>
      <w:outlineLvl w:val="2"/>
    </w:pPr>
    <w:rPr>
      <w:rFonts w:eastAsia="黑体"/>
      <w:b/>
      <w:sz w:val="32"/>
    </w:rPr>
  </w:style>
  <w:style w:type="paragraph" w:customStyle="1" w:styleId="17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8">
    <w:name w:val="表号"/>
    <w:basedOn w:val="1"/>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79">
    <w:name w:val="表头文本"/>
    <w:qFormat/>
    <w:uiPriority w:val="0"/>
    <w:pPr>
      <w:jc w:val="center"/>
    </w:pPr>
    <w:rPr>
      <w:rFonts w:ascii="Arial" w:hAnsi="Arial" w:eastAsia="宋体" w:cs="Times New Roman"/>
      <w:b/>
      <w:sz w:val="21"/>
      <w:lang w:val="en-US" w:eastAsia="zh-CN" w:bidi="ar-SA"/>
    </w:rPr>
  </w:style>
  <w:style w:type="paragraph" w:customStyle="1" w:styleId="18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1">
    <w:name w:val="È±Ê¡ÎÄ±¾"/>
    <w:basedOn w:val="1"/>
    <w:qFormat/>
    <w:uiPriority w:val="0"/>
    <w:pPr>
      <w:widowControl/>
      <w:overflowPunct w:val="0"/>
      <w:autoSpaceDE w:val="0"/>
      <w:autoSpaceDN w:val="0"/>
      <w:adjustRightInd w:val="0"/>
      <w:jc w:val="left"/>
      <w:textAlignment w:val="baseline"/>
    </w:pPr>
    <w:rPr>
      <w:kern w:val="0"/>
      <w:sz w:val="24"/>
      <w:lang w:val="en-US" w:eastAsia="zh-CN"/>
    </w:rPr>
  </w:style>
  <w:style w:type="paragraph" w:customStyle="1" w:styleId="182">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83">
    <w:name w:val="样式1"/>
    <w:basedOn w:val="7"/>
    <w:qFormat/>
    <w:uiPriority w:val="0"/>
    <w:pPr>
      <w:spacing w:before="500" w:after="260" w:line="560" w:lineRule="atLeast"/>
    </w:pPr>
  </w:style>
  <w:style w:type="paragraph" w:customStyle="1" w:styleId="184">
    <w:name w:val="正文 + 三号"/>
    <w:basedOn w:val="1"/>
    <w:qFormat/>
    <w:uiPriority w:val="0"/>
    <w:rPr>
      <w:sz w:val="21"/>
    </w:rPr>
  </w:style>
  <w:style w:type="paragraph" w:customStyle="1" w:styleId="185">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86">
    <w:name w:val="表格文本"/>
    <w:qFormat/>
    <w:uiPriority w:val="0"/>
    <w:pPr>
      <w:tabs>
        <w:tab w:val="decimal" w:pos="0"/>
      </w:tabs>
    </w:pPr>
    <w:rPr>
      <w:rFonts w:ascii="Arial" w:hAnsi="Arial" w:eastAsia="宋体" w:cs="Times New Roman"/>
      <w:sz w:val="21"/>
      <w:lang w:val="en-US" w:eastAsia="zh-CN" w:bidi="ar-SA"/>
    </w:rPr>
  </w:style>
  <w:style w:type="paragraph" w:customStyle="1" w:styleId="187">
    <w:name w:val="简单回函地址"/>
    <w:basedOn w:val="1"/>
    <w:qFormat/>
    <w:uiPriority w:val="0"/>
    <w:pPr>
      <w:adjustRightInd w:val="0"/>
      <w:snapToGrid w:val="0"/>
      <w:spacing w:line="360" w:lineRule="auto"/>
    </w:pPr>
    <w:rPr>
      <w:sz w:val="24"/>
    </w:rPr>
  </w:style>
  <w:style w:type="paragraph" w:customStyle="1" w:styleId="188">
    <w:name w:val="样式2"/>
    <w:basedOn w:val="7"/>
    <w:qFormat/>
    <w:uiPriority w:val="0"/>
    <w:pPr>
      <w:numPr>
        <w:ilvl w:val="0"/>
        <w:numId w:val="11"/>
      </w:numPr>
      <w:spacing w:line="400" w:lineRule="exact"/>
      <w:jc w:val="center"/>
      <w:outlineLvl w:val="0"/>
    </w:pPr>
    <w:rPr>
      <w:b w:val="0"/>
      <w:sz w:val="44"/>
    </w:rPr>
  </w:style>
  <w:style w:type="paragraph" w:customStyle="1" w:styleId="189">
    <w:name w:val="标书正文:  0.74 厘米"/>
    <w:basedOn w:val="1"/>
    <w:qFormat/>
    <w:uiPriority w:val="0"/>
    <w:pPr>
      <w:snapToGrid w:val="0"/>
      <w:spacing w:line="360" w:lineRule="auto"/>
      <w:ind w:firstLine="420"/>
    </w:pPr>
    <w:rPr>
      <w:sz w:val="24"/>
    </w:rPr>
  </w:style>
  <w:style w:type="paragraph" w:customStyle="1" w:styleId="190">
    <w:name w:val="样式4"/>
    <w:basedOn w:val="7"/>
    <w:qFormat/>
    <w:uiPriority w:val="0"/>
    <w:pPr>
      <w:numPr>
        <w:numId w:val="0"/>
      </w:numPr>
      <w:adjustRightInd w:val="0"/>
      <w:snapToGrid w:val="0"/>
      <w:spacing w:before="280" w:line="372" w:lineRule="auto"/>
    </w:pPr>
  </w:style>
  <w:style w:type="paragraph" w:customStyle="1" w:styleId="19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92">
    <w:name w:val="Item Step in Table"/>
    <w:qFormat/>
    <w:uiPriority w:val="0"/>
    <w:pPr>
      <w:numPr>
        <w:ilvl w:val="0"/>
        <w:numId w:val="12"/>
      </w:numPr>
      <w:spacing w:before="40" w:after="40"/>
      <w:jc w:val="both"/>
    </w:pPr>
    <w:rPr>
      <w:rFonts w:ascii="Arial" w:hAnsi="Arial" w:eastAsia="宋体" w:cs="Times New Roman"/>
      <w:sz w:val="18"/>
      <w:lang w:val="en-US" w:eastAsia="zh-CN" w:bidi="ar-SA"/>
    </w:rPr>
  </w:style>
  <w:style w:type="paragraph" w:customStyle="1" w:styleId="193">
    <w:name w:val="文本框样式1"/>
    <w:basedOn w:val="1"/>
    <w:qFormat/>
    <w:uiPriority w:val="0"/>
    <w:pPr>
      <w:adjustRightInd w:val="0"/>
      <w:snapToGrid w:val="0"/>
      <w:spacing w:before="60" w:line="180" w:lineRule="exact"/>
      <w:jc w:val="center"/>
    </w:pPr>
    <w:rPr>
      <w:sz w:val="21"/>
    </w:rPr>
  </w:style>
  <w:style w:type="paragraph" w:customStyle="1" w:styleId="194">
    <w:name w:val="00"/>
    <w:basedOn w:val="1"/>
    <w:qFormat/>
    <w:uiPriority w:val="0"/>
    <w:pPr>
      <w:autoSpaceDE w:val="0"/>
      <w:autoSpaceDN w:val="0"/>
      <w:adjustRightInd w:val="0"/>
      <w:jc w:val="left"/>
    </w:pPr>
    <w:rPr>
      <w:rFonts w:ascii="黑体" w:eastAsia="黑体"/>
      <w:b/>
      <w:kern w:val="0"/>
      <w:sz w:val="20"/>
    </w:rPr>
  </w:style>
  <w:style w:type="paragraph" w:customStyle="1" w:styleId="195">
    <w:name w:val="样式 标题 1章标题Heading 0Section HeadPIM 1H1h11st levell11H1..."/>
    <w:basedOn w:val="4"/>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96">
    <w:name w:val="可研正文"/>
    <w:basedOn w:val="24"/>
    <w:qFormat/>
    <w:uiPriority w:val="0"/>
    <w:pPr>
      <w:adjustRightInd w:val="0"/>
      <w:snapToGrid w:val="0"/>
      <w:spacing w:line="440" w:lineRule="exact"/>
      <w:ind w:firstLine="567"/>
    </w:pPr>
    <w:rPr>
      <w:sz w:val="28"/>
    </w:rPr>
  </w:style>
  <w:style w:type="paragraph" w:customStyle="1" w:styleId="197">
    <w:name w:val="文本1"/>
    <w:basedOn w:val="1"/>
    <w:qFormat/>
    <w:uiPriority w:val="0"/>
    <w:pPr>
      <w:adjustRightInd w:val="0"/>
      <w:spacing w:line="312" w:lineRule="atLeast"/>
      <w:jc w:val="center"/>
      <w:textAlignment w:val="baseline"/>
    </w:pPr>
    <w:rPr>
      <w:kern w:val="0"/>
      <w:sz w:val="18"/>
    </w:rPr>
  </w:style>
  <w:style w:type="paragraph" w:customStyle="1" w:styleId="198">
    <w:name w:val="默认"/>
    <w:qFormat/>
    <w:uiPriority w:val="0"/>
    <w:rPr>
      <w:rFonts w:ascii="Helvetica" w:hAnsi="Helvetica" w:eastAsia="Helvetica" w:cs="Helvetica"/>
      <w:color w:val="000000"/>
      <w:sz w:val="22"/>
      <w:szCs w:val="22"/>
      <w:u w:color="000000"/>
      <w:lang w:val="en-US" w:eastAsia="zh-CN" w:bidi="ar-SA"/>
    </w:rPr>
  </w:style>
  <w:style w:type="paragraph" w:customStyle="1" w:styleId="199">
    <w:name w:val="Body Text 2"/>
    <w:basedOn w:val="1"/>
    <w:qFormat/>
    <w:uiPriority w:val="0"/>
    <w:pPr>
      <w:adjustRightInd w:val="0"/>
      <w:spacing w:before="120" w:line="360" w:lineRule="auto"/>
      <w:ind w:firstLine="480"/>
      <w:textAlignment w:val="baseline"/>
    </w:pPr>
    <w:rPr>
      <w:sz w:val="24"/>
    </w:rPr>
  </w:style>
  <w:style w:type="paragraph" w:customStyle="1" w:styleId="200">
    <w:name w:val="图例"/>
    <w:basedOn w:val="1"/>
    <w:qFormat/>
    <w:uiPriority w:val="0"/>
    <w:pPr>
      <w:spacing w:before="120" w:after="120" w:line="360" w:lineRule="auto"/>
      <w:jc w:val="center"/>
    </w:pPr>
    <w:rPr>
      <w:rFonts w:eastAsia="仿宋_GB2312"/>
      <w:b/>
      <w:sz w:val="24"/>
    </w:rPr>
  </w:style>
  <w:style w:type="paragraph" w:customStyle="1" w:styleId="201">
    <w:name w:val="标题3——2"/>
    <w:basedOn w:val="6"/>
    <w:next w:val="57"/>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lang w:val="en-US" w:eastAsia="zh-CN"/>
    </w:rPr>
  </w:style>
  <w:style w:type="paragraph" w:customStyle="1" w:styleId="202">
    <w:name w:val=" Char Char1"/>
    <w:basedOn w:val="1"/>
    <w:qFormat/>
    <w:uiPriority w:val="0"/>
    <w:pPr>
      <w:widowControl/>
      <w:spacing w:after="160" w:line="240" w:lineRule="exact"/>
      <w:jc w:val="left"/>
    </w:pPr>
    <w:rPr>
      <w:rFonts w:ascii="Verdana" w:hAnsi="Verdana"/>
      <w:kern w:val="0"/>
      <w:sz w:val="20"/>
      <w:lang w:eastAsia="en-US"/>
    </w:rPr>
  </w:style>
  <w:style w:type="paragraph" w:customStyle="1" w:styleId="203">
    <w:name w:val="正文表格"/>
    <w:basedOn w:val="1"/>
    <w:qFormat/>
    <w:uiPriority w:val="0"/>
    <w:pPr>
      <w:adjustRightInd w:val="0"/>
      <w:spacing w:before="40" w:after="40"/>
    </w:pPr>
    <w:rPr>
      <w:sz w:val="24"/>
    </w:rPr>
  </w:style>
  <w:style w:type="paragraph" w:customStyle="1" w:styleId="204">
    <w:name w:val="Style Heading 3h3Heading 3 - oldLevel 3 HeadH3level_3PIM 3se..."/>
    <w:basedOn w:val="6"/>
    <w:qFormat/>
    <w:uiPriority w:val="0"/>
    <w:pPr>
      <w:numPr>
        <w:ilvl w:val="2"/>
        <w:numId w:val="13"/>
      </w:numPr>
      <w:jc w:val="both"/>
    </w:pPr>
    <w:rPr>
      <w:sz w:val="32"/>
    </w:rPr>
  </w:style>
  <w:style w:type="paragraph" w:customStyle="1" w:styleId="20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0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styleId="20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9">
    <w:name w:val=" 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10">
    <w:name w:val="二级列表"/>
    <w:basedOn w:val="129"/>
    <w:next w:val="129"/>
    <w:qFormat/>
    <w:uiPriority w:val="0"/>
    <w:pPr>
      <w:tabs>
        <w:tab w:val="left" w:pos="2120"/>
      </w:tabs>
      <w:ind w:firstLine="0" w:firstLineChars="0"/>
    </w:pPr>
    <w:rPr>
      <w:b/>
    </w:rPr>
  </w:style>
  <w:style w:type="paragraph" w:customStyle="1" w:styleId="211">
    <w:name w:val="首行缩进 1"/>
    <w:basedOn w:val="1"/>
    <w:qFormat/>
    <w:uiPriority w:val="0"/>
    <w:pPr>
      <w:spacing w:after="120" w:line="360" w:lineRule="auto"/>
      <w:ind w:firstLine="200" w:firstLineChars="200"/>
    </w:pPr>
    <w:rPr>
      <w:sz w:val="24"/>
    </w:rPr>
  </w:style>
  <w:style w:type="paragraph" w:customStyle="1" w:styleId="212">
    <w:name w:val="图片文字"/>
    <w:basedOn w:val="1"/>
    <w:qFormat/>
    <w:uiPriority w:val="0"/>
    <w:pPr>
      <w:spacing w:line="240" w:lineRule="atLeast"/>
      <w:jc w:val="center"/>
    </w:pPr>
    <w:rPr>
      <w:sz w:val="21"/>
    </w:rPr>
  </w:style>
  <w:style w:type="paragraph" w:customStyle="1" w:styleId="213">
    <w:name w:val="默认段落字体 Para Char Char Char Char Char Char Char"/>
    <w:basedOn w:val="1"/>
    <w:qFormat/>
    <w:uiPriority w:val="0"/>
    <w:rPr>
      <w:rFonts w:ascii="Tahoma" w:hAnsi="Tahoma"/>
      <w:sz w:val="24"/>
    </w:rPr>
  </w:style>
  <w:style w:type="paragraph" w:customStyle="1" w:styleId="21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5">
    <w:name w:val="列出段落1"/>
    <w:basedOn w:val="1"/>
    <w:qFormat/>
    <w:uiPriority w:val="99"/>
    <w:pPr>
      <w:ind w:firstLine="420" w:firstLineChars="200"/>
    </w:pPr>
    <w:rPr>
      <w:sz w:val="21"/>
      <w:szCs w:val="24"/>
    </w:rPr>
  </w:style>
  <w:style w:type="paragraph" w:customStyle="1" w:styleId="21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8">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19">
    <w:name w:val="摘要"/>
    <w:basedOn w:val="1"/>
    <w:next w:val="5"/>
    <w:qFormat/>
    <w:uiPriority w:val="0"/>
    <w:pPr>
      <w:spacing w:line="360" w:lineRule="auto"/>
    </w:pPr>
    <w:rPr>
      <w:rFonts w:eastAsia="黑体"/>
      <w:sz w:val="20"/>
    </w:rPr>
  </w:style>
  <w:style w:type="paragraph" w:customStyle="1" w:styleId="220">
    <w:name w:val="Body text|1"/>
    <w:basedOn w:val="1"/>
    <w:qFormat/>
    <w:uiPriority w:val="0"/>
    <w:pPr>
      <w:spacing w:after="80" w:line="290" w:lineRule="auto"/>
    </w:pPr>
    <w:rPr>
      <w:rFonts w:ascii="宋体" w:hAnsi="宋体" w:cs="宋体"/>
      <w:sz w:val="21"/>
      <w:szCs w:val="22"/>
      <w:lang w:val="zh-TW" w:eastAsia="zh-TW" w:bidi="zh-TW"/>
    </w:rPr>
  </w:style>
  <w:style w:type="paragraph" w:customStyle="1" w:styleId="221">
    <w:name w:val=" Char Char Char"/>
    <w:basedOn w:val="1"/>
    <w:qFormat/>
    <w:uiPriority w:val="0"/>
    <w:rPr>
      <w:rFonts w:ascii="Tahoma" w:hAnsi="Tahoma"/>
      <w:sz w:val="24"/>
    </w:rPr>
  </w:style>
  <w:style w:type="paragraph" w:customStyle="1" w:styleId="222">
    <w:name w:val="Title - Date"/>
    <w:basedOn w:val="55"/>
    <w:next w:val="1"/>
    <w:qFormat/>
    <w:uiPriority w:val="0"/>
    <w:pPr>
      <w:spacing w:before="240" w:after="720"/>
    </w:pPr>
    <w:rPr>
      <w:sz w:val="28"/>
    </w:rPr>
  </w:style>
  <w:style w:type="paragraph" w:customStyle="1" w:styleId="223">
    <w:name w:val="Char1 Char Char Char"/>
    <w:basedOn w:val="1"/>
    <w:qFormat/>
    <w:uiPriority w:val="0"/>
    <w:rPr>
      <w:rFonts w:ascii="Tahoma" w:hAnsi="Tahoma"/>
      <w:sz w:val="21"/>
    </w:rPr>
  </w:style>
  <w:style w:type="paragraph" w:customStyle="1" w:styleId="224">
    <w:name w:val="样式1xz"/>
    <w:basedOn w:val="1"/>
    <w:qFormat/>
    <w:uiPriority w:val="0"/>
    <w:pPr>
      <w:tabs>
        <w:tab w:val="left" w:pos="1050"/>
        <w:tab w:val="right" w:leader="dot" w:pos="8296"/>
      </w:tabs>
    </w:pPr>
    <w:rPr>
      <w:caps/>
      <w:spacing w:val="20"/>
      <w:sz w:val="24"/>
    </w:rPr>
  </w:style>
  <w:style w:type="paragraph" w:customStyle="1" w:styleId="22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6">
    <w:name w:val="编号正文"/>
    <w:basedOn w:val="217"/>
    <w:qFormat/>
    <w:uiPriority w:val="0"/>
    <w:pPr>
      <w:snapToGrid/>
      <w:spacing w:line="360" w:lineRule="auto"/>
      <w:ind w:left="1407" w:hanging="1047"/>
      <w:jc w:val="left"/>
    </w:pPr>
    <w:rPr>
      <w:rFonts w:eastAsia="仿宋_GB2312"/>
    </w:rPr>
  </w:style>
  <w:style w:type="paragraph" w:customStyle="1" w:styleId="227">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8">
    <w:name w:val="_Style 188"/>
    <w:next w:val="1"/>
    <w:unhideWhenUsed/>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229">
    <w:name w:val="Normal_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表格内文字"/>
    <w:basedOn w:val="32"/>
    <w:qFormat/>
    <w:uiPriority w:val="0"/>
    <w:pPr>
      <w:snapToGrid/>
      <w:spacing w:line="240" w:lineRule="auto"/>
    </w:pPr>
    <w:rPr>
      <w:color w:val="000000"/>
      <w:lang w:val="en-GB"/>
    </w:rPr>
  </w:style>
  <w:style w:type="paragraph" w:customStyle="1" w:styleId="232">
    <w:name w:val=" Char1"/>
    <w:basedOn w:val="1"/>
    <w:qFormat/>
    <w:uiPriority w:val="0"/>
    <w:rPr>
      <w:sz w:val="21"/>
    </w:rPr>
  </w:style>
  <w:style w:type="paragraph" w:customStyle="1" w:styleId="233">
    <w:name w:val=" Char"/>
    <w:basedOn w:val="1"/>
    <w:qFormat/>
    <w:uiPriority w:val="0"/>
    <w:pPr>
      <w:spacing w:line="240" w:lineRule="atLeast"/>
      <w:ind w:left="420" w:firstLine="420"/>
    </w:pPr>
    <w:rPr>
      <w:kern w:val="0"/>
      <w:sz w:val="21"/>
    </w:rPr>
  </w:style>
  <w:style w:type="paragraph" w:customStyle="1" w:styleId="234">
    <w:name w:val="标题2"/>
    <w:basedOn w:val="5"/>
    <w:qFormat/>
    <w:uiPriority w:val="0"/>
    <w:pPr>
      <w:keepNext w:val="0"/>
      <w:keepLines w:val="0"/>
      <w:ind w:firstLine="574" w:firstLineChars="196"/>
      <w:outlineLvl w:val="9"/>
    </w:pPr>
    <w:rPr>
      <w:b/>
      <w:spacing w:val="6"/>
      <w:u w:val="single"/>
    </w:rPr>
  </w:style>
  <w:style w:type="paragraph" w:customStyle="1" w:styleId="235">
    <w:name w:val="样式 宋体 五号 行距: 单倍行距"/>
    <w:basedOn w:val="1"/>
    <w:qFormat/>
    <w:uiPriority w:val="0"/>
    <w:pPr>
      <w:adjustRightInd w:val="0"/>
      <w:jc w:val="left"/>
    </w:pPr>
    <w:rPr>
      <w:rFonts w:ascii="宋体" w:hAnsi="宋体"/>
      <w:kern w:val="0"/>
      <w:sz w:val="21"/>
    </w:rPr>
  </w:style>
  <w:style w:type="paragraph" w:customStyle="1" w:styleId="23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37">
    <w:name w:val=" Char Char Char Char Char"/>
    <w:basedOn w:val="1"/>
    <w:qFormat/>
    <w:uiPriority w:val="0"/>
    <w:pPr>
      <w:numPr>
        <w:ilvl w:val="0"/>
        <w:numId w:val="13"/>
      </w:numPr>
    </w:pPr>
    <w:rPr>
      <w:rFonts w:ascii="Tahoma" w:hAnsi="Tahoma"/>
      <w:sz w:val="24"/>
    </w:rPr>
  </w:style>
  <w:style w:type="paragraph" w:customStyle="1" w:styleId="238">
    <w:name w:val="正文1"/>
    <w:basedOn w:val="1"/>
    <w:qFormat/>
    <w:uiPriority w:val="0"/>
    <w:pPr>
      <w:spacing w:line="300" w:lineRule="auto"/>
      <w:ind w:firstLine="200" w:firstLineChars="200"/>
    </w:pPr>
    <w:rPr>
      <w:sz w:val="24"/>
    </w:rPr>
  </w:style>
  <w:style w:type="paragraph" w:customStyle="1" w:styleId="239">
    <w:name w:val="样式 正文缩进正文（首行缩进两字）表正文正文非缩进特点标题4段1 + 首行缩进:  2 字符"/>
    <w:basedOn w:val="17"/>
    <w:qFormat/>
    <w:uiPriority w:val="0"/>
    <w:pPr>
      <w:ind w:firstLine="480" w:firstLineChars="20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Title - Revision"/>
    <w:basedOn w:val="55"/>
    <w:qFormat/>
    <w:uiPriority w:val="0"/>
    <w:pPr>
      <w:spacing w:before="720"/>
    </w:pPr>
  </w:style>
  <w:style w:type="paragraph" w:customStyle="1" w:styleId="242">
    <w:name w:val="表头样式"/>
    <w:basedOn w:val="1"/>
    <w:qFormat/>
    <w:uiPriority w:val="0"/>
    <w:pPr>
      <w:autoSpaceDE w:val="0"/>
      <w:autoSpaceDN w:val="0"/>
      <w:adjustRightInd w:val="0"/>
      <w:spacing w:line="360" w:lineRule="auto"/>
      <w:jc w:val="left"/>
    </w:pPr>
    <w:rPr>
      <w:b/>
      <w:kern w:val="0"/>
      <w:sz w:val="21"/>
    </w:rPr>
  </w:style>
  <w:style w:type="paragraph" w:customStyle="1" w:styleId="243">
    <w:name w:val="Table Contents"/>
    <w:basedOn w:val="24"/>
    <w:qFormat/>
    <w:uiPriority w:val="0"/>
    <w:pPr>
      <w:suppressAutoHyphens/>
      <w:jc w:val="left"/>
    </w:pPr>
    <w:rPr>
      <w:rFonts w:ascii="Times New Roman" w:eastAsia="Times New Roman"/>
      <w:kern w:val="0"/>
      <w:sz w:val="24"/>
    </w:rPr>
  </w:style>
  <w:style w:type="paragraph" w:customStyle="1" w:styleId="244">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4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46">
    <w:name w:val="样式 标题 1 + 居中 段前: 6 磅 段后: 6 磅 行距: 1.5 倍行距"/>
    <w:basedOn w:val="4"/>
    <w:qFormat/>
    <w:uiPriority w:val="0"/>
    <w:pPr>
      <w:keepLines/>
      <w:tabs>
        <w:tab w:val="clear" w:pos="3360"/>
      </w:tabs>
      <w:adjustRightInd w:val="0"/>
      <w:spacing w:beforeLines="0" w:line="360" w:lineRule="auto"/>
    </w:pPr>
    <w:rPr>
      <w:rFonts w:eastAsia="宋体"/>
      <w:b/>
      <w:kern w:val="44"/>
      <w:sz w:val="32"/>
    </w:rPr>
  </w:style>
  <w:style w:type="paragraph" w:customStyle="1" w:styleId="247">
    <w:name w:val="样式 正文首行缩进 2 + 首行缩进:  2 字符"/>
    <w:basedOn w:val="1"/>
    <w:qFormat/>
    <w:uiPriority w:val="0"/>
    <w:pPr>
      <w:numPr>
        <w:ilvl w:val="0"/>
        <w:numId w:val="14"/>
      </w:numPr>
      <w:adjustRightInd w:val="0"/>
      <w:snapToGrid w:val="0"/>
      <w:spacing w:line="360" w:lineRule="auto"/>
    </w:pPr>
    <w:rPr>
      <w:rFonts w:ascii="Arial" w:hAnsi="Arial"/>
      <w:b/>
      <w:sz w:val="24"/>
    </w:rPr>
  </w:style>
  <w:style w:type="paragraph" w:customStyle="1" w:styleId="248">
    <w:name w:val=" Char1 Char Char Char"/>
    <w:basedOn w:val="1"/>
    <w:qFormat/>
    <w:uiPriority w:val="0"/>
    <w:rPr>
      <w:rFonts w:ascii="Tahoma" w:hAnsi="Tahoma"/>
      <w:sz w:val="24"/>
    </w:rPr>
  </w:style>
  <w:style w:type="paragraph" w:customStyle="1" w:styleId="249">
    <w:name w:val="样式 首行缩进:  0.74 厘米"/>
    <w:basedOn w:val="1"/>
    <w:qFormat/>
    <w:uiPriority w:val="0"/>
    <w:pPr>
      <w:spacing w:line="360" w:lineRule="auto"/>
      <w:ind w:firstLine="420"/>
    </w:pPr>
    <w:rPr>
      <w:sz w:val="24"/>
    </w:rPr>
  </w:style>
  <w:style w:type="paragraph" w:customStyle="1" w:styleId="250">
    <w:name w:val="Note"/>
    <w:basedOn w:val="1"/>
    <w:qFormat/>
    <w:uiPriority w:val="0"/>
    <w:pPr>
      <w:pBdr>
        <w:top w:val="single" w:color="auto" w:sz="12" w:space="3"/>
        <w:bottom w:val="single" w:color="auto" w:sz="12" w:space="3"/>
      </w:pBdr>
      <w:spacing w:line="360" w:lineRule="auto"/>
    </w:pPr>
    <w:rPr>
      <w:sz w:val="24"/>
    </w:rPr>
  </w:style>
  <w:style w:type="paragraph" w:customStyle="1" w:styleId="251">
    <w:name w:val="Char Char Char Char Char Char Char"/>
    <w:basedOn w:val="19"/>
    <w:qFormat/>
    <w:uiPriority w:val="0"/>
    <w:rPr>
      <w:rFonts w:ascii="宋体" w:hAnsi="Tahoma"/>
    </w:rPr>
  </w:style>
  <w:style w:type="paragraph" w:customStyle="1" w:styleId="252">
    <w:name w:val="操作步骤"/>
    <w:basedOn w:val="1"/>
    <w:qFormat/>
    <w:uiPriority w:val="0"/>
    <w:pPr>
      <w:numPr>
        <w:ilvl w:val="0"/>
        <w:numId w:val="1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53">
    <w:name w:val="样式 行距: 1.5 倍行距1"/>
    <w:basedOn w:val="1"/>
    <w:qFormat/>
    <w:uiPriority w:val="0"/>
    <w:pPr>
      <w:snapToGrid w:val="0"/>
    </w:pPr>
    <w:rPr>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50</Pages>
  <Words>4294</Words>
  <Characters>24482</Characters>
  <Lines>204</Lines>
  <Paragraphs>57</Paragraphs>
  <TotalTime>4</TotalTime>
  <ScaleCrop>false</ScaleCrop>
  <LinksUpToDate>false</LinksUpToDate>
  <CharactersWithSpaces>28719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2021-04-10T04:51:00Z</dcterms:created>
  <dc:creator>admin</dc:creator>
  <cp:lastModifiedBy>user</cp:lastModifiedBy>
  <cp:lastPrinted>2020-07-13T00:52:00Z</cp:lastPrinted>
  <dcterms:modified xsi:type="dcterms:W3CDTF">2024-11-13T04:38:36Z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