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黑体_GBK" w:hAnsi="方正黑体_GBK" w:eastAsia="方正黑体_GBK" w:cs="方正黑体_GBK"/>
          <w:sz w:val="32"/>
          <w:szCs w:val="32"/>
        </w:rPr>
      </w:pPr>
      <w:r>
        <w:rPr>
          <w:rFonts w:ascii="方正黑体_GBK" w:hAnsi="方正黑体_GBK" w:eastAsia="方正黑体_GBK" w:cs="方正黑体_GBK"/>
          <w:sz w:val="32"/>
          <w:szCs w:val="32"/>
        </w:rPr>
        <w:t>附件2</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合川</w:t>
      </w:r>
      <w:r>
        <w:rPr>
          <w:rFonts w:ascii="方正小标宋_GBK" w:hAnsi="方正小标宋_GBK" w:eastAsia="方正小标宋_GBK" w:cs="方正小标宋_GBK"/>
          <w:sz w:val="44"/>
          <w:szCs w:val="44"/>
        </w:rPr>
        <w:t>区水电气等市政接入外线工程告知承诺制事项清单</w:t>
      </w:r>
    </w:p>
    <w:tbl>
      <w:tblPr>
        <w:tblStyle w:val="5"/>
        <w:tblpPr w:leftFromText="180" w:rightFromText="180" w:vertAnchor="text" w:horzAnchor="page" w:tblpXSpec="center" w:tblpY="1438"/>
        <w:tblOverlap w:val="never"/>
        <w:tblW w:w="0" w:type="auto"/>
        <w:jc w:val="center"/>
        <w:tblLayout w:type="fixed"/>
        <w:tblCellMar>
          <w:top w:w="15" w:type="dxa"/>
          <w:left w:w="15" w:type="dxa"/>
          <w:bottom w:w="15" w:type="dxa"/>
          <w:right w:w="15" w:type="dxa"/>
        </w:tblCellMar>
      </w:tblPr>
      <w:tblGrid>
        <w:gridCol w:w="1382"/>
        <w:gridCol w:w="5280"/>
        <w:gridCol w:w="2538"/>
        <w:gridCol w:w="2600"/>
        <w:gridCol w:w="1925"/>
      </w:tblGrid>
      <w:tr>
        <w:tblPrEx>
          <w:tblCellMar>
            <w:top w:w="15" w:type="dxa"/>
            <w:left w:w="15" w:type="dxa"/>
            <w:bottom w:w="15" w:type="dxa"/>
            <w:right w:w="15" w:type="dxa"/>
          </w:tblCellMar>
        </w:tblPrEx>
        <w:trPr>
          <w:jc w:val="center"/>
        </w:trPr>
        <w:tc>
          <w:tcPr>
            <w:tcW w:w="1382" w:type="dxa"/>
            <w:tcBorders>
              <w:top w:val="single" w:color="000000" w:sz="4" w:space="0"/>
              <w:left w:val="single" w:color="000000" w:sz="4" w:space="0"/>
              <w:bottom w:val="single" w:color="000000" w:sz="4" w:space="0"/>
              <w:right w:val="single" w:color="000000" w:sz="4" w:space="0"/>
            </w:tcBorders>
            <w:noWrap w:val="0"/>
            <w:vAlign w:val="center"/>
          </w:tcPr>
          <w:p>
            <w:pPr>
              <w:tabs>
                <w:tab w:val="left" w:pos="4671"/>
              </w:tabs>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sz w:val="32"/>
                <w:szCs w:val="32"/>
              </w:rPr>
            </w:pPr>
            <w:r>
              <w:rPr>
                <w:rFonts w:ascii="方正黑体_GBK" w:hAnsi="方正黑体_GBK" w:eastAsia="方正黑体_GBK" w:cs="方正黑体_GBK"/>
                <w:kern w:val="0"/>
                <w:sz w:val="32"/>
                <w:szCs w:val="32"/>
                <w:lang w:bidi="ar"/>
              </w:rPr>
              <w:t>承诺事项</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sz w:val="32"/>
                <w:szCs w:val="32"/>
              </w:rPr>
            </w:pPr>
            <w:r>
              <w:rPr>
                <w:rFonts w:ascii="方正黑体_GBK" w:hAnsi="方正黑体_GBK" w:eastAsia="方正黑体_GBK" w:cs="方正黑体_GBK"/>
                <w:kern w:val="0"/>
                <w:sz w:val="32"/>
                <w:szCs w:val="32"/>
                <w:lang w:bidi="ar"/>
              </w:rPr>
              <w:t>办理部门单位</w:t>
            </w:r>
          </w:p>
        </w:tc>
        <w:tc>
          <w:tcPr>
            <w:tcW w:w="2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sz w:val="32"/>
                <w:szCs w:val="32"/>
              </w:rPr>
            </w:pPr>
            <w:r>
              <w:rPr>
                <w:rFonts w:ascii="方正黑体_GBK" w:hAnsi="方正黑体_GBK" w:eastAsia="方正黑体_GBK" w:cs="方正黑体_GBK"/>
                <w:kern w:val="0"/>
                <w:sz w:val="32"/>
                <w:szCs w:val="32"/>
                <w:lang w:bidi="ar"/>
              </w:rPr>
              <w:t>办理范围</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sz w:val="32"/>
                <w:szCs w:val="32"/>
              </w:rPr>
            </w:pPr>
            <w:r>
              <w:rPr>
                <w:rFonts w:ascii="方正黑体_GBK" w:hAnsi="方正黑体_GBK" w:eastAsia="方正黑体_GBK" w:cs="方正黑体_GBK"/>
                <w:kern w:val="0"/>
                <w:sz w:val="32"/>
                <w:szCs w:val="32"/>
                <w:lang w:bidi="ar"/>
              </w:rPr>
              <w:t>承诺类别</w:t>
            </w:r>
          </w:p>
        </w:tc>
      </w:tr>
      <w:tr>
        <w:tblPrEx>
          <w:tblCellMar>
            <w:top w:w="15" w:type="dxa"/>
            <w:left w:w="15" w:type="dxa"/>
            <w:bottom w:w="15" w:type="dxa"/>
            <w:right w:w="15" w:type="dxa"/>
          </w:tblCellMar>
        </w:tblPrEx>
        <w:trPr>
          <w:jc w:val="center"/>
        </w:trPr>
        <w:tc>
          <w:tcPr>
            <w:tcW w:w="13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占用、挖掘城市道路审批</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区城市管理局</w:t>
            </w:r>
          </w:p>
        </w:tc>
        <w:tc>
          <w:tcPr>
            <w:tcW w:w="2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区级办理</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告知承诺</w:t>
            </w:r>
          </w:p>
        </w:tc>
      </w:tr>
      <w:tr>
        <w:tblPrEx>
          <w:tblCellMar>
            <w:top w:w="15" w:type="dxa"/>
            <w:left w:w="15" w:type="dxa"/>
            <w:bottom w:w="15" w:type="dxa"/>
            <w:right w:w="15" w:type="dxa"/>
          </w:tblCellMar>
        </w:tblPrEx>
        <w:trPr>
          <w:jc w:val="center"/>
        </w:trPr>
        <w:tc>
          <w:tcPr>
            <w:tcW w:w="13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交通安全监督意见书</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区交巡警支队</w:t>
            </w:r>
          </w:p>
        </w:tc>
        <w:tc>
          <w:tcPr>
            <w:tcW w:w="2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区级办理</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告知承诺</w:t>
            </w:r>
          </w:p>
        </w:tc>
      </w:tr>
      <w:tr>
        <w:tblPrEx>
          <w:tblCellMar>
            <w:top w:w="15" w:type="dxa"/>
            <w:left w:w="15" w:type="dxa"/>
            <w:bottom w:w="15" w:type="dxa"/>
            <w:right w:w="15" w:type="dxa"/>
          </w:tblCellMar>
        </w:tblPrEx>
        <w:trPr>
          <w:jc w:val="center"/>
        </w:trPr>
        <w:tc>
          <w:tcPr>
            <w:tcW w:w="13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临时占用城市绿地用地审批</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区城市管理局</w:t>
            </w:r>
          </w:p>
        </w:tc>
        <w:tc>
          <w:tcPr>
            <w:tcW w:w="2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方正仿宋_GBK"/>
                <w:sz w:val="28"/>
                <w:szCs w:val="28"/>
                <w:lang w:val="en-US" w:eastAsia="zh-CN"/>
              </w:rPr>
            </w:pPr>
            <w:r>
              <w:rPr>
                <w:rFonts w:eastAsia="方正仿宋_GBK"/>
                <w:kern w:val="0"/>
                <w:sz w:val="28"/>
                <w:szCs w:val="28"/>
                <w:lang w:bidi="ar"/>
              </w:rPr>
              <w:t>区级办理</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sz w:val="28"/>
                <w:szCs w:val="28"/>
              </w:rPr>
            </w:pPr>
            <w:r>
              <w:rPr>
                <w:rFonts w:eastAsia="方正仿宋_GBK"/>
                <w:kern w:val="0"/>
                <w:sz w:val="28"/>
                <w:szCs w:val="28"/>
                <w:lang w:bidi="ar"/>
              </w:rPr>
              <w:t>告知承诺</w:t>
            </w:r>
          </w:p>
        </w:tc>
      </w:tr>
    </w:tbl>
    <w:p>
      <w:pPr>
        <w:widowControl/>
        <w:shd w:val="clear" w:color="auto" w:fill="FFFFFF"/>
        <w:spacing w:line="560" w:lineRule="exact"/>
        <w:rPr>
          <w:rFonts w:eastAsia="方正黑体_GBK"/>
          <w:sz w:val="32"/>
          <w:szCs w:val="32"/>
        </w:rPr>
        <w:sectPr>
          <w:footerReference r:id="rId3" w:type="default"/>
          <w:pgSz w:w="16838" w:h="11906" w:orient="landscape"/>
          <w:pgMar w:top="1417" w:right="1984" w:bottom="1417" w:left="1644" w:header="851" w:footer="1134" w:gutter="0"/>
          <w:cols w:space="720" w:num="1"/>
          <w:docGrid w:type="lines" w:linePitch="314" w:charSpace="0"/>
        </w:sectPr>
      </w:pPr>
    </w:p>
    <w:p>
      <w:pPr>
        <w:widowControl/>
        <w:shd w:val="clear" w:color="auto" w:fill="FFFFFF"/>
        <w:spacing w:line="560" w:lineRule="exact"/>
        <w:jc w:val="center"/>
        <w:rPr>
          <w:rFonts w:eastAsia="方正小标宋简体"/>
          <w:kern w:val="0"/>
          <w:sz w:val="40"/>
          <w:szCs w:val="40"/>
        </w:rPr>
      </w:pPr>
      <w:r>
        <w:rPr>
          <w:rFonts w:eastAsia="方正小标宋简体"/>
          <w:kern w:val="0"/>
          <w:sz w:val="40"/>
          <w:szCs w:val="40"/>
        </w:rPr>
        <w:t>关于实施水电气项目接入外线工程承诺书</w:t>
      </w:r>
    </w:p>
    <w:p>
      <w:pPr>
        <w:widowControl/>
        <w:shd w:val="clear" w:color="auto" w:fill="FFFFFF"/>
        <w:spacing w:line="560" w:lineRule="exact"/>
        <w:jc w:val="center"/>
        <w:rPr>
          <w:rFonts w:eastAsia="方正小标宋简体"/>
          <w:kern w:val="0"/>
          <w:sz w:val="40"/>
          <w:szCs w:val="40"/>
        </w:rPr>
      </w:pPr>
    </w:p>
    <w:p>
      <w:pPr>
        <w:shd w:val="clear" w:color="auto" w:fill="FFFFFF"/>
        <w:topLinePunct/>
        <w:spacing w:line="560" w:lineRule="exact"/>
        <w:ind w:firstLine="640" w:firstLineChars="200"/>
        <w:rPr>
          <w:rFonts w:eastAsia="方正仿宋_GBK"/>
          <w:kern w:val="0"/>
          <w:sz w:val="32"/>
          <w:szCs w:val="32"/>
        </w:rPr>
      </w:pPr>
      <w:r>
        <w:rPr>
          <w:rFonts w:eastAsia="方正仿宋_GBK"/>
          <w:kern w:val="0"/>
          <w:sz w:val="32"/>
          <w:szCs w:val="32"/>
        </w:rPr>
        <w:t>我单位承诺将严格按照法律法规和相关行政主管部门的要求做好水电气接入外线工程建设工作，同时本单位做出如下承诺：</w:t>
      </w:r>
    </w:p>
    <w:p>
      <w:pPr>
        <w:shd w:val="clear" w:color="auto" w:fill="FFFFFF"/>
        <w:topLinePunct/>
        <w:spacing w:line="560" w:lineRule="exact"/>
        <w:ind w:firstLine="640" w:firstLineChars="200"/>
        <w:rPr>
          <w:rFonts w:eastAsia="方正仿宋_GBK"/>
          <w:sz w:val="32"/>
          <w:szCs w:val="32"/>
        </w:rPr>
      </w:pPr>
      <w:r>
        <w:rPr>
          <w:rFonts w:eastAsia="方正仿宋_GBK"/>
          <w:sz w:val="32"/>
          <w:szCs w:val="32"/>
        </w:rPr>
        <w:t>1．配合自然资源和规划、住建、城管、水利、交通等行业主管部门做好现场勘验，审批流程中的承诺补齐的有关资料或需要缴费的，我单位承诺在5个工作日内补齐资料或缴清有关费用。若在规定时间未完成的，可将我单位列入失信名单。</w:t>
      </w:r>
    </w:p>
    <w:p>
      <w:pPr>
        <w:shd w:val="clear" w:color="auto" w:fill="FFFFFF"/>
        <w:topLinePunct/>
        <w:spacing w:line="560" w:lineRule="exact"/>
        <w:ind w:firstLine="640" w:firstLineChars="200"/>
        <w:rPr>
          <w:rFonts w:eastAsia="方正仿宋_GBK"/>
          <w:sz w:val="32"/>
          <w:szCs w:val="32"/>
        </w:rPr>
      </w:pPr>
      <w:r>
        <w:rPr>
          <w:rFonts w:eastAsia="方正仿宋_GBK"/>
          <w:sz w:val="32"/>
          <w:szCs w:val="32"/>
        </w:rPr>
        <w:t>2．项目施工位于燃气、电力、给水、广播通信等市政管网及高速公路安全保护范围的，项目开工前，应按照相应主管部门</w:t>
      </w:r>
      <w:r>
        <w:rPr>
          <w:rFonts w:eastAsia="方正仿宋_GBK"/>
          <w:kern w:val="0"/>
          <w:sz w:val="32"/>
          <w:szCs w:val="32"/>
        </w:rPr>
        <w:t>（</w:t>
      </w:r>
      <w:r>
        <w:rPr>
          <w:rFonts w:eastAsia="方正仿宋_GBK"/>
          <w:sz w:val="32"/>
          <w:szCs w:val="32"/>
        </w:rPr>
        <w:t>企业</w:t>
      </w:r>
      <w:r>
        <w:rPr>
          <w:rFonts w:eastAsia="方正仿宋_GBK"/>
          <w:kern w:val="0"/>
          <w:sz w:val="32"/>
          <w:szCs w:val="32"/>
        </w:rPr>
        <w:t>）</w:t>
      </w:r>
      <w:r>
        <w:rPr>
          <w:rFonts w:eastAsia="方正仿宋_GBK"/>
          <w:sz w:val="32"/>
          <w:szCs w:val="32"/>
        </w:rPr>
        <w:t>要求签好施工现场设施安全保护协议，编制施工现场设施保护方案，取得相应主管部门</w:t>
      </w:r>
      <w:r>
        <w:rPr>
          <w:rFonts w:eastAsia="方正仿宋_GBK"/>
          <w:kern w:val="0"/>
          <w:sz w:val="32"/>
          <w:szCs w:val="32"/>
        </w:rPr>
        <w:t>（</w:t>
      </w:r>
      <w:r>
        <w:rPr>
          <w:rFonts w:eastAsia="方正仿宋_GBK"/>
          <w:sz w:val="32"/>
          <w:szCs w:val="32"/>
        </w:rPr>
        <w:t>企业</w:t>
      </w:r>
      <w:r>
        <w:rPr>
          <w:rFonts w:eastAsia="方正仿宋_GBK"/>
          <w:kern w:val="0"/>
          <w:sz w:val="32"/>
          <w:szCs w:val="32"/>
        </w:rPr>
        <w:t>）</w:t>
      </w:r>
      <w:r>
        <w:rPr>
          <w:rFonts w:eastAsia="方正仿宋_GBK"/>
          <w:sz w:val="32"/>
          <w:szCs w:val="32"/>
        </w:rPr>
        <w:t>的同意后施工，同时需报住建部门备案。若未按承诺执行上述要求、流程，可将我单位列入失信名单，造成相关损失、后果由我单位承担。</w:t>
      </w:r>
    </w:p>
    <w:p>
      <w:pPr>
        <w:shd w:val="clear" w:color="auto" w:fill="FFFFFF"/>
        <w:topLinePunct/>
        <w:spacing w:line="560" w:lineRule="exact"/>
        <w:ind w:firstLine="640" w:firstLineChars="200"/>
        <w:rPr>
          <w:rFonts w:eastAsia="方正仿宋_GBK"/>
          <w:sz w:val="32"/>
          <w:szCs w:val="32"/>
        </w:rPr>
      </w:pPr>
      <w:r>
        <w:rPr>
          <w:rFonts w:eastAsia="方正仿宋_GBK"/>
          <w:sz w:val="32"/>
          <w:szCs w:val="32"/>
        </w:rPr>
        <w:t>3．项目设计及施工中，施工图基于现状管线物探清楚的情况下进行设计，严格按照规范要求进行设计和施工，并对管线保护采取技术措施；事故应急预案中，明确管线保护的应急救援预案，在原有地下管线的保护区范围内，不使用机械开挖。</w:t>
      </w:r>
    </w:p>
    <w:p>
      <w:pPr>
        <w:shd w:val="clear" w:color="auto" w:fill="FFFFFF"/>
        <w:topLinePunct/>
        <w:spacing w:line="560" w:lineRule="exact"/>
        <w:ind w:firstLine="640" w:firstLineChars="200"/>
        <w:rPr>
          <w:rFonts w:eastAsia="方正仿宋_GBK"/>
          <w:sz w:val="32"/>
          <w:szCs w:val="32"/>
        </w:rPr>
      </w:pPr>
      <w:r>
        <w:rPr>
          <w:rFonts w:eastAsia="方正仿宋_GBK"/>
          <w:sz w:val="32"/>
          <w:szCs w:val="32"/>
        </w:rPr>
        <w:t>4．施工过程中，严格按照项目的审批时间、路径、工期进行施工。对开挖区域管线应采取人工开挖探沟勘察;遇到地下管线情况不明的，应尽快联系相关管线单位到现场核查核对，待查明地下管线分布情况后，方可进行施工。</w:t>
      </w:r>
    </w:p>
    <w:p>
      <w:pPr>
        <w:shd w:val="clear" w:color="auto" w:fill="FFFFFF"/>
        <w:topLinePunct/>
        <w:spacing w:line="560" w:lineRule="exact"/>
        <w:ind w:firstLine="640" w:firstLineChars="200"/>
        <w:rPr>
          <w:rFonts w:eastAsia="方正仿宋_GBK"/>
          <w:sz w:val="32"/>
          <w:szCs w:val="32"/>
        </w:rPr>
      </w:pPr>
      <w:r>
        <w:rPr>
          <w:rFonts w:eastAsia="方正仿宋_GBK"/>
          <w:sz w:val="32"/>
          <w:szCs w:val="32"/>
        </w:rPr>
        <w:t>5．施工现场，严格按市政、交警要求设置安全护栏或施工围挡、交通导向标志、标线等，夜间设置安全警示灯，确保过往行人及车辆安全。在开挖区域设置明显告示牌张贴建设、施工单位名称、施工负责人联系电话及施工时间，接受监督，做好交通疏导措施，保证道路通行和行人安全。</w:t>
      </w:r>
    </w:p>
    <w:p>
      <w:pPr>
        <w:shd w:val="clear" w:color="auto" w:fill="FFFFFF"/>
        <w:topLinePunct/>
        <w:spacing w:line="560" w:lineRule="exact"/>
        <w:ind w:firstLine="640" w:firstLineChars="200"/>
        <w:rPr>
          <w:rFonts w:eastAsia="方正仿宋_GBK"/>
          <w:sz w:val="32"/>
          <w:szCs w:val="32"/>
        </w:rPr>
      </w:pPr>
      <w:r>
        <w:rPr>
          <w:rFonts w:eastAsia="方正仿宋_GBK"/>
          <w:sz w:val="32"/>
          <w:szCs w:val="32"/>
        </w:rPr>
        <w:t>6．按照文明施工的有关规定，对施工范围采取围蔽作业，施工材料、机具等不得超出施工围蔽范围。大型机械施工作业应安排在晚上10时前完成，并采取有效措施防止施工噪音和施工产生的粉尘。施工产生的淤泥、废料等要及时清运，施工产生的泥浆水，应经沉淀处理后排入市政污水管道，不得向路面直接排放。</w:t>
      </w:r>
    </w:p>
    <w:p>
      <w:pPr>
        <w:shd w:val="clear" w:color="auto" w:fill="FFFFFF"/>
        <w:topLinePunct/>
        <w:spacing w:line="560" w:lineRule="exact"/>
        <w:ind w:firstLine="640" w:firstLineChars="200"/>
        <w:rPr>
          <w:rFonts w:eastAsia="方正仿宋_GBK"/>
          <w:sz w:val="32"/>
          <w:szCs w:val="32"/>
        </w:rPr>
      </w:pPr>
      <w:r>
        <w:rPr>
          <w:rFonts w:eastAsia="方正仿宋_GBK"/>
          <w:sz w:val="32"/>
          <w:szCs w:val="32"/>
        </w:rPr>
        <w:t>7．严格按照道路修复标准，及时修复挖掘路面。挖掘砼路面的，需整块面积修复，挖掘其他材料的路面，按挖掘实际面积修复。</w:t>
      </w:r>
    </w:p>
    <w:p>
      <w:pPr>
        <w:shd w:val="clear" w:color="auto" w:fill="FFFFFF"/>
        <w:topLinePunct/>
        <w:spacing w:line="560" w:lineRule="exact"/>
        <w:ind w:firstLine="640" w:firstLineChars="200"/>
        <w:rPr>
          <w:rFonts w:eastAsia="方正仿宋_GBK"/>
          <w:sz w:val="32"/>
          <w:szCs w:val="32"/>
        </w:rPr>
      </w:pPr>
      <w:r>
        <w:rPr>
          <w:rFonts w:eastAsia="方正仿宋_GBK"/>
          <w:sz w:val="32"/>
          <w:szCs w:val="32"/>
        </w:rPr>
        <w:t>8．挖掘</w:t>
      </w:r>
      <w:r>
        <w:rPr>
          <w:rFonts w:eastAsia="方正仿宋_GBK"/>
          <w:kern w:val="0"/>
          <w:sz w:val="32"/>
          <w:szCs w:val="32"/>
        </w:rPr>
        <w:t>（</w:t>
      </w:r>
      <w:r>
        <w:rPr>
          <w:rFonts w:eastAsia="方正仿宋_GBK"/>
          <w:sz w:val="32"/>
          <w:szCs w:val="32"/>
        </w:rPr>
        <w:t>占用</w:t>
      </w:r>
      <w:r>
        <w:rPr>
          <w:rFonts w:eastAsia="方正仿宋_GBK"/>
          <w:kern w:val="0"/>
          <w:sz w:val="32"/>
          <w:szCs w:val="32"/>
        </w:rPr>
        <w:t>）</w:t>
      </w:r>
      <w:r>
        <w:rPr>
          <w:rFonts w:eastAsia="方正仿宋_GBK"/>
          <w:sz w:val="32"/>
          <w:szCs w:val="32"/>
        </w:rPr>
        <w:t>期间发生任何形式的纠纷和损害责任，由建设单位自行承担并协调解决。</w:t>
      </w:r>
    </w:p>
    <w:p>
      <w:pPr>
        <w:shd w:val="clear" w:color="auto" w:fill="FFFFFF"/>
        <w:topLinePunct/>
        <w:spacing w:line="560" w:lineRule="exact"/>
        <w:ind w:firstLine="640" w:firstLineChars="200"/>
        <w:rPr>
          <w:rFonts w:eastAsia="方正仿宋_GBK"/>
          <w:sz w:val="32"/>
          <w:szCs w:val="32"/>
        </w:rPr>
      </w:pPr>
      <w:r>
        <w:rPr>
          <w:rFonts w:eastAsia="方正仿宋_GBK"/>
          <w:sz w:val="32"/>
          <w:szCs w:val="32"/>
        </w:rPr>
        <w:t>本单位承诺上述内容真实可靠，提供资料均为真实、有效、符合法律法规相关文件，并将切实履行，如有违反，接受相应的处罚。</w:t>
      </w:r>
    </w:p>
    <w:p>
      <w:pPr>
        <w:shd w:val="clear" w:color="auto" w:fill="FFFFFF"/>
        <w:topLinePunct/>
        <w:spacing w:line="560" w:lineRule="exact"/>
        <w:ind w:firstLine="640" w:firstLineChars="200"/>
        <w:rPr>
          <w:rFonts w:eastAsia="方正仿宋_GBK"/>
          <w:sz w:val="32"/>
          <w:szCs w:val="32"/>
        </w:rPr>
      </w:pPr>
    </w:p>
    <w:p>
      <w:pPr>
        <w:wordWrap w:val="0"/>
        <w:topLinePunct/>
        <w:spacing w:line="560" w:lineRule="exact"/>
        <w:ind w:firstLine="4480" w:firstLineChars="1400"/>
        <w:rPr>
          <w:rFonts w:eastAsia="方正仿宋_GBK"/>
          <w:sz w:val="32"/>
          <w:szCs w:val="32"/>
        </w:rPr>
      </w:pPr>
      <w:r>
        <w:rPr>
          <w:rFonts w:eastAsia="方正仿宋_GBK"/>
          <w:sz w:val="32"/>
          <w:szCs w:val="32"/>
        </w:rPr>
        <w:t xml:space="preserve">承诺方：  单位（公章）    </w:t>
      </w:r>
      <w:r>
        <w:rPr>
          <w:rFonts w:hint="eastAsia" w:eastAsia="方正仿宋_GBK"/>
          <w:sz w:val="32"/>
          <w:szCs w:val="32"/>
          <w:lang w:val="en-US" w:eastAsia="zh-CN"/>
        </w:rPr>
        <w:t xml:space="preserve">          </w:t>
      </w:r>
      <w:bookmarkStart w:id="0" w:name="_GoBack"/>
      <w:bookmarkEnd w:id="0"/>
      <w:r>
        <w:rPr>
          <w:rFonts w:eastAsia="方正仿宋_GBK"/>
          <w:sz w:val="32"/>
          <w:szCs w:val="32"/>
        </w:rPr>
        <w:t xml:space="preserve">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微软雅黑"/>
    <w:panose1 w:val="00000000000000000000"/>
    <w:charset w:val="00"/>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405BA"/>
    <w:rsid w:val="1DC40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widowControl w:val="0"/>
      <w:spacing w:beforeLines="0" w:afterLines="0"/>
      <w:jc w:val="both"/>
    </w:pPr>
    <w:rPr>
      <w:rFonts w:hint="eastAsia" w:ascii="Calibri" w:hAnsi="Calibri"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99"/>
    <w:pPr>
      <w:spacing w:beforeLines="0" w:after="120" w:afterLines="0"/>
    </w:pPr>
    <w:rPr>
      <w:rFonts w:hint="eastAsia"/>
      <w:sz w:val="21"/>
    </w:rPr>
  </w:style>
  <w:style w:type="paragraph" w:customStyle="1" w:styleId="3">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4">
    <w:name w:val="footer"/>
    <w:basedOn w:val="1"/>
    <w:unhideWhenUsed/>
    <w:uiPriority w:val="99"/>
    <w:pPr>
      <w:tabs>
        <w:tab w:val="center" w:pos="4153"/>
        <w:tab w:val="right" w:pos="8306"/>
      </w:tabs>
      <w:snapToGrid w:val="0"/>
      <w:spacing w:beforeLines="0" w:afterLines="0"/>
      <w:jc w:val="left"/>
    </w:pPr>
    <w:rPr>
      <w:rFonts w:hint="eastAsia" w:ascii="Calibri" w:hAnsi="Calibri"/>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2023-02-17T01:59:00Z</dcterms:created>
  <dc:creator>win10</dc:creator>
  <cp:lastModifiedBy>win10</cp:lastModifiedBy>
  <dcterms:modified xsi:type="dcterms:W3CDTF">2023-02-17T01:59:24Z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