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0A" w:rsidRDefault="005E260A" w:rsidP="005E260A">
      <w:pPr>
        <w:outlineLvl w:val="1"/>
        <w:rPr>
          <w:rFonts w:eastAsia="方正黑体_GBK"/>
          <w:sz w:val="32"/>
          <w:szCs w:val="32"/>
          <w:lang w:eastAsia="zh-CN"/>
        </w:rPr>
      </w:pPr>
      <w:r>
        <w:rPr>
          <w:rFonts w:eastAsia="方正黑体_GBK"/>
          <w:sz w:val="32"/>
          <w:szCs w:val="32"/>
          <w:lang w:eastAsia="zh-CN"/>
        </w:rPr>
        <w:t>附件</w:t>
      </w:r>
      <w:r>
        <w:rPr>
          <w:rFonts w:eastAsia="方正黑体_GBK"/>
          <w:sz w:val="32"/>
          <w:szCs w:val="32"/>
          <w:lang w:eastAsia="zh-CN"/>
        </w:rPr>
        <w:t>3</w:t>
      </w:r>
    </w:p>
    <w:p w:rsidR="005E260A" w:rsidRDefault="005E260A" w:rsidP="005E260A">
      <w:pPr>
        <w:pStyle w:val="00"/>
        <w:adjustRightInd w:val="0"/>
        <w:snapToGrid w:val="0"/>
        <w:ind w:firstLine="363"/>
        <w:rPr>
          <w:rFonts w:ascii="方正小标宋_GBK" w:eastAsia="方正小标宋_GBK" w:hAnsi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 w:val="0"/>
          <w:bCs/>
          <w:sz w:val="44"/>
          <w:szCs w:val="44"/>
        </w:rPr>
        <w:t xml:space="preserve"> 合川区总体管控要求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10564"/>
      </w:tblGrid>
      <w:tr w:rsidR="005E260A" w:rsidTr="000D7A48">
        <w:trPr>
          <w:trHeight w:val="426"/>
          <w:tblHeader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:rsidR="005E260A" w:rsidRDefault="005E260A" w:rsidP="000D7A48">
            <w:pPr>
              <w:jc w:val="center"/>
              <w:rPr>
                <w:rFonts w:cs="仿宋"/>
                <w:b/>
                <w:szCs w:val="21"/>
              </w:rPr>
            </w:pPr>
            <w:proofErr w:type="spellStart"/>
            <w:r>
              <w:rPr>
                <w:rFonts w:cs="仿宋" w:hint="eastAsia"/>
                <w:b/>
                <w:szCs w:val="21"/>
              </w:rPr>
              <w:t>管控类别</w:t>
            </w:r>
            <w:proofErr w:type="spellEnd"/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rFonts w:cs="仿宋"/>
                <w:b/>
                <w:szCs w:val="21"/>
              </w:rPr>
            </w:pPr>
            <w:proofErr w:type="spellStart"/>
            <w:r>
              <w:rPr>
                <w:rFonts w:cs="仿宋" w:hint="eastAsia"/>
                <w:b/>
                <w:szCs w:val="21"/>
              </w:rPr>
              <w:t>总体管控要求</w:t>
            </w:r>
            <w:proofErr w:type="spellEnd"/>
          </w:p>
        </w:tc>
      </w:tr>
      <w:tr w:rsidR="005E260A" w:rsidTr="000D7A48">
        <w:trPr>
          <w:trHeight w:val="830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空间布局约束</w:t>
            </w:r>
            <w:proofErr w:type="spellEnd"/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第一条：生态保护红线内，自然保护</w:t>
            </w:r>
            <w:proofErr w:type="gramStart"/>
            <w:r>
              <w:rPr>
                <w:rFonts w:hint="eastAsia"/>
                <w:lang w:eastAsia="zh-CN"/>
              </w:rPr>
              <w:t>地核心</w:t>
            </w:r>
            <w:proofErr w:type="gramEnd"/>
            <w:r>
              <w:rPr>
                <w:rFonts w:hint="eastAsia"/>
                <w:lang w:eastAsia="zh-CN"/>
              </w:rPr>
              <w:t>保护区原则上禁止人为活动，其他区域严格禁止开发性、生产性建设活动，在符合现行法律法规前提下，除国家重大战略项目外，仅允许对生态功能不造成破坏的有限人为活动，主要包括：零星的原住民在不扩大现有建设用地和耕地规模前提下，修缮生产生活设施，保留生活必需的少量种植、放牧、捕捞、养殖；因国家重大能源资源安全需要开展的战略性能源资源勘查，公益性自然资源调查和地质勘查；自然资源、生态环境监测和执法包括水文水资源监测及涉水违法事件的查处等，灾害防治和应急抢险活动；经依法批准进行的非破坏性科学研究观测、标本采集；经依法批准的考古调查发掘和文物保护活动；不破坏生态功能的适度参观旅游和相关的必要公共设施建设；必须且无法避让、符合县级以上国土空间规划的线性基础设施建设、防洪和供水设施建设与运行维护；重要生态修复工程。</w:t>
            </w:r>
          </w:p>
        </w:tc>
      </w:tr>
      <w:tr w:rsidR="005E260A" w:rsidTr="000D7A48">
        <w:trPr>
          <w:trHeight w:val="70"/>
          <w:jc w:val="center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第二条：合理开发旅游、能源、交通、基础设施，减少挤占生态空间，“三生”空间布局得到持续优化。</w:t>
            </w:r>
          </w:p>
        </w:tc>
      </w:tr>
      <w:tr w:rsidR="005E260A" w:rsidTr="000D7A48">
        <w:trPr>
          <w:trHeight w:val="90"/>
          <w:jc w:val="center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第三条：坚决禁止在嘉陵江干流岸线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公里范围内新建重化工、纺织、造纸等存在污染风险的工业项目，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公里范围内除现有园区拓展外严禁新布局工业园区。可适当布局工业园区主导产业配套必需的、对环境影响小、风险可控的化工项目。</w:t>
            </w:r>
          </w:p>
        </w:tc>
      </w:tr>
      <w:tr w:rsidR="005E260A" w:rsidTr="000D7A48">
        <w:trPr>
          <w:trHeight w:val="539"/>
          <w:jc w:val="center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第四条：合川区城市建成区主导风向上风向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公里，下风向</w:t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公里范围内，禁止新建、扩建燃煤电厂、水泥、冶炼、</w:t>
            </w:r>
            <w:proofErr w:type="gramStart"/>
            <w:r>
              <w:rPr>
                <w:rFonts w:hint="eastAsia"/>
                <w:lang w:eastAsia="zh-CN"/>
              </w:rPr>
              <w:t>粉磨站等</w:t>
            </w:r>
            <w:proofErr w:type="gramEnd"/>
            <w:r>
              <w:rPr>
                <w:rFonts w:hint="eastAsia"/>
                <w:lang w:eastAsia="zh-CN"/>
              </w:rPr>
              <w:t>大气污染严重的工业项目。</w:t>
            </w:r>
          </w:p>
        </w:tc>
      </w:tr>
      <w:tr w:rsidR="005E260A" w:rsidTr="000D7A48">
        <w:trPr>
          <w:trHeight w:val="977"/>
          <w:jc w:val="center"/>
        </w:trPr>
        <w:tc>
          <w:tcPr>
            <w:tcW w:w="2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五条：对工业用地上“零土地”（不涉及新征建设用地）技术改造升级且“两不增”（不增加污染物排放总量、不增大环境风险）的建设项目，对原老工业企业集聚区（地）在城乡规划未改变其工业用地性质的前提和期限内，且列入所在区县工业发展等规划并依法开展了规划环评的项目，依法依规加快推进环</w:t>
            </w:r>
            <w:proofErr w:type="gramStart"/>
            <w:r>
              <w:rPr>
                <w:rFonts w:hint="eastAsia"/>
                <w:lang w:eastAsia="zh-CN"/>
              </w:rPr>
              <w:t>评文件</w:t>
            </w:r>
            <w:proofErr w:type="gramEnd"/>
            <w:r>
              <w:rPr>
                <w:rFonts w:hint="eastAsia"/>
                <w:lang w:eastAsia="zh-CN"/>
              </w:rPr>
              <w:t>审批，帮助企业解决困难。</w:t>
            </w:r>
          </w:p>
        </w:tc>
      </w:tr>
      <w:tr w:rsidR="005E260A" w:rsidTr="000D7A48">
        <w:trPr>
          <w:trHeight w:val="369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污染物排放管控</w:t>
            </w:r>
            <w:proofErr w:type="spellEnd"/>
          </w:p>
          <w:p w:rsidR="005E260A" w:rsidRDefault="005E260A" w:rsidP="000D7A48">
            <w:pPr>
              <w:rPr>
                <w:szCs w:val="21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第六条：按实施燃煤电厂超低排放的总体要求，有序推进热电行业超低排放改造。</w:t>
            </w:r>
          </w:p>
        </w:tc>
      </w:tr>
      <w:tr w:rsidR="005E260A" w:rsidTr="000D7A48">
        <w:trPr>
          <w:trHeight w:val="369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r>
              <w:rPr>
                <w:rFonts w:hint="eastAsia"/>
                <w:lang w:eastAsia="zh-CN"/>
              </w:rPr>
              <w:t>第七条：（城乡污水管网配套建设）强化城中村、老旧城区和城乡结合部污水的截流、收集。现有合流制排水系统应加快实施雨污分流改造，难以改造的应采取截流、调蓄和治理等措施。新建污水处理设施的配套管网应同步设计、同步建设、同步投运。</w:t>
            </w:r>
            <w:proofErr w:type="spellStart"/>
            <w:r>
              <w:rPr>
                <w:rFonts w:hint="eastAsia"/>
              </w:rPr>
              <w:t>城镇新区建设均应实行雨污分流</w:t>
            </w:r>
            <w:proofErr w:type="spellEnd"/>
            <w:r>
              <w:rPr>
                <w:rFonts w:hint="eastAsia"/>
              </w:rPr>
              <w:t>。</w:t>
            </w:r>
          </w:p>
        </w:tc>
      </w:tr>
      <w:tr w:rsidR="005E260A" w:rsidTr="000D7A48">
        <w:trPr>
          <w:trHeight w:val="369"/>
          <w:jc w:val="center"/>
        </w:trPr>
        <w:tc>
          <w:tcPr>
            <w:tcW w:w="22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rFonts w:cs="仿宋"/>
                <w:bCs/>
                <w:szCs w:val="21"/>
              </w:rPr>
            </w:pPr>
            <w:proofErr w:type="spellStart"/>
            <w:r>
              <w:rPr>
                <w:rFonts w:cs="仿宋" w:hint="eastAsia"/>
                <w:bCs/>
                <w:szCs w:val="21"/>
              </w:rPr>
              <w:lastRenderedPageBreak/>
              <w:t>环境风险防控</w:t>
            </w:r>
            <w:proofErr w:type="spellEnd"/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r>
              <w:rPr>
                <w:rFonts w:hint="eastAsia"/>
                <w:lang w:eastAsia="zh-CN"/>
              </w:rPr>
              <w:t>第八条：强化工业园区环境风险管控。实施技术、工艺、设备等生态化、循环化改造，加快布局分散的企业向园区集中，按要求设置生态隔离带，建设相应的防护工程。</w:t>
            </w:r>
            <w:proofErr w:type="spellStart"/>
            <w:r>
              <w:rPr>
                <w:rFonts w:hint="eastAsia"/>
              </w:rPr>
              <w:t>强化环境应急队伍建设和物资储备</w:t>
            </w:r>
            <w:proofErr w:type="spellEnd"/>
            <w:r>
              <w:rPr>
                <w:rFonts w:hint="eastAsia"/>
              </w:rPr>
              <w:t>。</w:t>
            </w:r>
          </w:p>
        </w:tc>
      </w:tr>
      <w:tr w:rsidR="005E260A" w:rsidTr="000D7A48">
        <w:trPr>
          <w:trHeight w:val="369"/>
          <w:jc w:val="center"/>
        </w:trPr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rFonts w:cs="仿宋"/>
                <w:bCs/>
                <w:szCs w:val="21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第九条：完善上下游应急联动机制，与小安溪上游区县建立跨流域应急联动机制，共同保障环境安全。</w:t>
            </w:r>
          </w:p>
        </w:tc>
      </w:tr>
      <w:tr w:rsidR="005E260A" w:rsidTr="000D7A48">
        <w:trPr>
          <w:trHeight w:val="369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rFonts w:cs="仿宋"/>
                <w:bCs/>
                <w:szCs w:val="21"/>
              </w:rPr>
            </w:pPr>
            <w:proofErr w:type="spellStart"/>
            <w:r>
              <w:rPr>
                <w:rFonts w:cs="仿宋" w:hint="eastAsia"/>
                <w:bCs/>
                <w:szCs w:val="21"/>
              </w:rPr>
              <w:t>资源利用效率</w:t>
            </w:r>
            <w:proofErr w:type="spellEnd"/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十条：在划定的高污染燃料禁燃区内，禁止销售和使用原煤、煤矸石、重油、渣油、石油焦、木柴、秸秆等国家和本市规定的高污染燃料。现有使用高污染燃料的设施应当限期淘汰或者改用天然气、页岩气、液化石油气、电、风能等清洁能源。</w:t>
            </w:r>
          </w:p>
        </w:tc>
      </w:tr>
      <w:tr w:rsidR="005E260A" w:rsidTr="000D7A48">
        <w:trPr>
          <w:trHeight w:val="369"/>
          <w:jc w:val="center"/>
        </w:trPr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0A" w:rsidRDefault="005E260A" w:rsidP="000D7A48">
            <w:pPr>
              <w:jc w:val="center"/>
              <w:rPr>
                <w:rFonts w:cs="仿宋"/>
                <w:bCs/>
                <w:szCs w:val="21"/>
                <w:lang w:eastAsia="zh-CN"/>
              </w:rPr>
            </w:pPr>
          </w:p>
        </w:tc>
        <w:tc>
          <w:tcPr>
            <w:tcW w:w="10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0A" w:rsidRDefault="005E260A" w:rsidP="000D7A4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第十一条：强化岸线及港口的布局要求，对小散码头落实“限制发展、逐步整合、适时关闭”的要求，对保留码头强化污染防控措施。</w:t>
            </w:r>
          </w:p>
        </w:tc>
      </w:tr>
    </w:tbl>
    <w:p w:rsidR="005E260A" w:rsidRDefault="005E260A" w:rsidP="005E260A">
      <w:pPr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</w:p>
    <w:p w:rsidR="005E260A" w:rsidRDefault="005E260A" w:rsidP="005E260A">
      <w:pPr>
        <w:spacing w:line="20" w:lineRule="exact"/>
        <w:rPr>
          <w:rFonts w:ascii="方正黑体_GBK" w:eastAsia="方正黑体_GBK" w:hAnsi="方正黑体_GBK" w:cs="方正黑体_GBK"/>
          <w:sz w:val="32"/>
          <w:szCs w:val="32"/>
          <w:lang w:eastAsia="zh-CN"/>
        </w:rPr>
      </w:pPr>
    </w:p>
    <w:p w:rsidR="005E260A" w:rsidRDefault="005E260A" w:rsidP="005E260A">
      <w:pPr>
        <w:spacing w:line="560" w:lineRule="exact"/>
        <w:rPr>
          <w:rFonts w:ascii="方正仿宋_GBK" w:eastAsia="方正仿宋_GBK" w:hint="eastAsia"/>
          <w:sz w:val="32"/>
          <w:szCs w:val="32"/>
          <w:lang w:eastAsia="zh-CN"/>
        </w:rPr>
      </w:pPr>
    </w:p>
    <w:p w:rsidR="001353E2" w:rsidRDefault="001353E2">
      <w:pPr>
        <w:rPr>
          <w:lang w:eastAsia="zh-CN"/>
        </w:rPr>
      </w:pPr>
    </w:p>
    <w:sectPr w:rsidR="001353E2">
      <w:pgSz w:w="15840" w:h="12240" w:orient="landscape"/>
      <w:pgMar w:top="1588" w:right="2098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0A"/>
    <w:rsid w:val="001353E2"/>
    <w:rsid w:val="005E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60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图表名00"/>
    <w:basedOn w:val="a"/>
    <w:next w:val="a3"/>
    <w:qFormat/>
    <w:rsid w:val="005E260A"/>
    <w:pPr>
      <w:widowControl w:val="0"/>
      <w:jc w:val="center"/>
    </w:pPr>
    <w:rPr>
      <w:rFonts w:ascii="仿宋" w:hAnsi="仿宋"/>
      <w:b/>
      <w:iCs/>
      <w:kern w:val="2"/>
      <w:sz w:val="21"/>
      <w:szCs w:val="28"/>
      <w:lang w:eastAsia="zh-CN"/>
    </w:rPr>
  </w:style>
  <w:style w:type="paragraph" w:styleId="a3">
    <w:name w:val="table of figures"/>
    <w:basedOn w:val="a"/>
    <w:next w:val="a"/>
    <w:rsid w:val="005E260A"/>
    <w:pPr>
      <w:ind w:leftChars="200" w:hangingChars="200" w:hanging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60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图表名00"/>
    <w:basedOn w:val="a"/>
    <w:next w:val="a3"/>
    <w:qFormat/>
    <w:rsid w:val="005E260A"/>
    <w:pPr>
      <w:widowControl w:val="0"/>
      <w:jc w:val="center"/>
    </w:pPr>
    <w:rPr>
      <w:rFonts w:ascii="仿宋" w:hAnsi="仿宋"/>
      <w:b/>
      <w:iCs/>
      <w:kern w:val="2"/>
      <w:sz w:val="21"/>
      <w:szCs w:val="28"/>
      <w:lang w:eastAsia="zh-CN"/>
    </w:rPr>
  </w:style>
  <w:style w:type="paragraph" w:styleId="a3">
    <w:name w:val="table of figures"/>
    <w:basedOn w:val="a"/>
    <w:next w:val="a"/>
    <w:rsid w:val="005E260A"/>
    <w:pPr>
      <w:ind w:leftChars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Sky123.Org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周倪利</dc:creator>
  <cp:keywords/>
  <dc:description/>
  <cp:lastModifiedBy>周倪利</cp:lastModifiedBy>
  <cp:revision>1</cp:revision>
  <dcterms:created xsi:type="dcterms:W3CDTF">2020-09-23T09:35:00Z</dcterms:created>
  <dcterms:modified xsi:type="dcterms:W3CDTF">2020-09-23T09:35:00Z</dcterms:modified>
</cp:coreProperties>
</file>